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charts/chart26.xml" ContentType="application/vnd.openxmlformats-officedocument.drawingml.chart+xml"/>
  <Override PartName="/word/charts/style26.xml" ContentType="application/vnd.ms-office.chartstyle+xml"/>
  <Override PartName="/word/charts/colors26.xml" ContentType="application/vnd.ms-office.chartcolorstyle+xml"/>
  <Override PartName="/word/charts/chart27.xml" ContentType="application/vnd.openxmlformats-officedocument.drawingml.chart+xml"/>
  <Override PartName="/word/charts/style27.xml" ContentType="application/vnd.ms-office.chartstyle+xml"/>
  <Override PartName="/word/charts/colors27.xml" ContentType="application/vnd.ms-office.chartcolorstyle+xml"/>
  <Override PartName="/word/charts/chart28.xml" ContentType="application/vnd.openxmlformats-officedocument.drawingml.chart+xml"/>
  <Override PartName="/word/charts/style28.xml" ContentType="application/vnd.ms-office.chartstyle+xml"/>
  <Override PartName="/word/charts/colors28.xml" ContentType="application/vnd.ms-office.chartcolorstyle+xml"/>
  <Override PartName="/word/charts/chart29.xml" ContentType="application/vnd.openxmlformats-officedocument.drawingml.chart+xml"/>
  <Override PartName="/word/charts/style29.xml" ContentType="application/vnd.ms-office.chartstyle+xml"/>
  <Override PartName="/word/charts/colors29.xml" ContentType="application/vnd.ms-office.chartcolorstyle+xml"/>
  <Override PartName="/word/charts/chart30.xml" ContentType="application/vnd.openxmlformats-officedocument.drawingml.chart+xml"/>
  <Override PartName="/word/charts/style30.xml" ContentType="application/vnd.ms-office.chartstyle+xml"/>
  <Override PartName="/word/charts/colors30.xml" ContentType="application/vnd.ms-office.chartcolorstyle+xml"/>
  <Override PartName="/word/charts/chart31.xml" ContentType="application/vnd.openxmlformats-officedocument.drawingml.chart+xml"/>
  <Override PartName="/word/charts/style31.xml" ContentType="application/vnd.ms-office.chartstyle+xml"/>
  <Override PartName="/word/charts/colors31.xml" ContentType="application/vnd.ms-office.chartcolorstyle+xml"/>
  <Override PartName="/word/charts/chart32.xml" ContentType="application/vnd.openxmlformats-officedocument.drawingml.chart+xml"/>
  <Override PartName="/word/charts/style32.xml" ContentType="application/vnd.ms-office.chartstyle+xml"/>
  <Override PartName="/word/charts/colors32.xml" ContentType="application/vnd.ms-office.chartcolorstyle+xml"/>
  <Override PartName="/word/charts/chart33.xml" ContentType="application/vnd.openxmlformats-officedocument.drawingml.chart+xml"/>
  <Override PartName="/word/charts/style33.xml" ContentType="application/vnd.ms-office.chartstyle+xml"/>
  <Override PartName="/word/charts/colors33.xml" ContentType="application/vnd.ms-office.chartcolorstyle+xml"/>
  <Override PartName="/word/charts/chart34.xml" ContentType="application/vnd.openxmlformats-officedocument.drawingml.chart+xml"/>
  <Override PartName="/word/charts/style34.xml" ContentType="application/vnd.ms-office.chartstyle+xml"/>
  <Override PartName="/word/charts/colors34.xml" ContentType="application/vnd.ms-office.chartcolorstyle+xml"/>
  <Override PartName="/word/charts/chart35.xml" ContentType="application/vnd.openxmlformats-officedocument.drawingml.chart+xml"/>
  <Override PartName="/word/charts/style35.xml" ContentType="application/vnd.ms-office.chartstyle+xml"/>
  <Override PartName="/word/charts/colors35.xml" ContentType="application/vnd.ms-office.chartcolorstyle+xml"/>
  <Override PartName="/word/charts/chart36.xml" ContentType="application/vnd.openxmlformats-officedocument.drawingml.chart+xml"/>
  <Override PartName="/word/charts/style36.xml" ContentType="application/vnd.ms-office.chartstyle+xml"/>
  <Override PartName="/word/charts/colors36.xml" ContentType="application/vnd.ms-office.chartcolorstyle+xml"/>
  <Override PartName="/word/charts/chart37.xml" ContentType="application/vnd.openxmlformats-officedocument.drawingml.chart+xml"/>
  <Override PartName="/word/charts/style37.xml" ContentType="application/vnd.ms-office.chartstyle+xml"/>
  <Override PartName="/word/charts/colors37.xml" ContentType="application/vnd.ms-office.chartcolorstyle+xml"/>
  <Override PartName="/word/charts/chart38.xml" ContentType="application/vnd.openxmlformats-officedocument.drawingml.chart+xml"/>
  <Override PartName="/word/charts/style38.xml" ContentType="application/vnd.ms-office.chartstyle+xml"/>
  <Override PartName="/word/charts/colors38.xml" ContentType="application/vnd.ms-office.chartcolorstyle+xml"/>
  <Override PartName="/word/charts/chart39.xml" ContentType="application/vnd.openxmlformats-officedocument.drawingml.chart+xml"/>
  <Override PartName="/word/charts/style39.xml" ContentType="application/vnd.ms-office.chartstyle+xml"/>
  <Override PartName="/word/charts/colors39.xml" ContentType="application/vnd.ms-office.chartcolorstyle+xml"/>
  <Override PartName="/word/charts/chart40.xml" ContentType="application/vnd.openxmlformats-officedocument.drawingml.chart+xml"/>
  <Override PartName="/word/charts/style40.xml" ContentType="application/vnd.ms-office.chartstyle+xml"/>
  <Override PartName="/word/charts/colors40.xml" ContentType="application/vnd.ms-office.chartcolorstyle+xml"/>
  <Override PartName="/word/charts/chart41.xml" ContentType="application/vnd.openxmlformats-officedocument.drawingml.chart+xml"/>
  <Override PartName="/word/charts/style41.xml" ContentType="application/vnd.ms-office.chartstyle+xml"/>
  <Override PartName="/word/charts/colors4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Theme="majorHAnsi" w:eastAsiaTheme="majorEastAsia" w:hAnsiTheme="majorHAnsi" w:cstheme="majorHAnsi"/>
          <w:b/>
          <w:color w:val="00B0F0"/>
          <w:sz w:val="32"/>
          <w:szCs w:val="32"/>
          <w:lang w:eastAsia="pl-PL"/>
        </w:rPr>
        <w:id w:val="173077605"/>
        <w:docPartObj>
          <w:docPartGallery w:val="Cover Pages"/>
          <w:docPartUnique/>
        </w:docPartObj>
      </w:sdtPr>
      <w:sdtEndPr>
        <w:rPr>
          <w:rFonts w:cstheme="majorBidi"/>
        </w:rPr>
      </w:sdtEndPr>
      <w:sdtContent>
        <w:p w14:paraId="2C9CDB21" w14:textId="6105B3B1" w:rsidR="00D54FC0" w:rsidRPr="00F25EBD" w:rsidRDefault="00646BD8" w:rsidP="00FC7062">
          <w:pPr>
            <w:spacing w:line="276" w:lineRule="auto"/>
            <w:rPr>
              <w:rFonts w:asciiTheme="majorHAnsi" w:hAnsiTheme="majorHAnsi" w:cstheme="majorHAnsi"/>
            </w:rPr>
          </w:pPr>
          <w:r>
            <w:rPr>
              <w:rFonts w:asciiTheme="majorHAnsi" w:hAnsiTheme="majorHAnsi" w:cstheme="majorHAnsi"/>
              <w:noProof/>
              <w:lang w:eastAsia="pl-PL"/>
            </w:rPr>
            <w:drawing>
              <wp:anchor distT="0" distB="0" distL="114300" distR="114300" simplePos="0" relativeHeight="251692032" behindDoc="0" locked="0" layoutInCell="1" allowOverlap="1" wp14:anchorId="22E1ACBB" wp14:editId="13591DD7">
                <wp:simplePos x="0" y="0"/>
                <wp:positionH relativeFrom="page">
                  <wp:align>left</wp:align>
                </wp:positionH>
                <wp:positionV relativeFrom="paragraph">
                  <wp:posOffset>-2404745</wp:posOffset>
                </wp:positionV>
                <wp:extent cx="7559040" cy="10691495"/>
                <wp:effectExtent l="0" t="0" r="3810" b="0"/>
                <wp:wrapNone/>
                <wp:docPr id="450" name="Obraz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 name="okładka-0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59040" cy="10691495"/>
                        </a:xfrm>
                        <a:prstGeom prst="rect">
                          <a:avLst/>
                        </a:prstGeom>
                      </pic:spPr>
                    </pic:pic>
                  </a:graphicData>
                </a:graphic>
              </wp:anchor>
            </w:drawing>
          </w:r>
        </w:p>
        <w:p w14:paraId="188F501E" w14:textId="77777777" w:rsidR="00D54FC0" w:rsidRPr="00F25EBD" w:rsidRDefault="00D54FC0" w:rsidP="00FC7062">
          <w:pPr>
            <w:spacing w:line="276" w:lineRule="auto"/>
            <w:rPr>
              <w:rFonts w:asciiTheme="majorHAnsi" w:hAnsiTheme="majorHAnsi" w:cstheme="majorHAnsi"/>
              <w:sz w:val="21"/>
              <w:szCs w:val="21"/>
            </w:rPr>
          </w:pPr>
          <w:r w:rsidRPr="00F25EBD">
            <w:rPr>
              <w:rFonts w:asciiTheme="majorHAnsi" w:hAnsiTheme="majorHAnsi" w:cstheme="majorHAnsi"/>
            </w:rPr>
            <w:br w:type="page"/>
          </w:r>
        </w:p>
        <w:p w14:paraId="4D013B2E" w14:textId="4BB4FA0A" w:rsidR="00D54FC0" w:rsidRPr="00F25EBD" w:rsidRDefault="00D54FC0" w:rsidP="00FC7062">
          <w:pPr>
            <w:spacing w:line="276" w:lineRule="auto"/>
            <w:ind w:hanging="567"/>
            <w:rPr>
              <w:rFonts w:asciiTheme="majorHAnsi" w:hAnsiTheme="majorHAnsi" w:cstheme="majorHAnsi"/>
              <w:sz w:val="21"/>
              <w:szCs w:val="21"/>
            </w:rPr>
          </w:pPr>
        </w:p>
        <w:p w14:paraId="43483AF6" w14:textId="77777777" w:rsidR="00D54FC0" w:rsidRPr="00F25EBD" w:rsidRDefault="00D54FC0" w:rsidP="00FC7062">
          <w:pPr>
            <w:spacing w:line="276" w:lineRule="auto"/>
            <w:ind w:hanging="567"/>
            <w:rPr>
              <w:rFonts w:asciiTheme="majorHAnsi" w:hAnsiTheme="majorHAnsi" w:cstheme="majorHAnsi"/>
              <w:sz w:val="21"/>
              <w:szCs w:val="21"/>
            </w:rPr>
          </w:pPr>
        </w:p>
        <w:p w14:paraId="450AD4BF" w14:textId="77777777" w:rsidR="00D54FC0" w:rsidRPr="00F25EBD" w:rsidRDefault="00D54FC0" w:rsidP="00FC7062">
          <w:pPr>
            <w:spacing w:line="276" w:lineRule="auto"/>
            <w:ind w:hanging="567"/>
            <w:rPr>
              <w:rFonts w:asciiTheme="majorHAnsi" w:hAnsiTheme="majorHAnsi" w:cstheme="majorHAnsi"/>
              <w:sz w:val="21"/>
              <w:szCs w:val="21"/>
            </w:rPr>
          </w:pPr>
        </w:p>
        <w:p w14:paraId="4B907402" w14:textId="77777777" w:rsidR="002E7B9F" w:rsidRPr="00F25EBD" w:rsidRDefault="002E7B9F" w:rsidP="00FC7062">
          <w:pPr>
            <w:spacing w:line="276" w:lineRule="auto"/>
            <w:ind w:hanging="567"/>
            <w:rPr>
              <w:rFonts w:asciiTheme="majorHAnsi" w:hAnsiTheme="majorHAnsi" w:cstheme="majorHAnsi"/>
              <w:sz w:val="21"/>
              <w:szCs w:val="21"/>
            </w:rPr>
          </w:pPr>
        </w:p>
        <w:p w14:paraId="7FBF5BA5" w14:textId="77777777" w:rsidR="002E7B9F" w:rsidRPr="00F25EBD" w:rsidRDefault="002E7B9F" w:rsidP="00FC7062">
          <w:pPr>
            <w:spacing w:line="276" w:lineRule="auto"/>
            <w:ind w:hanging="567"/>
            <w:rPr>
              <w:rFonts w:asciiTheme="majorHAnsi" w:hAnsiTheme="majorHAnsi" w:cstheme="majorHAnsi"/>
              <w:sz w:val="21"/>
              <w:szCs w:val="21"/>
            </w:rPr>
          </w:pPr>
        </w:p>
        <w:p w14:paraId="6B2BD0DC" w14:textId="77777777" w:rsidR="002E7B9F" w:rsidRPr="00F25EBD" w:rsidRDefault="002E7B9F" w:rsidP="00FC7062">
          <w:pPr>
            <w:spacing w:line="276" w:lineRule="auto"/>
            <w:ind w:hanging="567"/>
            <w:rPr>
              <w:rFonts w:asciiTheme="majorHAnsi" w:hAnsiTheme="majorHAnsi" w:cstheme="majorHAnsi"/>
              <w:sz w:val="21"/>
              <w:szCs w:val="21"/>
            </w:rPr>
          </w:pPr>
        </w:p>
        <w:p w14:paraId="0AF874F2" w14:textId="77777777" w:rsidR="002E7B9F" w:rsidRPr="00F25EBD" w:rsidRDefault="002E7B9F" w:rsidP="00FC7062">
          <w:pPr>
            <w:spacing w:line="276" w:lineRule="auto"/>
            <w:ind w:hanging="567"/>
            <w:rPr>
              <w:rFonts w:asciiTheme="majorHAnsi" w:hAnsiTheme="majorHAnsi" w:cstheme="majorHAnsi"/>
              <w:sz w:val="21"/>
              <w:szCs w:val="21"/>
            </w:rPr>
          </w:pPr>
        </w:p>
        <w:p w14:paraId="78AB267A" w14:textId="77777777" w:rsidR="002E7B9F" w:rsidRPr="00F25EBD" w:rsidRDefault="002E7B9F" w:rsidP="00FC7062">
          <w:pPr>
            <w:spacing w:line="276" w:lineRule="auto"/>
            <w:ind w:hanging="567"/>
            <w:rPr>
              <w:rFonts w:asciiTheme="majorHAnsi" w:hAnsiTheme="majorHAnsi" w:cstheme="majorHAnsi"/>
              <w:sz w:val="21"/>
              <w:szCs w:val="21"/>
            </w:rPr>
          </w:pPr>
        </w:p>
        <w:p w14:paraId="58F009DC" w14:textId="77777777" w:rsidR="002E7B9F" w:rsidRPr="00F25EBD" w:rsidRDefault="002E7B9F" w:rsidP="00FC7062">
          <w:pPr>
            <w:spacing w:line="276" w:lineRule="auto"/>
            <w:ind w:hanging="567"/>
            <w:rPr>
              <w:rFonts w:asciiTheme="majorHAnsi" w:hAnsiTheme="majorHAnsi" w:cstheme="majorHAnsi"/>
              <w:sz w:val="21"/>
              <w:szCs w:val="21"/>
            </w:rPr>
          </w:pPr>
        </w:p>
        <w:p w14:paraId="0BB71A5C" w14:textId="77777777" w:rsidR="00D54FC0" w:rsidRPr="00F25EBD" w:rsidRDefault="00D54FC0" w:rsidP="00FC7062">
          <w:pPr>
            <w:spacing w:line="276" w:lineRule="auto"/>
            <w:ind w:hanging="567"/>
            <w:rPr>
              <w:rFonts w:asciiTheme="majorHAnsi" w:hAnsiTheme="majorHAnsi" w:cstheme="majorHAnsi"/>
              <w:sz w:val="21"/>
              <w:szCs w:val="21"/>
            </w:rPr>
          </w:pPr>
        </w:p>
        <w:p w14:paraId="0A7B024F" w14:textId="77777777" w:rsidR="00D54FC0" w:rsidRPr="00F25EBD" w:rsidRDefault="00D54FC0" w:rsidP="00FC7062">
          <w:pPr>
            <w:spacing w:line="276" w:lineRule="auto"/>
            <w:ind w:hanging="567"/>
            <w:rPr>
              <w:rFonts w:asciiTheme="majorHAnsi" w:hAnsiTheme="majorHAnsi" w:cstheme="majorHAnsi"/>
              <w:sz w:val="21"/>
              <w:szCs w:val="21"/>
            </w:rPr>
          </w:pPr>
        </w:p>
        <w:p w14:paraId="2C143DBC" w14:textId="77777777" w:rsidR="00D54FC0" w:rsidRDefault="00D54FC0" w:rsidP="00FC7062">
          <w:pPr>
            <w:spacing w:line="276" w:lineRule="auto"/>
            <w:ind w:left="-851"/>
            <w:rPr>
              <w:rFonts w:asciiTheme="majorHAnsi" w:hAnsiTheme="majorHAnsi" w:cstheme="majorHAnsi"/>
              <w:sz w:val="21"/>
              <w:szCs w:val="21"/>
            </w:rPr>
          </w:pPr>
        </w:p>
        <w:p w14:paraId="1F910F25" w14:textId="77777777" w:rsidR="00532E6E" w:rsidRDefault="00532E6E" w:rsidP="00FC7062">
          <w:pPr>
            <w:spacing w:line="276" w:lineRule="auto"/>
            <w:ind w:left="-851"/>
            <w:rPr>
              <w:rFonts w:asciiTheme="majorHAnsi" w:hAnsiTheme="majorHAnsi" w:cstheme="majorHAnsi"/>
              <w:sz w:val="21"/>
              <w:szCs w:val="21"/>
            </w:rPr>
          </w:pPr>
        </w:p>
        <w:p w14:paraId="1AFEBA9D" w14:textId="77777777" w:rsidR="00532E6E" w:rsidRPr="00F25EBD" w:rsidRDefault="00532E6E" w:rsidP="00FC7062">
          <w:pPr>
            <w:spacing w:line="276" w:lineRule="auto"/>
            <w:ind w:left="-851"/>
            <w:rPr>
              <w:rFonts w:asciiTheme="majorHAnsi" w:hAnsiTheme="majorHAnsi" w:cstheme="majorHAnsi"/>
              <w:sz w:val="21"/>
              <w:szCs w:val="21"/>
            </w:rPr>
          </w:pPr>
        </w:p>
        <w:p w14:paraId="3949C70B" w14:textId="77777777" w:rsidR="00D54FC0" w:rsidRDefault="00D54FC0" w:rsidP="00FC7062">
          <w:pPr>
            <w:spacing w:line="276" w:lineRule="auto"/>
            <w:ind w:hanging="567"/>
            <w:rPr>
              <w:rFonts w:asciiTheme="majorHAnsi" w:hAnsiTheme="majorHAnsi" w:cstheme="majorHAnsi"/>
              <w:sz w:val="21"/>
              <w:szCs w:val="21"/>
            </w:rPr>
          </w:pPr>
        </w:p>
        <w:p w14:paraId="5A6C209A" w14:textId="77777777" w:rsidR="00AD2EE7" w:rsidRDefault="00AD2EE7" w:rsidP="00FC7062">
          <w:pPr>
            <w:spacing w:line="276" w:lineRule="auto"/>
            <w:ind w:hanging="567"/>
            <w:rPr>
              <w:rFonts w:asciiTheme="majorHAnsi" w:hAnsiTheme="majorHAnsi" w:cstheme="majorHAnsi"/>
              <w:sz w:val="21"/>
              <w:szCs w:val="21"/>
            </w:rPr>
          </w:pPr>
        </w:p>
        <w:p w14:paraId="1ECA61CD" w14:textId="77777777" w:rsidR="00AD2EE7" w:rsidRDefault="00AD2EE7" w:rsidP="00FC7062">
          <w:pPr>
            <w:spacing w:line="276" w:lineRule="auto"/>
            <w:ind w:hanging="567"/>
            <w:rPr>
              <w:rFonts w:asciiTheme="majorHAnsi" w:hAnsiTheme="majorHAnsi" w:cstheme="majorHAnsi"/>
              <w:sz w:val="21"/>
              <w:szCs w:val="21"/>
            </w:rPr>
          </w:pPr>
        </w:p>
        <w:p w14:paraId="5516B6E2" w14:textId="77777777" w:rsidR="00AD2EE7" w:rsidRPr="00F25EBD" w:rsidRDefault="00AD2EE7" w:rsidP="00FC7062">
          <w:pPr>
            <w:spacing w:line="276" w:lineRule="auto"/>
            <w:ind w:hanging="567"/>
            <w:rPr>
              <w:rFonts w:asciiTheme="majorHAnsi" w:hAnsiTheme="majorHAnsi" w:cstheme="majorHAnsi"/>
              <w:sz w:val="21"/>
              <w:szCs w:val="21"/>
            </w:rPr>
          </w:pPr>
        </w:p>
        <w:p w14:paraId="5E65B8B3" w14:textId="77777777" w:rsidR="00D54FC0" w:rsidRPr="00F25EBD" w:rsidRDefault="00D54FC0" w:rsidP="00FC7062">
          <w:pPr>
            <w:spacing w:line="276" w:lineRule="auto"/>
            <w:ind w:hanging="567"/>
            <w:rPr>
              <w:rFonts w:asciiTheme="majorHAnsi" w:hAnsiTheme="majorHAnsi" w:cstheme="majorHAnsi"/>
              <w:sz w:val="21"/>
              <w:szCs w:val="21"/>
            </w:rPr>
          </w:pPr>
        </w:p>
        <w:p w14:paraId="7F6BA4B5" w14:textId="77777777" w:rsidR="00D54FC0" w:rsidRPr="00F25EBD" w:rsidRDefault="00D54FC0" w:rsidP="00FC7062">
          <w:pPr>
            <w:spacing w:line="276" w:lineRule="auto"/>
            <w:ind w:hanging="567"/>
            <w:rPr>
              <w:rFonts w:asciiTheme="majorHAnsi" w:hAnsiTheme="majorHAnsi" w:cstheme="majorHAnsi"/>
              <w:sz w:val="21"/>
              <w:szCs w:val="21"/>
            </w:rPr>
          </w:pPr>
        </w:p>
        <w:p w14:paraId="5F9AB35B" w14:textId="77777777" w:rsidR="00D54FC0" w:rsidRPr="00F25EBD" w:rsidRDefault="00D54FC0" w:rsidP="002C7D64">
          <w:pPr>
            <w:spacing w:line="276" w:lineRule="auto"/>
            <w:rPr>
              <w:rFonts w:asciiTheme="majorHAnsi" w:hAnsiTheme="majorHAnsi" w:cstheme="majorHAnsi"/>
              <w:sz w:val="21"/>
              <w:szCs w:val="21"/>
            </w:rPr>
          </w:pPr>
        </w:p>
        <w:p w14:paraId="4CDF90C9" w14:textId="77777777" w:rsidR="00D54FC0" w:rsidRPr="00F25EBD" w:rsidRDefault="00D54FC0" w:rsidP="002C7D64">
          <w:pPr>
            <w:spacing w:line="276" w:lineRule="auto"/>
            <w:rPr>
              <w:rFonts w:asciiTheme="majorHAnsi" w:hAnsiTheme="majorHAnsi" w:cstheme="majorHAnsi"/>
              <w:sz w:val="21"/>
              <w:szCs w:val="21"/>
            </w:rPr>
          </w:pPr>
          <w:r w:rsidRPr="00F25EBD">
            <w:rPr>
              <w:rFonts w:asciiTheme="majorHAnsi" w:hAnsiTheme="majorHAnsi" w:cstheme="majorHAnsi"/>
              <w:sz w:val="21"/>
              <w:szCs w:val="21"/>
            </w:rPr>
            <w:t>Opracowanie:</w:t>
          </w:r>
        </w:p>
        <w:p w14:paraId="37C249FC" w14:textId="77777777" w:rsidR="00D54FC0" w:rsidRPr="00F25EBD" w:rsidRDefault="00D54FC0" w:rsidP="002C7D64">
          <w:pPr>
            <w:spacing w:line="276" w:lineRule="auto"/>
            <w:ind w:left="-567" w:firstLine="567"/>
            <w:rPr>
              <w:rFonts w:asciiTheme="majorHAnsi" w:hAnsiTheme="majorHAnsi" w:cstheme="majorHAnsi"/>
              <w:sz w:val="21"/>
              <w:szCs w:val="21"/>
            </w:rPr>
          </w:pPr>
          <w:r w:rsidRPr="00F25EBD">
            <w:rPr>
              <w:rFonts w:asciiTheme="majorHAnsi" w:hAnsiTheme="majorHAnsi" w:cstheme="majorHAnsi"/>
              <w:sz w:val="21"/>
              <w:szCs w:val="21"/>
            </w:rPr>
            <w:t>Stowarzyszenie Wspierania Inicjatyw Gospodarczych DELTA PARTNER</w:t>
          </w:r>
        </w:p>
        <w:p w14:paraId="339D0FA8" w14:textId="77777777" w:rsidR="00D54FC0" w:rsidRPr="00F25EBD" w:rsidRDefault="00E2001F" w:rsidP="002C7D64">
          <w:pPr>
            <w:spacing w:line="276" w:lineRule="auto"/>
            <w:ind w:left="-567" w:firstLine="567"/>
            <w:rPr>
              <w:rFonts w:asciiTheme="majorHAnsi" w:hAnsiTheme="majorHAnsi" w:cstheme="majorHAnsi"/>
              <w:sz w:val="21"/>
              <w:szCs w:val="21"/>
            </w:rPr>
          </w:pPr>
          <w:hyperlink r:id="rId9" w:history="1">
            <w:r w:rsidR="00D54FC0" w:rsidRPr="00F25EBD">
              <w:rPr>
                <w:rStyle w:val="Hipercze"/>
                <w:rFonts w:asciiTheme="majorHAnsi" w:hAnsiTheme="majorHAnsi" w:cstheme="majorHAnsi"/>
                <w:sz w:val="21"/>
                <w:szCs w:val="21"/>
              </w:rPr>
              <w:t>www.deltapartner.org.pl</w:t>
            </w:r>
          </w:hyperlink>
        </w:p>
        <w:p w14:paraId="2B6E61F8" w14:textId="77777777" w:rsidR="00D54FC0" w:rsidRPr="00F25EBD" w:rsidRDefault="00D54FC0" w:rsidP="002C7D64">
          <w:pPr>
            <w:spacing w:line="276" w:lineRule="auto"/>
            <w:ind w:left="-567"/>
            <w:rPr>
              <w:rFonts w:asciiTheme="majorHAnsi" w:hAnsiTheme="majorHAnsi" w:cstheme="majorHAnsi"/>
              <w:sz w:val="21"/>
              <w:szCs w:val="21"/>
            </w:rPr>
          </w:pPr>
        </w:p>
        <w:p w14:paraId="44B13AF0" w14:textId="77777777" w:rsidR="00D54FC0" w:rsidRPr="00F25EBD" w:rsidRDefault="00532E6E" w:rsidP="002C7D64">
          <w:pPr>
            <w:spacing w:line="276" w:lineRule="auto"/>
            <w:ind w:left="-567"/>
            <w:rPr>
              <w:rFonts w:asciiTheme="majorHAnsi" w:hAnsiTheme="majorHAnsi" w:cstheme="majorHAnsi"/>
              <w:sz w:val="21"/>
              <w:szCs w:val="21"/>
            </w:rPr>
          </w:pPr>
          <w:r w:rsidRPr="00F25EBD">
            <w:rPr>
              <w:rFonts w:asciiTheme="majorHAnsi" w:hAnsiTheme="majorHAnsi" w:cstheme="majorHAnsi"/>
              <w:noProof/>
              <w:sz w:val="21"/>
              <w:szCs w:val="21"/>
              <w:lang w:eastAsia="pl-PL"/>
            </w:rPr>
            <w:drawing>
              <wp:anchor distT="0" distB="0" distL="114300" distR="114300" simplePos="0" relativeHeight="251691008" behindDoc="0" locked="0" layoutInCell="1" allowOverlap="1" wp14:anchorId="0644AF9C" wp14:editId="058DE789">
                <wp:simplePos x="0" y="0"/>
                <wp:positionH relativeFrom="margin">
                  <wp:align>left</wp:align>
                </wp:positionH>
                <wp:positionV relativeFrom="paragraph">
                  <wp:posOffset>48045</wp:posOffset>
                </wp:positionV>
                <wp:extent cx="2583432" cy="685800"/>
                <wp:effectExtent l="0" t="0" r="7620" b="0"/>
                <wp:wrapNone/>
                <wp:docPr id="256" name="Obraz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OGO_DP-SWIG_wersja pozioma_z tłem.png"/>
                        <pic:cNvPicPr/>
                      </pic:nvPicPr>
                      <pic:blipFill>
                        <a:blip r:embed="rId10" cstate="email">
                          <a:extLst>
                            <a:ext uri="{28A0092B-C50C-407E-A947-70E740481C1C}">
                              <a14:useLocalDpi xmlns:a14="http://schemas.microsoft.com/office/drawing/2010/main" val="0"/>
                            </a:ext>
                          </a:extLst>
                        </a:blip>
                        <a:stretch>
                          <a:fillRect/>
                        </a:stretch>
                      </pic:blipFill>
                      <pic:spPr>
                        <a:xfrm>
                          <a:off x="0" y="0"/>
                          <a:ext cx="2583432" cy="685800"/>
                        </a:xfrm>
                        <a:prstGeom prst="rect">
                          <a:avLst/>
                        </a:prstGeom>
                      </pic:spPr>
                    </pic:pic>
                  </a:graphicData>
                </a:graphic>
              </wp:anchor>
            </w:drawing>
          </w:r>
        </w:p>
        <w:p w14:paraId="5E2EECD7" w14:textId="77777777" w:rsidR="00D54FC0" w:rsidRPr="00F25EBD" w:rsidRDefault="00D54FC0" w:rsidP="00FC7062">
          <w:pPr>
            <w:spacing w:line="276" w:lineRule="auto"/>
            <w:rPr>
              <w:rFonts w:asciiTheme="majorHAnsi" w:eastAsiaTheme="majorEastAsia" w:hAnsiTheme="majorHAnsi" w:cstheme="majorHAnsi"/>
              <w:color w:val="2E74B5" w:themeColor="accent1" w:themeShade="BF"/>
              <w:sz w:val="32"/>
              <w:szCs w:val="32"/>
              <w:lang w:eastAsia="pl-PL"/>
            </w:rPr>
          </w:pPr>
        </w:p>
        <w:p w14:paraId="4940E446" w14:textId="77777777" w:rsidR="00D54FC0" w:rsidRPr="00F25EBD" w:rsidRDefault="00D54FC0" w:rsidP="00FC7062">
          <w:pPr>
            <w:spacing w:line="276" w:lineRule="auto"/>
            <w:rPr>
              <w:rFonts w:asciiTheme="majorHAnsi" w:eastAsiaTheme="majorEastAsia" w:hAnsiTheme="majorHAnsi" w:cstheme="majorHAnsi"/>
              <w:color w:val="2E74B5" w:themeColor="accent1" w:themeShade="BF"/>
              <w:sz w:val="32"/>
              <w:szCs w:val="32"/>
              <w:lang w:eastAsia="pl-PL"/>
            </w:rPr>
          </w:pPr>
          <w:r w:rsidRPr="00F25EBD">
            <w:rPr>
              <w:rFonts w:asciiTheme="majorHAnsi" w:eastAsiaTheme="majorEastAsia" w:hAnsiTheme="majorHAnsi" w:cstheme="majorHAnsi"/>
              <w:color w:val="2E74B5" w:themeColor="accent1" w:themeShade="BF"/>
              <w:sz w:val="32"/>
              <w:szCs w:val="32"/>
              <w:lang w:eastAsia="pl-PL"/>
            </w:rPr>
            <w:br w:type="page"/>
          </w:r>
        </w:p>
        <w:p w14:paraId="5982280C" w14:textId="2A74D0C7" w:rsidR="00D54FC0" w:rsidRPr="00F25EBD" w:rsidRDefault="005D522F" w:rsidP="005D522F">
          <w:pPr>
            <w:pStyle w:val="Nagwekspisutreci"/>
          </w:pPr>
          <w:r>
            <w:lastRenderedPageBreak/>
            <w:t>Spis treści</w:t>
          </w:r>
        </w:p>
      </w:sdtContent>
    </w:sdt>
    <w:p w14:paraId="07BCFBAF" w14:textId="77777777" w:rsidR="001676E7" w:rsidRDefault="005D522F">
      <w:pPr>
        <w:pStyle w:val="Spistreci1"/>
        <w:tabs>
          <w:tab w:val="right" w:leader="dot" w:pos="9060"/>
        </w:tabs>
        <w:rPr>
          <w:rFonts w:eastAsiaTheme="minorEastAsia"/>
          <w:b w:val="0"/>
          <w:noProof/>
          <w:color w:val="auto"/>
          <w:lang w:eastAsia="pl-PL"/>
        </w:rPr>
      </w:pPr>
      <w:r>
        <w:rPr>
          <w:rFonts w:asciiTheme="majorHAnsi" w:hAnsiTheme="majorHAnsi" w:cstheme="majorHAnsi"/>
          <w:b w:val="0"/>
        </w:rPr>
        <w:fldChar w:fldCharType="begin"/>
      </w:r>
      <w:r>
        <w:rPr>
          <w:rFonts w:asciiTheme="majorHAnsi" w:hAnsiTheme="majorHAnsi" w:cstheme="majorHAnsi"/>
          <w:b w:val="0"/>
        </w:rPr>
        <w:instrText xml:space="preserve"> TOC \o "1-3" \h \z \u </w:instrText>
      </w:r>
      <w:r>
        <w:rPr>
          <w:rFonts w:asciiTheme="majorHAnsi" w:hAnsiTheme="majorHAnsi" w:cstheme="majorHAnsi"/>
          <w:b w:val="0"/>
        </w:rPr>
        <w:fldChar w:fldCharType="separate"/>
      </w:r>
      <w:hyperlink w:anchor="_Toc77070594" w:history="1">
        <w:r w:rsidR="001676E7" w:rsidRPr="00004907">
          <w:rPr>
            <w:rStyle w:val="Hipercze"/>
            <w:rFonts w:cstheme="majorHAnsi"/>
            <w:noProof/>
          </w:rPr>
          <w:t>1. Wprowadzenie</w:t>
        </w:r>
        <w:r w:rsidR="001676E7">
          <w:rPr>
            <w:noProof/>
            <w:webHidden/>
          </w:rPr>
          <w:tab/>
        </w:r>
        <w:r w:rsidR="001676E7">
          <w:rPr>
            <w:noProof/>
            <w:webHidden/>
          </w:rPr>
          <w:fldChar w:fldCharType="begin"/>
        </w:r>
        <w:r w:rsidR="001676E7">
          <w:rPr>
            <w:noProof/>
            <w:webHidden/>
          </w:rPr>
          <w:instrText xml:space="preserve"> PAGEREF _Toc77070594 \h </w:instrText>
        </w:r>
        <w:r w:rsidR="001676E7">
          <w:rPr>
            <w:noProof/>
            <w:webHidden/>
          </w:rPr>
        </w:r>
        <w:r w:rsidR="001676E7">
          <w:rPr>
            <w:noProof/>
            <w:webHidden/>
          </w:rPr>
          <w:fldChar w:fldCharType="separate"/>
        </w:r>
        <w:r w:rsidR="006C7815">
          <w:rPr>
            <w:noProof/>
            <w:webHidden/>
          </w:rPr>
          <w:t>5</w:t>
        </w:r>
        <w:r w:rsidR="001676E7">
          <w:rPr>
            <w:noProof/>
            <w:webHidden/>
          </w:rPr>
          <w:fldChar w:fldCharType="end"/>
        </w:r>
      </w:hyperlink>
    </w:p>
    <w:p w14:paraId="78102EC7" w14:textId="77777777" w:rsidR="001676E7" w:rsidRDefault="00E2001F">
      <w:pPr>
        <w:pStyle w:val="Spistreci2"/>
        <w:rPr>
          <w:rFonts w:eastAsiaTheme="minorEastAsia"/>
          <w:noProof/>
          <w:lang w:eastAsia="pl-PL"/>
        </w:rPr>
      </w:pPr>
      <w:hyperlink w:anchor="_Toc77070595" w:history="1">
        <w:r w:rsidR="001676E7" w:rsidRPr="00004907">
          <w:rPr>
            <w:rStyle w:val="Hipercze"/>
            <w:noProof/>
          </w:rPr>
          <w:t>1.1 Metodyka opracowania i proces uspołecznienia</w:t>
        </w:r>
        <w:r w:rsidR="001676E7">
          <w:rPr>
            <w:noProof/>
            <w:webHidden/>
          </w:rPr>
          <w:tab/>
        </w:r>
        <w:r w:rsidR="001676E7">
          <w:rPr>
            <w:noProof/>
            <w:webHidden/>
          </w:rPr>
          <w:fldChar w:fldCharType="begin"/>
        </w:r>
        <w:r w:rsidR="001676E7">
          <w:rPr>
            <w:noProof/>
            <w:webHidden/>
          </w:rPr>
          <w:instrText xml:space="preserve"> PAGEREF _Toc77070595 \h </w:instrText>
        </w:r>
        <w:r w:rsidR="001676E7">
          <w:rPr>
            <w:noProof/>
            <w:webHidden/>
          </w:rPr>
        </w:r>
        <w:r w:rsidR="001676E7">
          <w:rPr>
            <w:noProof/>
            <w:webHidden/>
          </w:rPr>
          <w:fldChar w:fldCharType="separate"/>
        </w:r>
        <w:r w:rsidR="006C7815">
          <w:rPr>
            <w:noProof/>
            <w:webHidden/>
          </w:rPr>
          <w:t>6</w:t>
        </w:r>
        <w:r w:rsidR="001676E7">
          <w:rPr>
            <w:noProof/>
            <w:webHidden/>
          </w:rPr>
          <w:fldChar w:fldCharType="end"/>
        </w:r>
      </w:hyperlink>
    </w:p>
    <w:p w14:paraId="1FDF9011" w14:textId="77777777" w:rsidR="001676E7" w:rsidRDefault="00E2001F">
      <w:pPr>
        <w:pStyle w:val="Spistreci2"/>
        <w:rPr>
          <w:rFonts w:eastAsiaTheme="minorEastAsia"/>
          <w:noProof/>
          <w:lang w:eastAsia="pl-PL"/>
        </w:rPr>
      </w:pPr>
      <w:hyperlink w:anchor="_Toc77070596" w:history="1">
        <w:r w:rsidR="001676E7" w:rsidRPr="00004907">
          <w:rPr>
            <w:rStyle w:val="Hipercze"/>
            <w:noProof/>
          </w:rPr>
          <w:t>1.2 Spójność planistyczna dokumentu</w:t>
        </w:r>
        <w:r w:rsidR="001676E7">
          <w:rPr>
            <w:noProof/>
            <w:webHidden/>
          </w:rPr>
          <w:tab/>
        </w:r>
        <w:r w:rsidR="001676E7">
          <w:rPr>
            <w:noProof/>
            <w:webHidden/>
          </w:rPr>
          <w:fldChar w:fldCharType="begin"/>
        </w:r>
        <w:r w:rsidR="001676E7">
          <w:rPr>
            <w:noProof/>
            <w:webHidden/>
          </w:rPr>
          <w:instrText xml:space="preserve"> PAGEREF _Toc77070596 \h </w:instrText>
        </w:r>
        <w:r w:rsidR="001676E7">
          <w:rPr>
            <w:noProof/>
            <w:webHidden/>
          </w:rPr>
        </w:r>
        <w:r w:rsidR="001676E7">
          <w:rPr>
            <w:noProof/>
            <w:webHidden/>
          </w:rPr>
          <w:fldChar w:fldCharType="separate"/>
        </w:r>
        <w:r w:rsidR="006C7815">
          <w:rPr>
            <w:noProof/>
            <w:webHidden/>
          </w:rPr>
          <w:t>6</w:t>
        </w:r>
        <w:r w:rsidR="001676E7">
          <w:rPr>
            <w:noProof/>
            <w:webHidden/>
          </w:rPr>
          <w:fldChar w:fldCharType="end"/>
        </w:r>
      </w:hyperlink>
    </w:p>
    <w:p w14:paraId="5EA694BF" w14:textId="77777777" w:rsidR="001676E7" w:rsidRDefault="00E2001F">
      <w:pPr>
        <w:pStyle w:val="Spistreci1"/>
        <w:tabs>
          <w:tab w:val="right" w:leader="dot" w:pos="9060"/>
        </w:tabs>
        <w:rPr>
          <w:rFonts w:eastAsiaTheme="minorEastAsia"/>
          <w:b w:val="0"/>
          <w:noProof/>
          <w:color w:val="auto"/>
          <w:lang w:eastAsia="pl-PL"/>
        </w:rPr>
      </w:pPr>
      <w:hyperlink w:anchor="_Toc77070597" w:history="1">
        <w:r w:rsidR="001676E7" w:rsidRPr="00004907">
          <w:rPr>
            <w:rStyle w:val="Hipercze"/>
            <w:rFonts w:cstheme="majorHAnsi"/>
            <w:noProof/>
          </w:rPr>
          <w:t>2. Przestrzeń i środowisko</w:t>
        </w:r>
        <w:r w:rsidR="001676E7">
          <w:rPr>
            <w:noProof/>
            <w:webHidden/>
          </w:rPr>
          <w:tab/>
        </w:r>
        <w:r w:rsidR="001676E7">
          <w:rPr>
            <w:noProof/>
            <w:webHidden/>
          </w:rPr>
          <w:fldChar w:fldCharType="begin"/>
        </w:r>
        <w:r w:rsidR="001676E7">
          <w:rPr>
            <w:noProof/>
            <w:webHidden/>
          </w:rPr>
          <w:instrText xml:space="preserve"> PAGEREF _Toc77070597 \h </w:instrText>
        </w:r>
        <w:r w:rsidR="001676E7">
          <w:rPr>
            <w:noProof/>
            <w:webHidden/>
          </w:rPr>
        </w:r>
        <w:r w:rsidR="001676E7">
          <w:rPr>
            <w:noProof/>
            <w:webHidden/>
          </w:rPr>
          <w:fldChar w:fldCharType="separate"/>
        </w:r>
        <w:r w:rsidR="006C7815">
          <w:rPr>
            <w:noProof/>
            <w:webHidden/>
          </w:rPr>
          <w:t>13</w:t>
        </w:r>
        <w:r w:rsidR="001676E7">
          <w:rPr>
            <w:noProof/>
            <w:webHidden/>
          </w:rPr>
          <w:fldChar w:fldCharType="end"/>
        </w:r>
      </w:hyperlink>
    </w:p>
    <w:p w14:paraId="37A5428C" w14:textId="77777777" w:rsidR="001676E7" w:rsidRDefault="00E2001F">
      <w:pPr>
        <w:pStyle w:val="Spistreci2"/>
        <w:rPr>
          <w:rFonts w:eastAsiaTheme="minorEastAsia"/>
          <w:noProof/>
          <w:lang w:eastAsia="pl-PL"/>
        </w:rPr>
      </w:pPr>
      <w:hyperlink w:anchor="_Toc77070598" w:history="1">
        <w:r w:rsidR="001676E7" w:rsidRPr="00004907">
          <w:rPr>
            <w:rStyle w:val="Hipercze"/>
            <w:noProof/>
          </w:rPr>
          <w:t>2.1 Uwarunkowania geograficzno-historyczne</w:t>
        </w:r>
        <w:r w:rsidR="001676E7">
          <w:rPr>
            <w:noProof/>
            <w:webHidden/>
          </w:rPr>
          <w:tab/>
        </w:r>
        <w:r w:rsidR="001676E7">
          <w:rPr>
            <w:noProof/>
            <w:webHidden/>
          </w:rPr>
          <w:fldChar w:fldCharType="begin"/>
        </w:r>
        <w:r w:rsidR="001676E7">
          <w:rPr>
            <w:noProof/>
            <w:webHidden/>
          </w:rPr>
          <w:instrText xml:space="preserve"> PAGEREF _Toc77070598 \h </w:instrText>
        </w:r>
        <w:r w:rsidR="001676E7">
          <w:rPr>
            <w:noProof/>
            <w:webHidden/>
          </w:rPr>
        </w:r>
        <w:r w:rsidR="001676E7">
          <w:rPr>
            <w:noProof/>
            <w:webHidden/>
          </w:rPr>
          <w:fldChar w:fldCharType="separate"/>
        </w:r>
        <w:r w:rsidR="006C7815">
          <w:rPr>
            <w:noProof/>
            <w:webHidden/>
          </w:rPr>
          <w:t>13</w:t>
        </w:r>
        <w:r w:rsidR="001676E7">
          <w:rPr>
            <w:noProof/>
            <w:webHidden/>
          </w:rPr>
          <w:fldChar w:fldCharType="end"/>
        </w:r>
      </w:hyperlink>
    </w:p>
    <w:p w14:paraId="59F6C28F" w14:textId="77777777" w:rsidR="001676E7" w:rsidRDefault="00E2001F">
      <w:pPr>
        <w:pStyle w:val="Spistreci2"/>
        <w:rPr>
          <w:rFonts w:eastAsiaTheme="minorEastAsia"/>
          <w:noProof/>
          <w:lang w:eastAsia="pl-PL"/>
        </w:rPr>
      </w:pPr>
      <w:hyperlink w:anchor="_Toc77070599" w:history="1">
        <w:r w:rsidR="001676E7" w:rsidRPr="00004907">
          <w:rPr>
            <w:rStyle w:val="Hipercze"/>
            <w:noProof/>
          </w:rPr>
          <w:t>2.2 Układ przestrzenno-administracyjny</w:t>
        </w:r>
        <w:r w:rsidR="001676E7">
          <w:rPr>
            <w:noProof/>
            <w:webHidden/>
          </w:rPr>
          <w:tab/>
        </w:r>
        <w:r w:rsidR="001676E7">
          <w:rPr>
            <w:noProof/>
            <w:webHidden/>
          </w:rPr>
          <w:fldChar w:fldCharType="begin"/>
        </w:r>
        <w:r w:rsidR="001676E7">
          <w:rPr>
            <w:noProof/>
            <w:webHidden/>
          </w:rPr>
          <w:instrText xml:space="preserve"> PAGEREF _Toc77070599 \h </w:instrText>
        </w:r>
        <w:r w:rsidR="001676E7">
          <w:rPr>
            <w:noProof/>
            <w:webHidden/>
          </w:rPr>
        </w:r>
        <w:r w:rsidR="001676E7">
          <w:rPr>
            <w:noProof/>
            <w:webHidden/>
          </w:rPr>
          <w:fldChar w:fldCharType="separate"/>
        </w:r>
        <w:r w:rsidR="006C7815">
          <w:rPr>
            <w:noProof/>
            <w:webHidden/>
          </w:rPr>
          <w:t>15</w:t>
        </w:r>
        <w:r w:rsidR="001676E7">
          <w:rPr>
            <w:noProof/>
            <w:webHidden/>
          </w:rPr>
          <w:fldChar w:fldCharType="end"/>
        </w:r>
      </w:hyperlink>
    </w:p>
    <w:p w14:paraId="6A92CFA6" w14:textId="77777777" w:rsidR="001676E7" w:rsidRDefault="00E2001F">
      <w:pPr>
        <w:pStyle w:val="Spistreci2"/>
        <w:rPr>
          <w:rFonts w:eastAsiaTheme="minorEastAsia"/>
          <w:noProof/>
          <w:lang w:eastAsia="pl-PL"/>
        </w:rPr>
      </w:pPr>
      <w:hyperlink w:anchor="_Toc77070600" w:history="1">
        <w:r w:rsidR="001676E7" w:rsidRPr="00004907">
          <w:rPr>
            <w:rStyle w:val="Hipercze"/>
            <w:rFonts w:cstheme="majorHAnsi"/>
            <w:noProof/>
          </w:rPr>
          <w:t>2.3 Stan zagospodarowania i zasoby naturalne</w:t>
        </w:r>
        <w:r w:rsidR="001676E7">
          <w:rPr>
            <w:noProof/>
            <w:webHidden/>
          </w:rPr>
          <w:tab/>
        </w:r>
        <w:r w:rsidR="001676E7">
          <w:rPr>
            <w:noProof/>
            <w:webHidden/>
          </w:rPr>
          <w:fldChar w:fldCharType="begin"/>
        </w:r>
        <w:r w:rsidR="001676E7">
          <w:rPr>
            <w:noProof/>
            <w:webHidden/>
          </w:rPr>
          <w:instrText xml:space="preserve"> PAGEREF _Toc77070600 \h </w:instrText>
        </w:r>
        <w:r w:rsidR="001676E7">
          <w:rPr>
            <w:noProof/>
            <w:webHidden/>
          </w:rPr>
        </w:r>
        <w:r w:rsidR="001676E7">
          <w:rPr>
            <w:noProof/>
            <w:webHidden/>
          </w:rPr>
          <w:fldChar w:fldCharType="separate"/>
        </w:r>
        <w:r w:rsidR="006C7815">
          <w:rPr>
            <w:noProof/>
            <w:webHidden/>
          </w:rPr>
          <w:t>16</w:t>
        </w:r>
        <w:r w:rsidR="001676E7">
          <w:rPr>
            <w:noProof/>
            <w:webHidden/>
          </w:rPr>
          <w:fldChar w:fldCharType="end"/>
        </w:r>
      </w:hyperlink>
    </w:p>
    <w:p w14:paraId="1D34FC22" w14:textId="77777777" w:rsidR="001676E7" w:rsidRDefault="00E2001F">
      <w:pPr>
        <w:pStyle w:val="Spistreci2"/>
        <w:rPr>
          <w:rFonts w:eastAsiaTheme="minorEastAsia"/>
          <w:noProof/>
          <w:lang w:eastAsia="pl-PL"/>
        </w:rPr>
      </w:pPr>
      <w:hyperlink w:anchor="_Toc77070601" w:history="1">
        <w:r w:rsidR="001676E7" w:rsidRPr="00004907">
          <w:rPr>
            <w:rStyle w:val="Hipercze"/>
            <w:noProof/>
          </w:rPr>
          <w:t>2.4 Stan środowiska naturalnego</w:t>
        </w:r>
        <w:r w:rsidR="001676E7">
          <w:rPr>
            <w:noProof/>
            <w:webHidden/>
          </w:rPr>
          <w:tab/>
        </w:r>
        <w:r w:rsidR="001676E7">
          <w:rPr>
            <w:noProof/>
            <w:webHidden/>
          </w:rPr>
          <w:fldChar w:fldCharType="begin"/>
        </w:r>
        <w:r w:rsidR="001676E7">
          <w:rPr>
            <w:noProof/>
            <w:webHidden/>
          </w:rPr>
          <w:instrText xml:space="preserve"> PAGEREF _Toc77070601 \h </w:instrText>
        </w:r>
        <w:r w:rsidR="001676E7">
          <w:rPr>
            <w:noProof/>
            <w:webHidden/>
          </w:rPr>
        </w:r>
        <w:r w:rsidR="001676E7">
          <w:rPr>
            <w:noProof/>
            <w:webHidden/>
          </w:rPr>
          <w:fldChar w:fldCharType="separate"/>
        </w:r>
        <w:r w:rsidR="006C7815">
          <w:rPr>
            <w:noProof/>
            <w:webHidden/>
          </w:rPr>
          <w:t>18</w:t>
        </w:r>
        <w:r w:rsidR="001676E7">
          <w:rPr>
            <w:noProof/>
            <w:webHidden/>
          </w:rPr>
          <w:fldChar w:fldCharType="end"/>
        </w:r>
      </w:hyperlink>
    </w:p>
    <w:p w14:paraId="14B95C40" w14:textId="77777777" w:rsidR="001676E7" w:rsidRDefault="00E2001F">
      <w:pPr>
        <w:pStyle w:val="Spistreci1"/>
        <w:tabs>
          <w:tab w:val="right" w:leader="dot" w:pos="9060"/>
        </w:tabs>
        <w:rPr>
          <w:rFonts w:eastAsiaTheme="minorEastAsia"/>
          <w:b w:val="0"/>
          <w:noProof/>
          <w:color w:val="auto"/>
          <w:lang w:eastAsia="pl-PL"/>
        </w:rPr>
      </w:pPr>
      <w:hyperlink w:anchor="_Toc77070602" w:history="1">
        <w:r w:rsidR="001676E7" w:rsidRPr="00004907">
          <w:rPr>
            <w:rStyle w:val="Hipercze"/>
            <w:rFonts w:cstheme="majorHAnsi"/>
            <w:noProof/>
          </w:rPr>
          <w:t>3. Sfera społeczna</w:t>
        </w:r>
        <w:r w:rsidR="001676E7">
          <w:rPr>
            <w:noProof/>
            <w:webHidden/>
          </w:rPr>
          <w:tab/>
        </w:r>
        <w:r w:rsidR="001676E7">
          <w:rPr>
            <w:noProof/>
            <w:webHidden/>
          </w:rPr>
          <w:fldChar w:fldCharType="begin"/>
        </w:r>
        <w:r w:rsidR="001676E7">
          <w:rPr>
            <w:noProof/>
            <w:webHidden/>
          </w:rPr>
          <w:instrText xml:space="preserve"> PAGEREF _Toc77070602 \h </w:instrText>
        </w:r>
        <w:r w:rsidR="001676E7">
          <w:rPr>
            <w:noProof/>
            <w:webHidden/>
          </w:rPr>
        </w:r>
        <w:r w:rsidR="001676E7">
          <w:rPr>
            <w:noProof/>
            <w:webHidden/>
          </w:rPr>
          <w:fldChar w:fldCharType="separate"/>
        </w:r>
        <w:r w:rsidR="006C7815">
          <w:rPr>
            <w:noProof/>
            <w:webHidden/>
          </w:rPr>
          <w:t>23</w:t>
        </w:r>
        <w:r w:rsidR="001676E7">
          <w:rPr>
            <w:noProof/>
            <w:webHidden/>
          </w:rPr>
          <w:fldChar w:fldCharType="end"/>
        </w:r>
      </w:hyperlink>
    </w:p>
    <w:p w14:paraId="2614CA0F" w14:textId="77777777" w:rsidR="001676E7" w:rsidRDefault="00E2001F">
      <w:pPr>
        <w:pStyle w:val="Spistreci2"/>
        <w:rPr>
          <w:rFonts w:eastAsiaTheme="minorEastAsia"/>
          <w:noProof/>
          <w:lang w:eastAsia="pl-PL"/>
        </w:rPr>
      </w:pPr>
      <w:hyperlink w:anchor="_Toc77070603" w:history="1">
        <w:r w:rsidR="001676E7" w:rsidRPr="00004907">
          <w:rPr>
            <w:rStyle w:val="Hipercze"/>
            <w:noProof/>
          </w:rPr>
          <w:t>3.1 Demografia</w:t>
        </w:r>
        <w:r w:rsidR="001676E7">
          <w:rPr>
            <w:noProof/>
            <w:webHidden/>
          </w:rPr>
          <w:tab/>
        </w:r>
        <w:r w:rsidR="001676E7">
          <w:rPr>
            <w:noProof/>
            <w:webHidden/>
          </w:rPr>
          <w:fldChar w:fldCharType="begin"/>
        </w:r>
        <w:r w:rsidR="001676E7">
          <w:rPr>
            <w:noProof/>
            <w:webHidden/>
          </w:rPr>
          <w:instrText xml:space="preserve"> PAGEREF _Toc77070603 \h </w:instrText>
        </w:r>
        <w:r w:rsidR="001676E7">
          <w:rPr>
            <w:noProof/>
            <w:webHidden/>
          </w:rPr>
        </w:r>
        <w:r w:rsidR="001676E7">
          <w:rPr>
            <w:noProof/>
            <w:webHidden/>
          </w:rPr>
          <w:fldChar w:fldCharType="separate"/>
        </w:r>
        <w:r w:rsidR="006C7815">
          <w:rPr>
            <w:noProof/>
            <w:webHidden/>
          </w:rPr>
          <w:t>23</w:t>
        </w:r>
        <w:r w:rsidR="001676E7">
          <w:rPr>
            <w:noProof/>
            <w:webHidden/>
          </w:rPr>
          <w:fldChar w:fldCharType="end"/>
        </w:r>
      </w:hyperlink>
    </w:p>
    <w:p w14:paraId="06986DE1" w14:textId="77777777" w:rsidR="001676E7" w:rsidRDefault="00E2001F">
      <w:pPr>
        <w:pStyle w:val="Spistreci2"/>
        <w:rPr>
          <w:rFonts w:eastAsiaTheme="minorEastAsia"/>
          <w:noProof/>
          <w:lang w:eastAsia="pl-PL"/>
        </w:rPr>
      </w:pPr>
      <w:hyperlink w:anchor="_Toc77070604" w:history="1">
        <w:r w:rsidR="001676E7" w:rsidRPr="00004907">
          <w:rPr>
            <w:rStyle w:val="Hipercze"/>
            <w:noProof/>
          </w:rPr>
          <w:t>3.2 Działalność organizacji pozarządowych</w:t>
        </w:r>
        <w:r w:rsidR="001676E7">
          <w:rPr>
            <w:noProof/>
            <w:webHidden/>
          </w:rPr>
          <w:tab/>
        </w:r>
        <w:r w:rsidR="001676E7">
          <w:rPr>
            <w:noProof/>
            <w:webHidden/>
          </w:rPr>
          <w:fldChar w:fldCharType="begin"/>
        </w:r>
        <w:r w:rsidR="001676E7">
          <w:rPr>
            <w:noProof/>
            <w:webHidden/>
          </w:rPr>
          <w:instrText xml:space="preserve"> PAGEREF _Toc77070604 \h </w:instrText>
        </w:r>
        <w:r w:rsidR="001676E7">
          <w:rPr>
            <w:noProof/>
            <w:webHidden/>
          </w:rPr>
        </w:r>
        <w:r w:rsidR="001676E7">
          <w:rPr>
            <w:noProof/>
            <w:webHidden/>
          </w:rPr>
          <w:fldChar w:fldCharType="separate"/>
        </w:r>
        <w:r w:rsidR="006C7815">
          <w:rPr>
            <w:noProof/>
            <w:webHidden/>
          </w:rPr>
          <w:t>28</w:t>
        </w:r>
        <w:r w:rsidR="001676E7">
          <w:rPr>
            <w:noProof/>
            <w:webHidden/>
          </w:rPr>
          <w:fldChar w:fldCharType="end"/>
        </w:r>
      </w:hyperlink>
    </w:p>
    <w:p w14:paraId="20BC0EB5" w14:textId="77777777" w:rsidR="001676E7" w:rsidRDefault="00E2001F">
      <w:pPr>
        <w:pStyle w:val="Spistreci1"/>
        <w:tabs>
          <w:tab w:val="right" w:leader="dot" w:pos="9060"/>
        </w:tabs>
        <w:rPr>
          <w:rFonts w:eastAsiaTheme="minorEastAsia"/>
          <w:b w:val="0"/>
          <w:noProof/>
          <w:color w:val="auto"/>
          <w:lang w:eastAsia="pl-PL"/>
        </w:rPr>
      </w:pPr>
      <w:hyperlink w:anchor="_Toc77070605" w:history="1">
        <w:r w:rsidR="001676E7" w:rsidRPr="00004907">
          <w:rPr>
            <w:rStyle w:val="Hipercze"/>
            <w:rFonts w:cstheme="majorHAnsi"/>
            <w:noProof/>
          </w:rPr>
          <w:t>4. Sfera gospodarcza</w:t>
        </w:r>
        <w:r w:rsidR="001676E7">
          <w:rPr>
            <w:noProof/>
            <w:webHidden/>
          </w:rPr>
          <w:tab/>
        </w:r>
        <w:r w:rsidR="001676E7">
          <w:rPr>
            <w:noProof/>
            <w:webHidden/>
          </w:rPr>
          <w:fldChar w:fldCharType="begin"/>
        </w:r>
        <w:r w:rsidR="001676E7">
          <w:rPr>
            <w:noProof/>
            <w:webHidden/>
          </w:rPr>
          <w:instrText xml:space="preserve"> PAGEREF _Toc77070605 \h </w:instrText>
        </w:r>
        <w:r w:rsidR="001676E7">
          <w:rPr>
            <w:noProof/>
            <w:webHidden/>
          </w:rPr>
        </w:r>
        <w:r w:rsidR="001676E7">
          <w:rPr>
            <w:noProof/>
            <w:webHidden/>
          </w:rPr>
          <w:fldChar w:fldCharType="separate"/>
        </w:r>
        <w:r w:rsidR="006C7815">
          <w:rPr>
            <w:noProof/>
            <w:webHidden/>
          </w:rPr>
          <w:t>30</w:t>
        </w:r>
        <w:r w:rsidR="001676E7">
          <w:rPr>
            <w:noProof/>
            <w:webHidden/>
          </w:rPr>
          <w:fldChar w:fldCharType="end"/>
        </w:r>
      </w:hyperlink>
    </w:p>
    <w:p w14:paraId="698CF18B" w14:textId="77777777" w:rsidR="001676E7" w:rsidRDefault="00E2001F">
      <w:pPr>
        <w:pStyle w:val="Spistreci2"/>
        <w:rPr>
          <w:rFonts w:eastAsiaTheme="minorEastAsia"/>
          <w:noProof/>
          <w:lang w:eastAsia="pl-PL"/>
        </w:rPr>
      </w:pPr>
      <w:hyperlink w:anchor="_Toc77070606" w:history="1">
        <w:r w:rsidR="001676E7" w:rsidRPr="00004907">
          <w:rPr>
            <w:rStyle w:val="Hipercze"/>
            <w:rFonts w:cstheme="majorHAnsi"/>
            <w:noProof/>
          </w:rPr>
          <w:t>4.1 Podmioty gospodarcze</w:t>
        </w:r>
        <w:r w:rsidR="001676E7">
          <w:rPr>
            <w:noProof/>
            <w:webHidden/>
          </w:rPr>
          <w:tab/>
        </w:r>
        <w:r w:rsidR="001676E7">
          <w:rPr>
            <w:noProof/>
            <w:webHidden/>
          </w:rPr>
          <w:fldChar w:fldCharType="begin"/>
        </w:r>
        <w:r w:rsidR="001676E7">
          <w:rPr>
            <w:noProof/>
            <w:webHidden/>
          </w:rPr>
          <w:instrText xml:space="preserve"> PAGEREF _Toc77070606 \h </w:instrText>
        </w:r>
        <w:r w:rsidR="001676E7">
          <w:rPr>
            <w:noProof/>
            <w:webHidden/>
          </w:rPr>
        </w:r>
        <w:r w:rsidR="001676E7">
          <w:rPr>
            <w:noProof/>
            <w:webHidden/>
          </w:rPr>
          <w:fldChar w:fldCharType="separate"/>
        </w:r>
        <w:r w:rsidR="006C7815">
          <w:rPr>
            <w:noProof/>
            <w:webHidden/>
          </w:rPr>
          <w:t>30</w:t>
        </w:r>
        <w:r w:rsidR="001676E7">
          <w:rPr>
            <w:noProof/>
            <w:webHidden/>
          </w:rPr>
          <w:fldChar w:fldCharType="end"/>
        </w:r>
      </w:hyperlink>
    </w:p>
    <w:p w14:paraId="5F1B5FC0" w14:textId="77777777" w:rsidR="001676E7" w:rsidRDefault="00E2001F">
      <w:pPr>
        <w:pStyle w:val="Spistreci2"/>
        <w:rPr>
          <w:rFonts w:eastAsiaTheme="minorEastAsia"/>
          <w:noProof/>
          <w:lang w:eastAsia="pl-PL"/>
        </w:rPr>
      </w:pPr>
      <w:hyperlink w:anchor="_Toc77070607" w:history="1">
        <w:r w:rsidR="001676E7" w:rsidRPr="00004907">
          <w:rPr>
            <w:rStyle w:val="Hipercze"/>
            <w:rFonts w:cstheme="majorHAnsi"/>
            <w:noProof/>
          </w:rPr>
          <w:t>4.2 Rynek pracy</w:t>
        </w:r>
        <w:r w:rsidR="001676E7">
          <w:rPr>
            <w:noProof/>
            <w:webHidden/>
          </w:rPr>
          <w:tab/>
        </w:r>
        <w:r w:rsidR="001676E7">
          <w:rPr>
            <w:noProof/>
            <w:webHidden/>
          </w:rPr>
          <w:fldChar w:fldCharType="begin"/>
        </w:r>
        <w:r w:rsidR="001676E7">
          <w:rPr>
            <w:noProof/>
            <w:webHidden/>
          </w:rPr>
          <w:instrText xml:space="preserve"> PAGEREF _Toc77070607 \h </w:instrText>
        </w:r>
        <w:r w:rsidR="001676E7">
          <w:rPr>
            <w:noProof/>
            <w:webHidden/>
          </w:rPr>
        </w:r>
        <w:r w:rsidR="001676E7">
          <w:rPr>
            <w:noProof/>
            <w:webHidden/>
          </w:rPr>
          <w:fldChar w:fldCharType="separate"/>
        </w:r>
        <w:r w:rsidR="006C7815">
          <w:rPr>
            <w:noProof/>
            <w:webHidden/>
          </w:rPr>
          <w:t>32</w:t>
        </w:r>
        <w:r w:rsidR="001676E7">
          <w:rPr>
            <w:noProof/>
            <w:webHidden/>
          </w:rPr>
          <w:fldChar w:fldCharType="end"/>
        </w:r>
      </w:hyperlink>
    </w:p>
    <w:p w14:paraId="38352510" w14:textId="77777777" w:rsidR="001676E7" w:rsidRDefault="00E2001F">
      <w:pPr>
        <w:pStyle w:val="Spistreci2"/>
        <w:rPr>
          <w:rFonts w:eastAsiaTheme="minorEastAsia"/>
          <w:noProof/>
          <w:lang w:eastAsia="pl-PL"/>
        </w:rPr>
      </w:pPr>
      <w:hyperlink w:anchor="_Toc77070608" w:history="1">
        <w:r w:rsidR="001676E7" w:rsidRPr="00004907">
          <w:rPr>
            <w:rStyle w:val="Hipercze"/>
            <w:rFonts w:cstheme="majorHAnsi"/>
            <w:noProof/>
          </w:rPr>
          <w:t>4.3 Dochody ludności</w:t>
        </w:r>
        <w:r w:rsidR="001676E7">
          <w:rPr>
            <w:noProof/>
            <w:webHidden/>
          </w:rPr>
          <w:tab/>
        </w:r>
        <w:r w:rsidR="001676E7">
          <w:rPr>
            <w:noProof/>
            <w:webHidden/>
          </w:rPr>
          <w:fldChar w:fldCharType="begin"/>
        </w:r>
        <w:r w:rsidR="001676E7">
          <w:rPr>
            <w:noProof/>
            <w:webHidden/>
          </w:rPr>
          <w:instrText xml:space="preserve"> PAGEREF _Toc77070608 \h </w:instrText>
        </w:r>
        <w:r w:rsidR="001676E7">
          <w:rPr>
            <w:noProof/>
            <w:webHidden/>
          </w:rPr>
        </w:r>
        <w:r w:rsidR="001676E7">
          <w:rPr>
            <w:noProof/>
            <w:webHidden/>
          </w:rPr>
          <w:fldChar w:fldCharType="separate"/>
        </w:r>
        <w:r w:rsidR="006C7815">
          <w:rPr>
            <w:noProof/>
            <w:webHidden/>
          </w:rPr>
          <w:t>36</w:t>
        </w:r>
        <w:r w:rsidR="001676E7">
          <w:rPr>
            <w:noProof/>
            <w:webHidden/>
          </w:rPr>
          <w:fldChar w:fldCharType="end"/>
        </w:r>
      </w:hyperlink>
    </w:p>
    <w:p w14:paraId="69DBA842" w14:textId="77777777" w:rsidR="001676E7" w:rsidRDefault="00E2001F">
      <w:pPr>
        <w:pStyle w:val="Spistreci1"/>
        <w:tabs>
          <w:tab w:val="right" w:leader="dot" w:pos="9060"/>
        </w:tabs>
        <w:rPr>
          <w:rFonts w:eastAsiaTheme="minorEastAsia"/>
          <w:b w:val="0"/>
          <w:noProof/>
          <w:color w:val="auto"/>
          <w:lang w:eastAsia="pl-PL"/>
        </w:rPr>
      </w:pPr>
      <w:hyperlink w:anchor="_Toc77070609" w:history="1">
        <w:r w:rsidR="001676E7" w:rsidRPr="00004907">
          <w:rPr>
            <w:rStyle w:val="Hipercze"/>
            <w:rFonts w:cstheme="majorHAnsi"/>
            <w:noProof/>
          </w:rPr>
          <w:t>5. Infrastruktura techniczna</w:t>
        </w:r>
        <w:r w:rsidR="001676E7">
          <w:rPr>
            <w:noProof/>
            <w:webHidden/>
          </w:rPr>
          <w:tab/>
        </w:r>
        <w:r w:rsidR="001676E7">
          <w:rPr>
            <w:noProof/>
            <w:webHidden/>
          </w:rPr>
          <w:fldChar w:fldCharType="begin"/>
        </w:r>
        <w:r w:rsidR="001676E7">
          <w:rPr>
            <w:noProof/>
            <w:webHidden/>
          </w:rPr>
          <w:instrText xml:space="preserve"> PAGEREF _Toc77070609 \h </w:instrText>
        </w:r>
        <w:r w:rsidR="001676E7">
          <w:rPr>
            <w:noProof/>
            <w:webHidden/>
          </w:rPr>
        </w:r>
        <w:r w:rsidR="001676E7">
          <w:rPr>
            <w:noProof/>
            <w:webHidden/>
          </w:rPr>
          <w:fldChar w:fldCharType="separate"/>
        </w:r>
        <w:r w:rsidR="006C7815">
          <w:rPr>
            <w:noProof/>
            <w:webHidden/>
          </w:rPr>
          <w:t>37</w:t>
        </w:r>
        <w:r w:rsidR="001676E7">
          <w:rPr>
            <w:noProof/>
            <w:webHidden/>
          </w:rPr>
          <w:fldChar w:fldCharType="end"/>
        </w:r>
      </w:hyperlink>
    </w:p>
    <w:p w14:paraId="2AD2D6D3" w14:textId="77777777" w:rsidR="001676E7" w:rsidRDefault="00E2001F">
      <w:pPr>
        <w:pStyle w:val="Spistreci2"/>
        <w:rPr>
          <w:rFonts w:eastAsiaTheme="minorEastAsia"/>
          <w:noProof/>
          <w:lang w:eastAsia="pl-PL"/>
        </w:rPr>
      </w:pPr>
      <w:hyperlink w:anchor="_Toc77070610" w:history="1">
        <w:r w:rsidR="001676E7" w:rsidRPr="00004907">
          <w:rPr>
            <w:rStyle w:val="Hipercze"/>
            <w:rFonts w:cstheme="majorHAnsi"/>
            <w:noProof/>
          </w:rPr>
          <w:t>5.1 Komunikacyjna</w:t>
        </w:r>
        <w:r w:rsidR="001676E7">
          <w:rPr>
            <w:noProof/>
            <w:webHidden/>
          </w:rPr>
          <w:tab/>
        </w:r>
        <w:r w:rsidR="001676E7">
          <w:rPr>
            <w:noProof/>
            <w:webHidden/>
          </w:rPr>
          <w:fldChar w:fldCharType="begin"/>
        </w:r>
        <w:r w:rsidR="001676E7">
          <w:rPr>
            <w:noProof/>
            <w:webHidden/>
          </w:rPr>
          <w:instrText xml:space="preserve"> PAGEREF _Toc77070610 \h </w:instrText>
        </w:r>
        <w:r w:rsidR="001676E7">
          <w:rPr>
            <w:noProof/>
            <w:webHidden/>
          </w:rPr>
        </w:r>
        <w:r w:rsidR="001676E7">
          <w:rPr>
            <w:noProof/>
            <w:webHidden/>
          </w:rPr>
          <w:fldChar w:fldCharType="separate"/>
        </w:r>
        <w:r w:rsidR="006C7815">
          <w:rPr>
            <w:noProof/>
            <w:webHidden/>
          </w:rPr>
          <w:t>37</w:t>
        </w:r>
        <w:r w:rsidR="001676E7">
          <w:rPr>
            <w:noProof/>
            <w:webHidden/>
          </w:rPr>
          <w:fldChar w:fldCharType="end"/>
        </w:r>
      </w:hyperlink>
    </w:p>
    <w:p w14:paraId="7588373D" w14:textId="77777777" w:rsidR="001676E7" w:rsidRDefault="00E2001F">
      <w:pPr>
        <w:pStyle w:val="Spistreci2"/>
        <w:rPr>
          <w:rFonts w:eastAsiaTheme="minorEastAsia"/>
          <w:noProof/>
          <w:lang w:eastAsia="pl-PL"/>
        </w:rPr>
      </w:pPr>
      <w:hyperlink w:anchor="_Toc77070611" w:history="1">
        <w:r w:rsidR="001676E7" w:rsidRPr="00004907">
          <w:rPr>
            <w:rStyle w:val="Hipercze"/>
            <w:noProof/>
          </w:rPr>
          <w:t>5.2 Infrastruktura sieciowa</w:t>
        </w:r>
        <w:r w:rsidR="001676E7">
          <w:rPr>
            <w:noProof/>
            <w:webHidden/>
          </w:rPr>
          <w:tab/>
        </w:r>
        <w:r w:rsidR="001676E7">
          <w:rPr>
            <w:noProof/>
            <w:webHidden/>
          </w:rPr>
          <w:fldChar w:fldCharType="begin"/>
        </w:r>
        <w:r w:rsidR="001676E7">
          <w:rPr>
            <w:noProof/>
            <w:webHidden/>
          </w:rPr>
          <w:instrText xml:space="preserve"> PAGEREF _Toc77070611 \h </w:instrText>
        </w:r>
        <w:r w:rsidR="001676E7">
          <w:rPr>
            <w:noProof/>
            <w:webHidden/>
          </w:rPr>
        </w:r>
        <w:r w:rsidR="001676E7">
          <w:rPr>
            <w:noProof/>
            <w:webHidden/>
          </w:rPr>
          <w:fldChar w:fldCharType="separate"/>
        </w:r>
        <w:r w:rsidR="006C7815">
          <w:rPr>
            <w:noProof/>
            <w:webHidden/>
          </w:rPr>
          <w:t>43</w:t>
        </w:r>
        <w:r w:rsidR="001676E7">
          <w:rPr>
            <w:noProof/>
            <w:webHidden/>
          </w:rPr>
          <w:fldChar w:fldCharType="end"/>
        </w:r>
      </w:hyperlink>
    </w:p>
    <w:p w14:paraId="05BC1028" w14:textId="77777777" w:rsidR="001676E7" w:rsidRDefault="00E2001F">
      <w:pPr>
        <w:pStyle w:val="Spistreci2"/>
        <w:rPr>
          <w:rFonts w:eastAsiaTheme="minorEastAsia"/>
          <w:noProof/>
          <w:lang w:eastAsia="pl-PL"/>
        </w:rPr>
      </w:pPr>
      <w:hyperlink w:anchor="_Toc77070612" w:history="1">
        <w:r w:rsidR="001676E7" w:rsidRPr="00004907">
          <w:rPr>
            <w:rStyle w:val="Hipercze"/>
            <w:rFonts w:cstheme="majorHAnsi"/>
            <w:noProof/>
          </w:rPr>
          <w:t>5.3 Mieszkalnictwo</w:t>
        </w:r>
        <w:r w:rsidR="001676E7">
          <w:rPr>
            <w:noProof/>
            <w:webHidden/>
          </w:rPr>
          <w:tab/>
        </w:r>
        <w:r w:rsidR="001676E7">
          <w:rPr>
            <w:noProof/>
            <w:webHidden/>
          </w:rPr>
          <w:fldChar w:fldCharType="begin"/>
        </w:r>
        <w:r w:rsidR="001676E7">
          <w:rPr>
            <w:noProof/>
            <w:webHidden/>
          </w:rPr>
          <w:instrText xml:space="preserve"> PAGEREF _Toc77070612 \h </w:instrText>
        </w:r>
        <w:r w:rsidR="001676E7">
          <w:rPr>
            <w:noProof/>
            <w:webHidden/>
          </w:rPr>
        </w:r>
        <w:r w:rsidR="001676E7">
          <w:rPr>
            <w:noProof/>
            <w:webHidden/>
          </w:rPr>
          <w:fldChar w:fldCharType="separate"/>
        </w:r>
        <w:r w:rsidR="006C7815">
          <w:rPr>
            <w:noProof/>
            <w:webHidden/>
          </w:rPr>
          <w:t>48</w:t>
        </w:r>
        <w:r w:rsidR="001676E7">
          <w:rPr>
            <w:noProof/>
            <w:webHidden/>
          </w:rPr>
          <w:fldChar w:fldCharType="end"/>
        </w:r>
      </w:hyperlink>
    </w:p>
    <w:p w14:paraId="1AC47EB6" w14:textId="77777777" w:rsidR="001676E7" w:rsidRDefault="00E2001F">
      <w:pPr>
        <w:pStyle w:val="Spistreci1"/>
        <w:tabs>
          <w:tab w:val="right" w:leader="dot" w:pos="9060"/>
        </w:tabs>
        <w:rPr>
          <w:rFonts w:eastAsiaTheme="minorEastAsia"/>
          <w:b w:val="0"/>
          <w:noProof/>
          <w:color w:val="auto"/>
          <w:lang w:eastAsia="pl-PL"/>
        </w:rPr>
      </w:pPr>
      <w:hyperlink w:anchor="_Toc77070613" w:history="1">
        <w:r w:rsidR="001676E7" w:rsidRPr="00004907">
          <w:rPr>
            <w:rStyle w:val="Hipercze"/>
            <w:rFonts w:cstheme="majorHAnsi"/>
            <w:noProof/>
          </w:rPr>
          <w:t>6. Infrastruktura społeczna</w:t>
        </w:r>
        <w:r w:rsidR="001676E7">
          <w:rPr>
            <w:noProof/>
            <w:webHidden/>
          </w:rPr>
          <w:tab/>
        </w:r>
        <w:r w:rsidR="001676E7">
          <w:rPr>
            <w:noProof/>
            <w:webHidden/>
          </w:rPr>
          <w:fldChar w:fldCharType="begin"/>
        </w:r>
        <w:r w:rsidR="001676E7">
          <w:rPr>
            <w:noProof/>
            <w:webHidden/>
          </w:rPr>
          <w:instrText xml:space="preserve"> PAGEREF _Toc77070613 \h </w:instrText>
        </w:r>
        <w:r w:rsidR="001676E7">
          <w:rPr>
            <w:noProof/>
            <w:webHidden/>
          </w:rPr>
        </w:r>
        <w:r w:rsidR="001676E7">
          <w:rPr>
            <w:noProof/>
            <w:webHidden/>
          </w:rPr>
          <w:fldChar w:fldCharType="separate"/>
        </w:r>
        <w:r w:rsidR="006C7815">
          <w:rPr>
            <w:noProof/>
            <w:webHidden/>
          </w:rPr>
          <w:t>50</w:t>
        </w:r>
        <w:r w:rsidR="001676E7">
          <w:rPr>
            <w:noProof/>
            <w:webHidden/>
          </w:rPr>
          <w:fldChar w:fldCharType="end"/>
        </w:r>
      </w:hyperlink>
    </w:p>
    <w:p w14:paraId="7F3DDE16" w14:textId="77777777" w:rsidR="001676E7" w:rsidRDefault="00E2001F">
      <w:pPr>
        <w:pStyle w:val="Spistreci2"/>
        <w:rPr>
          <w:rFonts w:eastAsiaTheme="minorEastAsia"/>
          <w:noProof/>
          <w:lang w:eastAsia="pl-PL"/>
        </w:rPr>
      </w:pPr>
      <w:hyperlink w:anchor="_Toc77070614" w:history="1">
        <w:r w:rsidR="001676E7" w:rsidRPr="00004907">
          <w:rPr>
            <w:rStyle w:val="Hipercze"/>
            <w:noProof/>
          </w:rPr>
          <w:t>6.1 Edukacja</w:t>
        </w:r>
        <w:r w:rsidR="001676E7">
          <w:rPr>
            <w:noProof/>
            <w:webHidden/>
          </w:rPr>
          <w:tab/>
        </w:r>
        <w:r w:rsidR="001676E7">
          <w:rPr>
            <w:noProof/>
            <w:webHidden/>
          </w:rPr>
          <w:fldChar w:fldCharType="begin"/>
        </w:r>
        <w:r w:rsidR="001676E7">
          <w:rPr>
            <w:noProof/>
            <w:webHidden/>
          </w:rPr>
          <w:instrText xml:space="preserve"> PAGEREF _Toc77070614 \h </w:instrText>
        </w:r>
        <w:r w:rsidR="001676E7">
          <w:rPr>
            <w:noProof/>
            <w:webHidden/>
          </w:rPr>
        </w:r>
        <w:r w:rsidR="001676E7">
          <w:rPr>
            <w:noProof/>
            <w:webHidden/>
          </w:rPr>
          <w:fldChar w:fldCharType="separate"/>
        </w:r>
        <w:r w:rsidR="006C7815">
          <w:rPr>
            <w:noProof/>
            <w:webHidden/>
          </w:rPr>
          <w:t>50</w:t>
        </w:r>
        <w:r w:rsidR="001676E7">
          <w:rPr>
            <w:noProof/>
            <w:webHidden/>
          </w:rPr>
          <w:fldChar w:fldCharType="end"/>
        </w:r>
      </w:hyperlink>
    </w:p>
    <w:p w14:paraId="037DE742" w14:textId="77777777" w:rsidR="001676E7" w:rsidRDefault="00E2001F">
      <w:pPr>
        <w:pStyle w:val="Spistreci2"/>
        <w:rPr>
          <w:rFonts w:eastAsiaTheme="minorEastAsia"/>
          <w:noProof/>
          <w:lang w:eastAsia="pl-PL"/>
        </w:rPr>
      </w:pPr>
      <w:hyperlink w:anchor="_Toc77070615" w:history="1">
        <w:r w:rsidR="001676E7" w:rsidRPr="00004907">
          <w:rPr>
            <w:rStyle w:val="Hipercze"/>
            <w:rFonts w:cstheme="majorHAnsi"/>
            <w:noProof/>
          </w:rPr>
          <w:t>6.2 Sport</w:t>
        </w:r>
        <w:r w:rsidR="001676E7">
          <w:rPr>
            <w:noProof/>
            <w:webHidden/>
          </w:rPr>
          <w:tab/>
        </w:r>
        <w:r w:rsidR="001676E7">
          <w:rPr>
            <w:noProof/>
            <w:webHidden/>
          </w:rPr>
          <w:fldChar w:fldCharType="begin"/>
        </w:r>
        <w:r w:rsidR="001676E7">
          <w:rPr>
            <w:noProof/>
            <w:webHidden/>
          </w:rPr>
          <w:instrText xml:space="preserve"> PAGEREF _Toc77070615 \h </w:instrText>
        </w:r>
        <w:r w:rsidR="001676E7">
          <w:rPr>
            <w:noProof/>
            <w:webHidden/>
          </w:rPr>
        </w:r>
        <w:r w:rsidR="001676E7">
          <w:rPr>
            <w:noProof/>
            <w:webHidden/>
          </w:rPr>
          <w:fldChar w:fldCharType="separate"/>
        </w:r>
        <w:r w:rsidR="006C7815">
          <w:rPr>
            <w:noProof/>
            <w:webHidden/>
          </w:rPr>
          <w:t>54</w:t>
        </w:r>
        <w:r w:rsidR="001676E7">
          <w:rPr>
            <w:noProof/>
            <w:webHidden/>
          </w:rPr>
          <w:fldChar w:fldCharType="end"/>
        </w:r>
      </w:hyperlink>
    </w:p>
    <w:p w14:paraId="101D8CCC" w14:textId="77777777" w:rsidR="001676E7" w:rsidRDefault="00E2001F">
      <w:pPr>
        <w:pStyle w:val="Spistreci2"/>
        <w:rPr>
          <w:rFonts w:eastAsiaTheme="minorEastAsia"/>
          <w:noProof/>
          <w:lang w:eastAsia="pl-PL"/>
        </w:rPr>
      </w:pPr>
      <w:hyperlink w:anchor="_Toc77070616" w:history="1">
        <w:r w:rsidR="001676E7" w:rsidRPr="00004907">
          <w:rPr>
            <w:rStyle w:val="Hipercze"/>
            <w:rFonts w:cstheme="majorHAnsi"/>
            <w:noProof/>
          </w:rPr>
          <w:t>6.3 Kultura</w:t>
        </w:r>
        <w:r w:rsidR="001676E7">
          <w:rPr>
            <w:noProof/>
            <w:webHidden/>
          </w:rPr>
          <w:tab/>
        </w:r>
        <w:r w:rsidR="001676E7">
          <w:rPr>
            <w:noProof/>
            <w:webHidden/>
          </w:rPr>
          <w:fldChar w:fldCharType="begin"/>
        </w:r>
        <w:r w:rsidR="001676E7">
          <w:rPr>
            <w:noProof/>
            <w:webHidden/>
          </w:rPr>
          <w:instrText xml:space="preserve"> PAGEREF _Toc77070616 \h </w:instrText>
        </w:r>
        <w:r w:rsidR="001676E7">
          <w:rPr>
            <w:noProof/>
            <w:webHidden/>
          </w:rPr>
        </w:r>
        <w:r w:rsidR="001676E7">
          <w:rPr>
            <w:noProof/>
            <w:webHidden/>
          </w:rPr>
          <w:fldChar w:fldCharType="separate"/>
        </w:r>
        <w:r w:rsidR="006C7815">
          <w:rPr>
            <w:noProof/>
            <w:webHidden/>
          </w:rPr>
          <w:t>55</w:t>
        </w:r>
        <w:r w:rsidR="001676E7">
          <w:rPr>
            <w:noProof/>
            <w:webHidden/>
          </w:rPr>
          <w:fldChar w:fldCharType="end"/>
        </w:r>
      </w:hyperlink>
    </w:p>
    <w:p w14:paraId="58AF1BF7" w14:textId="77777777" w:rsidR="001676E7" w:rsidRDefault="00E2001F">
      <w:pPr>
        <w:pStyle w:val="Spistreci2"/>
        <w:rPr>
          <w:rFonts w:eastAsiaTheme="minorEastAsia"/>
          <w:noProof/>
          <w:lang w:eastAsia="pl-PL"/>
        </w:rPr>
      </w:pPr>
      <w:hyperlink w:anchor="_Toc77070617" w:history="1">
        <w:r w:rsidR="001676E7" w:rsidRPr="00004907">
          <w:rPr>
            <w:rStyle w:val="Hipercze"/>
            <w:rFonts w:cstheme="majorHAnsi"/>
            <w:noProof/>
          </w:rPr>
          <w:t>6.4 Ochrona zdrowia</w:t>
        </w:r>
        <w:r w:rsidR="001676E7">
          <w:rPr>
            <w:noProof/>
            <w:webHidden/>
          </w:rPr>
          <w:tab/>
        </w:r>
        <w:r w:rsidR="001676E7">
          <w:rPr>
            <w:noProof/>
            <w:webHidden/>
          </w:rPr>
          <w:fldChar w:fldCharType="begin"/>
        </w:r>
        <w:r w:rsidR="001676E7">
          <w:rPr>
            <w:noProof/>
            <w:webHidden/>
          </w:rPr>
          <w:instrText xml:space="preserve"> PAGEREF _Toc77070617 \h </w:instrText>
        </w:r>
        <w:r w:rsidR="001676E7">
          <w:rPr>
            <w:noProof/>
            <w:webHidden/>
          </w:rPr>
        </w:r>
        <w:r w:rsidR="001676E7">
          <w:rPr>
            <w:noProof/>
            <w:webHidden/>
          </w:rPr>
          <w:fldChar w:fldCharType="separate"/>
        </w:r>
        <w:r w:rsidR="006C7815">
          <w:rPr>
            <w:noProof/>
            <w:webHidden/>
          </w:rPr>
          <w:t>56</w:t>
        </w:r>
        <w:r w:rsidR="001676E7">
          <w:rPr>
            <w:noProof/>
            <w:webHidden/>
          </w:rPr>
          <w:fldChar w:fldCharType="end"/>
        </w:r>
      </w:hyperlink>
    </w:p>
    <w:p w14:paraId="50D0B2DD" w14:textId="77777777" w:rsidR="001676E7" w:rsidRDefault="00E2001F">
      <w:pPr>
        <w:pStyle w:val="Spistreci2"/>
        <w:rPr>
          <w:rFonts w:eastAsiaTheme="minorEastAsia"/>
          <w:noProof/>
          <w:lang w:eastAsia="pl-PL"/>
        </w:rPr>
      </w:pPr>
      <w:hyperlink w:anchor="_Toc77070618" w:history="1">
        <w:r w:rsidR="001676E7" w:rsidRPr="00004907">
          <w:rPr>
            <w:rStyle w:val="Hipercze"/>
            <w:rFonts w:cstheme="majorHAnsi"/>
            <w:noProof/>
          </w:rPr>
          <w:t>6.5 Opieka i pomoc społeczna</w:t>
        </w:r>
        <w:r w:rsidR="001676E7">
          <w:rPr>
            <w:noProof/>
            <w:webHidden/>
          </w:rPr>
          <w:tab/>
        </w:r>
        <w:r w:rsidR="001676E7">
          <w:rPr>
            <w:noProof/>
            <w:webHidden/>
          </w:rPr>
          <w:fldChar w:fldCharType="begin"/>
        </w:r>
        <w:r w:rsidR="001676E7">
          <w:rPr>
            <w:noProof/>
            <w:webHidden/>
          </w:rPr>
          <w:instrText xml:space="preserve"> PAGEREF _Toc77070618 \h </w:instrText>
        </w:r>
        <w:r w:rsidR="001676E7">
          <w:rPr>
            <w:noProof/>
            <w:webHidden/>
          </w:rPr>
        </w:r>
        <w:r w:rsidR="001676E7">
          <w:rPr>
            <w:noProof/>
            <w:webHidden/>
          </w:rPr>
          <w:fldChar w:fldCharType="separate"/>
        </w:r>
        <w:r w:rsidR="006C7815">
          <w:rPr>
            <w:noProof/>
            <w:webHidden/>
          </w:rPr>
          <w:t>61</w:t>
        </w:r>
        <w:r w:rsidR="001676E7">
          <w:rPr>
            <w:noProof/>
            <w:webHidden/>
          </w:rPr>
          <w:fldChar w:fldCharType="end"/>
        </w:r>
      </w:hyperlink>
    </w:p>
    <w:p w14:paraId="716AA3D8" w14:textId="77777777" w:rsidR="001676E7" w:rsidRDefault="00E2001F">
      <w:pPr>
        <w:pStyle w:val="Spistreci1"/>
        <w:tabs>
          <w:tab w:val="right" w:leader="dot" w:pos="9060"/>
        </w:tabs>
        <w:rPr>
          <w:rFonts w:eastAsiaTheme="minorEastAsia"/>
          <w:b w:val="0"/>
          <w:noProof/>
          <w:color w:val="auto"/>
          <w:lang w:eastAsia="pl-PL"/>
        </w:rPr>
      </w:pPr>
      <w:hyperlink w:anchor="_Toc77070619" w:history="1">
        <w:r w:rsidR="001676E7" w:rsidRPr="00004907">
          <w:rPr>
            <w:rStyle w:val="Hipercze"/>
            <w:rFonts w:cstheme="majorHAnsi"/>
            <w:noProof/>
          </w:rPr>
          <w:t>7. Zarządzanie</w:t>
        </w:r>
        <w:r w:rsidR="001676E7">
          <w:rPr>
            <w:noProof/>
            <w:webHidden/>
          </w:rPr>
          <w:tab/>
        </w:r>
        <w:r w:rsidR="001676E7">
          <w:rPr>
            <w:noProof/>
            <w:webHidden/>
          </w:rPr>
          <w:fldChar w:fldCharType="begin"/>
        </w:r>
        <w:r w:rsidR="001676E7">
          <w:rPr>
            <w:noProof/>
            <w:webHidden/>
          </w:rPr>
          <w:instrText xml:space="preserve"> PAGEREF _Toc77070619 \h </w:instrText>
        </w:r>
        <w:r w:rsidR="001676E7">
          <w:rPr>
            <w:noProof/>
            <w:webHidden/>
          </w:rPr>
        </w:r>
        <w:r w:rsidR="001676E7">
          <w:rPr>
            <w:noProof/>
            <w:webHidden/>
          </w:rPr>
          <w:fldChar w:fldCharType="separate"/>
        </w:r>
        <w:r w:rsidR="006C7815">
          <w:rPr>
            <w:noProof/>
            <w:webHidden/>
          </w:rPr>
          <w:t>64</w:t>
        </w:r>
        <w:r w:rsidR="001676E7">
          <w:rPr>
            <w:noProof/>
            <w:webHidden/>
          </w:rPr>
          <w:fldChar w:fldCharType="end"/>
        </w:r>
      </w:hyperlink>
    </w:p>
    <w:p w14:paraId="231C9453" w14:textId="77777777" w:rsidR="001676E7" w:rsidRDefault="00E2001F">
      <w:pPr>
        <w:pStyle w:val="Spistreci2"/>
        <w:rPr>
          <w:rFonts w:eastAsiaTheme="minorEastAsia"/>
          <w:noProof/>
          <w:lang w:eastAsia="pl-PL"/>
        </w:rPr>
      </w:pPr>
      <w:hyperlink w:anchor="_Toc77070620" w:history="1">
        <w:r w:rsidR="001676E7" w:rsidRPr="00004907">
          <w:rPr>
            <w:rStyle w:val="Hipercze"/>
            <w:noProof/>
          </w:rPr>
          <w:t>7.1 Analiza dochodów i wydatków budżetów powiatów</w:t>
        </w:r>
        <w:r w:rsidR="001676E7">
          <w:rPr>
            <w:noProof/>
            <w:webHidden/>
          </w:rPr>
          <w:tab/>
        </w:r>
        <w:r w:rsidR="001676E7">
          <w:rPr>
            <w:noProof/>
            <w:webHidden/>
          </w:rPr>
          <w:fldChar w:fldCharType="begin"/>
        </w:r>
        <w:r w:rsidR="001676E7">
          <w:rPr>
            <w:noProof/>
            <w:webHidden/>
          </w:rPr>
          <w:instrText xml:space="preserve"> PAGEREF _Toc77070620 \h </w:instrText>
        </w:r>
        <w:r w:rsidR="001676E7">
          <w:rPr>
            <w:noProof/>
            <w:webHidden/>
          </w:rPr>
        </w:r>
        <w:r w:rsidR="001676E7">
          <w:rPr>
            <w:noProof/>
            <w:webHidden/>
          </w:rPr>
          <w:fldChar w:fldCharType="separate"/>
        </w:r>
        <w:r w:rsidR="006C7815">
          <w:rPr>
            <w:noProof/>
            <w:webHidden/>
          </w:rPr>
          <w:t>64</w:t>
        </w:r>
        <w:r w:rsidR="001676E7">
          <w:rPr>
            <w:noProof/>
            <w:webHidden/>
          </w:rPr>
          <w:fldChar w:fldCharType="end"/>
        </w:r>
      </w:hyperlink>
    </w:p>
    <w:p w14:paraId="1A72FB90" w14:textId="77777777" w:rsidR="001676E7" w:rsidRDefault="00E2001F">
      <w:pPr>
        <w:pStyle w:val="Spistreci2"/>
        <w:rPr>
          <w:rFonts w:eastAsiaTheme="minorEastAsia"/>
          <w:noProof/>
          <w:lang w:eastAsia="pl-PL"/>
        </w:rPr>
      </w:pPr>
      <w:hyperlink w:anchor="_Toc77070621" w:history="1">
        <w:r w:rsidR="001676E7" w:rsidRPr="00004907">
          <w:rPr>
            <w:rStyle w:val="Hipercze"/>
            <w:rFonts w:cstheme="majorHAnsi"/>
            <w:noProof/>
          </w:rPr>
          <w:t>7.2 Opracowane programy średniookresowe</w:t>
        </w:r>
        <w:r w:rsidR="001676E7">
          <w:rPr>
            <w:noProof/>
            <w:webHidden/>
          </w:rPr>
          <w:tab/>
        </w:r>
        <w:r w:rsidR="001676E7">
          <w:rPr>
            <w:noProof/>
            <w:webHidden/>
          </w:rPr>
          <w:fldChar w:fldCharType="begin"/>
        </w:r>
        <w:r w:rsidR="001676E7">
          <w:rPr>
            <w:noProof/>
            <w:webHidden/>
          </w:rPr>
          <w:instrText xml:space="preserve"> PAGEREF _Toc77070621 \h </w:instrText>
        </w:r>
        <w:r w:rsidR="001676E7">
          <w:rPr>
            <w:noProof/>
            <w:webHidden/>
          </w:rPr>
        </w:r>
        <w:r w:rsidR="001676E7">
          <w:rPr>
            <w:noProof/>
            <w:webHidden/>
          </w:rPr>
          <w:fldChar w:fldCharType="separate"/>
        </w:r>
        <w:r w:rsidR="006C7815">
          <w:rPr>
            <w:noProof/>
            <w:webHidden/>
          </w:rPr>
          <w:t>68</w:t>
        </w:r>
        <w:r w:rsidR="001676E7">
          <w:rPr>
            <w:noProof/>
            <w:webHidden/>
          </w:rPr>
          <w:fldChar w:fldCharType="end"/>
        </w:r>
      </w:hyperlink>
    </w:p>
    <w:p w14:paraId="48297AC2" w14:textId="77777777" w:rsidR="001676E7" w:rsidRDefault="00E2001F">
      <w:pPr>
        <w:pStyle w:val="Spistreci2"/>
        <w:rPr>
          <w:rFonts w:eastAsiaTheme="minorEastAsia"/>
          <w:noProof/>
          <w:lang w:eastAsia="pl-PL"/>
        </w:rPr>
      </w:pPr>
      <w:hyperlink w:anchor="_Toc77070622" w:history="1">
        <w:r w:rsidR="001676E7" w:rsidRPr="00004907">
          <w:rPr>
            <w:rStyle w:val="Hipercze"/>
            <w:rFonts w:cstheme="majorHAnsi"/>
            <w:noProof/>
          </w:rPr>
          <w:t>7.3 Promocja powiatów</w:t>
        </w:r>
        <w:r w:rsidR="001676E7">
          <w:rPr>
            <w:noProof/>
            <w:webHidden/>
          </w:rPr>
          <w:tab/>
        </w:r>
        <w:r w:rsidR="001676E7">
          <w:rPr>
            <w:noProof/>
            <w:webHidden/>
          </w:rPr>
          <w:fldChar w:fldCharType="begin"/>
        </w:r>
        <w:r w:rsidR="001676E7">
          <w:rPr>
            <w:noProof/>
            <w:webHidden/>
          </w:rPr>
          <w:instrText xml:space="preserve"> PAGEREF _Toc77070622 \h </w:instrText>
        </w:r>
        <w:r w:rsidR="001676E7">
          <w:rPr>
            <w:noProof/>
            <w:webHidden/>
          </w:rPr>
        </w:r>
        <w:r w:rsidR="001676E7">
          <w:rPr>
            <w:noProof/>
            <w:webHidden/>
          </w:rPr>
          <w:fldChar w:fldCharType="separate"/>
        </w:r>
        <w:r w:rsidR="006C7815">
          <w:rPr>
            <w:noProof/>
            <w:webHidden/>
          </w:rPr>
          <w:t>69</w:t>
        </w:r>
        <w:r w:rsidR="001676E7">
          <w:rPr>
            <w:noProof/>
            <w:webHidden/>
          </w:rPr>
          <w:fldChar w:fldCharType="end"/>
        </w:r>
      </w:hyperlink>
    </w:p>
    <w:p w14:paraId="7A574E32" w14:textId="77777777" w:rsidR="001676E7" w:rsidRDefault="00E2001F">
      <w:pPr>
        <w:pStyle w:val="Spistreci2"/>
        <w:rPr>
          <w:rFonts w:eastAsiaTheme="minorEastAsia"/>
          <w:noProof/>
          <w:lang w:eastAsia="pl-PL"/>
        </w:rPr>
      </w:pPr>
      <w:hyperlink w:anchor="_Toc77070623" w:history="1">
        <w:r w:rsidR="001676E7" w:rsidRPr="00004907">
          <w:rPr>
            <w:rStyle w:val="Hipercze"/>
            <w:rFonts w:cstheme="majorHAnsi"/>
            <w:noProof/>
          </w:rPr>
          <w:t>7.4 Współpraca powiatów OF</w:t>
        </w:r>
        <w:r w:rsidR="001676E7">
          <w:rPr>
            <w:noProof/>
            <w:webHidden/>
          </w:rPr>
          <w:tab/>
        </w:r>
        <w:r w:rsidR="001676E7">
          <w:rPr>
            <w:noProof/>
            <w:webHidden/>
          </w:rPr>
          <w:fldChar w:fldCharType="begin"/>
        </w:r>
        <w:r w:rsidR="001676E7">
          <w:rPr>
            <w:noProof/>
            <w:webHidden/>
          </w:rPr>
          <w:instrText xml:space="preserve"> PAGEREF _Toc77070623 \h </w:instrText>
        </w:r>
        <w:r w:rsidR="001676E7">
          <w:rPr>
            <w:noProof/>
            <w:webHidden/>
          </w:rPr>
        </w:r>
        <w:r w:rsidR="001676E7">
          <w:rPr>
            <w:noProof/>
            <w:webHidden/>
          </w:rPr>
          <w:fldChar w:fldCharType="separate"/>
        </w:r>
        <w:r w:rsidR="006C7815">
          <w:rPr>
            <w:noProof/>
            <w:webHidden/>
          </w:rPr>
          <w:t>72</w:t>
        </w:r>
        <w:r w:rsidR="001676E7">
          <w:rPr>
            <w:noProof/>
            <w:webHidden/>
          </w:rPr>
          <w:fldChar w:fldCharType="end"/>
        </w:r>
      </w:hyperlink>
    </w:p>
    <w:p w14:paraId="025FDFAF" w14:textId="77777777" w:rsidR="001676E7" w:rsidRDefault="00E2001F">
      <w:pPr>
        <w:pStyle w:val="Spistreci1"/>
        <w:tabs>
          <w:tab w:val="right" w:leader="dot" w:pos="9060"/>
        </w:tabs>
        <w:rPr>
          <w:rFonts w:eastAsiaTheme="minorEastAsia"/>
          <w:b w:val="0"/>
          <w:noProof/>
          <w:color w:val="auto"/>
          <w:lang w:eastAsia="pl-PL"/>
        </w:rPr>
      </w:pPr>
      <w:hyperlink w:anchor="_Toc77070624" w:history="1">
        <w:r w:rsidR="001676E7" w:rsidRPr="00004907">
          <w:rPr>
            <w:rStyle w:val="Hipercze"/>
            <w:rFonts w:cstheme="majorHAnsi"/>
            <w:noProof/>
          </w:rPr>
          <w:t>8. Benchmarking</w:t>
        </w:r>
        <w:r w:rsidR="001676E7">
          <w:rPr>
            <w:noProof/>
            <w:webHidden/>
          </w:rPr>
          <w:tab/>
        </w:r>
        <w:r w:rsidR="001676E7">
          <w:rPr>
            <w:noProof/>
            <w:webHidden/>
          </w:rPr>
          <w:fldChar w:fldCharType="begin"/>
        </w:r>
        <w:r w:rsidR="001676E7">
          <w:rPr>
            <w:noProof/>
            <w:webHidden/>
          </w:rPr>
          <w:instrText xml:space="preserve"> PAGEREF _Toc77070624 \h </w:instrText>
        </w:r>
        <w:r w:rsidR="001676E7">
          <w:rPr>
            <w:noProof/>
            <w:webHidden/>
          </w:rPr>
        </w:r>
        <w:r w:rsidR="001676E7">
          <w:rPr>
            <w:noProof/>
            <w:webHidden/>
          </w:rPr>
          <w:fldChar w:fldCharType="separate"/>
        </w:r>
        <w:r w:rsidR="006C7815">
          <w:rPr>
            <w:noProof/>
            <w:webHidden/>
          </w:rPr>
          <w:t>75</w:t>
        </w:r>
        <w:r w:rsidR="001676E7">
          <w:rPr>
            <w:noProof/>
            <w:webHidden/>
          </w:rPr>
          <w:fldChar w:fldCharType="end"/>
        </w:r>
      </w:hyperlink>
    </w:p>
    <w:p w14:paraId="3314F871" w14:textId="77777777" w:rsidR="001676E7" w:rsidRDefault="00E2001F">
      <w:pPr>
        <w:pStyle w:val="Spistreci2"/>
        <w:rPr>
          <w:rFonts w:eastAsiaTheme="minorEastAsia"/>
          <w:noProof/>
          <w:lang w:eastAsia="pl-PL"/>
        </w:rPr>
      </w:pPr>
      <w:hyperlink w:anchor="_Toc77070625" w:history="1">
        <w:r w:rsidR="001676E7" w:rsidRPr="00004907">
          <w:rPr>
            <w:rStyle w:val="Hipercze"/>
            <w:rFonts w:cstheme="majorHAnsi"/>
            <w:noProof/>
          </w:rPr>
          <w:t>8.1 Demografia</w:t>
        </w:r>
        <w:r w:rsidR="001676E7">
          <w:rPr>
            <w:noProof/>
            <w:webHidden/>
          </w:rPr>
          <w:tab/>
        </w:r>
        <w:r w:rsidR="001676E7">
          <w:rPr>
            <w:noProof/>
            <w:webHidden/>
          </w:rPr>
          <w:fldChar w:fldCharType="begin"/>
        </w:r>
        <w:r w:rsidR="001676E7">
          <w:rPr>
            <w:noProof/>
            <w:webHidden/>
          </w:rPr>
          <w:instrText xml:space="preserve"> PAGEREF _Toc77070625 \h </w:instrText>
        </w:r>
        <w:r w:rsidR="001676E7">
          <w:rPr>
            <w:noProof/>
            <w:webHidden/>
          </w:rPr>
        </w:r>
        <w:r w:rsidR="001676E7">
          <w:rPr>
            <w:noProof/>
            <w:webHidden/>
          </w:rPr>
          <w:fldChar w:fldCharType="separate"/>
        </w:r>
        <w:r w:rsidR="006C7815">
          <w:rPr>
            <w:noProof/>
            <w:webHidden/>
          </w:rPr>
          <w:t>76</w:t>
        </w:r>
        <w:r w:rsidR="001676E7">
          <w:rPr>
            <w:noProof/>
            <w:webHidden/>
          </w:rPr>
          <w:fldChar w:fldCharType="end"/>
        </w:r>
      </w:hyperlink>
    </w:p>
    <w:p w14:paraId="468BE5EA" w14:textId="77777777" w:rsidR="001676E7" w:rsidRDefault="00E2001F">
      <w:pPr>
        <w:pStyle w:val="Spistreci2"/>
        <w:rPr>
          <w:rFonts w:eastAsiaTheme="minorEastAsia"/>
          <w:noProof/>
          <w:lang w:eastAsia="pl-PL"/>
        </w:rPr>
      </w:pPr>
      <w:hyperlink w:anchor="_Toc77070626" w:history="1">
        <w:r w:rsidR="001676E7" w:rsidRPr="00004907">
          <w:rPr>
            <w:rStyle w:val="Hipercze"/>
            <w:rFonts w:cstheme="majorHAnsi"/>
            <w:noProof/>
          </w:rPr>
          <w:t>8.2 Zdrowie</w:t>
        </w:r>
        <w:r w:rsidR="001676E7">
          <w:rPr>
            <w:noProof/>
            <w:webHidden/>
          </w:rPr>
          <w:tab/>
        </w:r>
        <w:r w:rsidR="001676E7">
          <w:rPr>
            <w:noProof/>
            <w:webHidden/>
          </w:rPr>
          <w:fldChar w:fldCharType="begin"/>
        </w:r>
        <w:r w:rsidR="001676E7">
          <w:rPr>
            <w:noProof/>
            <w:webHidden/>
          </w:rPr>
          <w:instrText xml:space="preserve"> PAGEREF _Toc77070626 \h </w:instrText>
        </w:r>
        <w:r w:rsidR="001676E7">
          <w:rPr>
            <w:noProof/>
            <w:webHidden/>
          </w:rPr>
        </w:r>
        <w:r w:rsidR="001676E7">
          <w:rPr>
            <w:noProof/>
            <w:webHidden/>
          </w:rPr>
          <w:fldChar w:fldCharType="separate"/>
        </w:r>
        <w:r w:rsidR="006C7815">
          <w:rPr>
            <w:noProof/>
            <w:webHidden/>
          </w:rPr>
          <w:t>77</w:t>
        </w:r>
        <w:r w:rsidR="001676E7">
          <w:rPr>
            <w:noProof/>
            <w:webHidden/>
          </w:rPr>
          <w:fldChar w:fldCharType="end"/>
        </w:r>
      </w:hyperlink>
    </w:p>
    <w:p w14:paraId="00000AD8" w14:textId="77777777" w:rsidR="001676E7" w:rsidRDefault="00E2001F">
      <w:pPr>
        <w:pStyle w:val="Spistreci2"/>
        <w:rPr>
          <w:rFonts w:eastAsiaTheme="minorEastAsia"/>
          <w:noProof/>
          <w:lang w:eastAsia="pl-PL"/>
        </w:rPr>
      </w:pPr>
      <w:hyperlink w:anchor="_Toc77070627" w:history="1">
        <w:r w:rsidR="001676E7" w:rsidRPr="00004907">
          <w:rPr>
            <w:rStyle w:val="Hipercze"/>
            <w:rFonts w:cstheme="majorHAnsi"/>
            <w:noProof/>
          </w:rPr>
          <w:t>8.3 Edukacja</w:t>
        </w:r>
        <w:r w:rsidR="001676E7">
          <w:rPr>
            <w:noProof/>
            <w:webHidden/>
          </w:rPr>
          <w:tab/>
        </w:r>
        <w:r w:rsidR="001676E7">
          <w:rPr>
            <w:noProof/>
            <w:webHidden/>
          </w:rPr>
          <w:fldChar w:fldCharType="begin"/>
        </w:r>
        <w:r w:rsidR="001676E7">
          <w:rPr>
            <w:noProof/>
            <w:webHidden/>
          </w:rPr>
          <w:instrText xml:space="preserve"> PAGEREF _Toc77070627 \h </w:instrText>
        </w:r>
        <w:r w:rsidR="001676E7">
          <w:rPr>
            <w:noProof/>
            <w:webHidden/>
          </w:rPr>
        </w:r>
        <w:r w:rsidR="001676E7">
          <w:rPr>
            <w:noProof/>
            <w:webHidden/>
          </w:rPr>
          <w:fldChar w:fldCharType="separate"/>
        </w:r>
        <w:r w:rsidR="006C7815">
          <w:rPr>
            <w:noProof/>
            <w:webHidden/>
          </w:rPr>
          <w:t>78</w:t>
        </w:r>
        <w:r w:rsidR="001676E7">
          <w:rPr>
            <w:noProof/>
            <w:webHidden/>
          </w:rPr>
          <w:fldChar w:fldCharType="end"/>
        </w:r>
      </w:hyperlink>
    </w:p>
    <w:p w14:paraId="1CACA2DD" w14:textId="77777777" w:rsidR="001676E7" w:rsidRDefault="00E2001F">
      <w:pPr>
        <w:pStyle w:val="Spistreci2"/>
        <w:rPr>
          <w:rFonts w:eastAsiaTheme="minorEastAsia"/>
          <w:noProof/>
          <w:lang w:eastAsia="pl-PL"/>
        </w:rPr>
      </w:pPr>
      <w:hyperlink w:anchor="_Toc77070628" w:history="1">
        <w:r w:rsidR="001676E7" w:rsidRPr="00004907">
          <w:rPr>
            <w:rStyle w:val="Hipercze"/>
            <w:rFonts w:cstheme="majorHAnsi"/>
            <w:noProof/>
          </w:rPr>
          <w:t>8.4 Rynek pracy i gospodarka</w:t>
        </w:r>
        <w:r w:rsidR="001676E7">
          <w:rPr>
            <w:noProof/>
            <w:webHidden/>
          </w:rPr>
          <w:tab/>
        </w:r>
        <w:r w:rsidR="001676E7">
          <w:rPr>
            <w:noProof/>
            <w:webHidden/>
          </w:rPr>
          <w:fldChar w:fldCharType="begin"/>
        </w:r>
        <w:r w:rsidR="001676E7">
          <w:rPr>
            <w:noProof/>
            <w:webHidden/>
          </w:rPr>
          <w:instrText xml:space="preserve"> PAGEREF _Toc77070628 \h </w:instrText>
        </w:r>
        <w:r w:rsidR="001676E7">
          <w:rPr>
            <w:noProof/>
            <w:webHidden/>
          </w:rPr>
        </w:r>
        <w:r w:rsidR="001676E7">
          <w:rPr>
            <w:noProof/>
            <w:webHidden/>
          </w:rPr>
          <w:fldChar w:fldCharType="separate"/>
        </w:r>
        <w:r w:rsidR="006C7815">
          <w:rPr>
            <w:noProof/>
            <w:webHidden/>
          </w:rPr>
          <w:t>79</w:t>
        </w:r>
        <w:r w:rsidR="001676E7">
          <w:rPr>
            <w:noProof/>
            <w:webHidden/>
          </w:rPr>
          <w:fldChar w:fldCharType="end"/>
        </w:r>
      </w:hyperlink>
    </w:p>
    <w:p w14:paraId="25F0BA13" w14:textId="77777777" w:rsidR="001676E7" w:rsidRDefault="00E2001F">
      <w:pPr>
        <w:pStyle w:val="Spistreci2"/>
        <w:rPr>
          <w:rFonts w:eastAsiaTheme="minorEastAsia"/>
          <w:noProof/>
          <w:lang w:eastAsia="pl-PL"/>
        </w:rPr>
      </w:pPr>
      <w:hyperlink w:anchor="_Toc77070629" w:history="1">
        <w:r w:rsidR="001676E7" w:rsidRPr="00004907">
          <w:rPr>
            <w:rStyle w:val="Hipercze"/>
            <w:rFonts w:cstheme="majorHAnsi"/>
            <w:noProof/>
          </w:rPr>
          <w:t>8.5 Turystyka</w:t>
        </w:r>
        <w:r w:rsidR="001676E7">
          <w:rPr>
            <w:noProof/>
            <w:webHidden/>
          </w:rPr>
          <w:tab/>
        </w:r>
        <w:r w:rsidR="001676E7">
          <w:rPr>
            <w:noProof/>
            <w:webHidden/>
          </w:rPr>
          <w:fldChar w:fldCharType="begin"/>
        </w:r>
        <w:r w:rsidR="001676E7">
          <w:rPr>
            <w:noProof/>
            <w:webHidden/>
          </w:rPr>
          <w:instrText xml:space="preserve"> PAGEREF _Toc77070629 \h </w:instrText>
        </w:r>
        <w:r w:rsidR="001676E7">
          <w:rPr>
            <w:noProof/>
            <w:webHidden/>
          </w:rPr>
        </w:r>
        <w:r w:rsidR="001676E7">
          <w:rPr>
            <w:noProof/>
            <w:webHidden/>
          </w:rPr>
          <w:fldChar w:fldCharType="separate"/>
        </w:r>
        <w:r w:rsidR="006C7815">
          <w:rPr>
            <w:noProof/>
            <w:webHidden/>
          </w:rPr>
          <w:t>80</w:t>
        </w:r>
        <w:r w:rsidR="001676E7">
          <w:rPr>
            <w:noProof/>
            <w:webHidden/>
          </w:rPr>
          <w:fldChar w:fldCharType="end"/>
        </w:r>
      </w:hyperlink>
    </w:p>
    <w:p w14:paraId="1F1F3E99" w14:textId="77777777" w:rsidR="001676E7" w:rsidRDefault="00E2001F">
      <w:pPr>
        <w:pStyle w:val="Spistreci2"/>
        <w:rPr>
          <w:rFonts w:eastAsiaTheme="minorEastAsia"/>
          <w:noProof/>
          <w:lang w:eastAsia="pl-PL"/>
        </w:rPr>
      </w:pPr>
      <w:hyperlink w:anchor="_Toc77070630" w:history="1">
        <w:r w:rsidR="001676E7" w:rsidRPr="00004907">
          <w:rPr>
            <w:rStyle w:val="Hipercze"/>
            <w:rFonts w:cstheme="majorHAnsi"/>
            <w:noProof/>
          </w:rPr>
          <w:t>8.6 Infrastruktura</w:t>
        </w:r>
        <w:r w:rsidR="001676E7">
          <w:rPr>
            <w:noProof/>
            <w:webHidden/>
          </w:rPr>
          <w:tab/>
        </w:r>
        <w:r w:rsidR="001676E7">
          <w:rPr>
            <w:noProof/>
            <w:webHidden/>
          </w:rPr>
          <w:fldChar w:fldCharType="begin"/>
        </w:r>
        <w:r w:rsidR="001676E7">
          <w:rPr>
            <w:noProof/>
            <w:webHidden/>
          </w:rPr>
          <w:instrText xml:space="preserve"> PAGEREF _Toc77070630 \h </w:instrText>
        </w:r>
        <w:r w:rsidR="001676E7">
          <w:rPr>
            <w:noProof/>
            <w:webHidden/>
          </w:rPr>
        </w:r>
        <w:r w:rsidR="001676E7">
          <w:rPr>
            <w:noProof/>
            <w:webHidden/>
          </w:rPr>
          <w:fldChar w:fldCharType="separate"/>
        </w:r>
        <w:r w:rsidR="006C7815">
          <w:rPr>
            <w:noProof/>
            <w:webHidden/>
          </w:rPr>
          <w:t>81</w:t>
        </w:r>
        <w:r w:rsidR="001676E7">
          <w:rPr>
            <w:noProof/>
            <w:webHidden/>
          </w:rPr>
          <w:fldChar w:fldCharType="end"/>
        </w:r>
      </w:hyperlink>
    </w:p>
    <w:p w14:paraId="0CB1494E" w14:textId="77777777" w:rsidR="001676E7" w:rsidRDefault="00E2001F">
      <w:pPr>
        <w:pStyle w:val="Spistreci2"/>
        <w:rPr>
          <w:rFonts w:eastAsiaTheme="minorEastAsia"/>
          <w:noProof/>
          <w:lang w:eastAsia="pl-PL"/>
        </w:rPr>
      </w:pPr>
      <w:hyperlink w:anchor="_Toc77070631" w:history="1">
        <w:r w:rsidR="001676E7" w:rsidRPr="00004907">
          <w:rPr>
            <w:rStyle w:val="Hipercze"/>
            <w:rFonts w:cstheme="majorHAnsi"/>
            <w:noProof/>
          </w:rPr>
          <w:t>8.7 Podsumowanie</w:t>
        </w:r>
        <w:r w:rsidR="001676E7">
          <w:rPr>
            <w:noProof/>
            <w:webHidden/>
          </w:rPr>
          <w:tab/>
        </w:r>
        <w:r w:rsidR="001676E7">
          <w:rPr>
            <w:noProof/>
            <w:webHidden/>
          </w:rPr>
          <w:fldChar w:fldCharType="begin"/>
        </w:r>
        <w:r w:rsidR="001676E7">
          <w:rPr>
            <w:noProof/>
            <w:webHidden/>
          </w:rPr>
          <w:instrText xml:space="preserve"> PAGEREF _Toc77070631 \h </w:instrText>
        </w:r>
        <w:r w:rsidR="001676E7">
          <w:rPr>
            <w:noProof/>
            <w:webHidden/>
          </w:rPr>
        </w:r>
        <w:r w:rsidR="001676E7">
          <w:rPr>
            <w:noProof/>
            <w:webHidden/>
          </w:rPr>
          <w:fldChar w:fldCharType="separate"/>
        </w:r>
        <w:r w:rsidR="006C7815">
          <w:rPr>
            <w:noProof/>
            <w:webHidden/>
          </w:rPr>
          <w:t>83</w:t>
        </w:r>
        <w:r w:rsidR="001676E7">
          <w:rPr>
            <w:noProof/>
            <w:webHidden/>
          </w:rPr>
          <w:fldChar w:fldCharType="end"/>
        </w:r>
      </w:hyperlink>
    </w:p>
    <w:p w14:paraId="0855E106" w14:textId="77777777" w:rsidR="001676E7" w:rsidRDefault="00E2001F">
      <w:pPr>
        <w:pStyle w:val="Spistreci1"/>
        <w:tabs>
          <w:tab w:val="right" w:leader="dot" w:pos="9060"/>
        </w:tabs>
        <w:rPr>
          <w:rFonts w:eastAsiaTheme="minorEastAsia"/>
          <w:b w:val="0"/>
          <w:noProof/>
          <w:color w:val="auto"/>
          <w:lang w:eastAsia="pl-PL"/>
        </w:rPr>
      </w:pPr>
      <w:hyperlink w:anchor="_Toc77070632" w:history="1">
        <w:r w:rsidR="001676E7" w:rsidRPr="00004907">
          <w:rPr>
            <w:rStyle w:val="Hipercze"/>
            <w:rFonts w:cstheme="majorHAnsi"/>
            <w:noProof/>
          </w:rPr>
          <w:t>9. Analiza SWOT</w:t>
        </w:r>
        <w:r w:rsidR="001676E7">
          <w:rPr>
            <w:noProof/>
            <w:webHidden/>
          </w:rPr>
          <w:tab/>
        </w:r>
        <w:r w:rsidR="001676E7">
          <w:rPr>
            <w:noProof/>
            <w:webHidden/>
          </w:rPr>
          <w:fldChar w:fldCharType="begin"/>
        </w:r>
        <w:r w:rsidR="001676E7">
          <w:rPr>
            <w:noProof/>
            <w:webHidden/>
          </w:rPr>
          <w:instrText xml:space="preserve"> PAGEREF _Toc77070632 \h </w:instrText>
        </w:r>
        <w:r w:rsidR="001676E7">
          <w:rPr>
            <w:noProof/>
            <w:webHidden/>
          </w:rPr>
        </w:r>
        <w:r w:rsidR="001676E7">
          <w:rPr>
            <w:noProof/>
            <w:webHidden/>
          </w:rPr>
          <w:fldChar w:fldCharType="separate"/>
        </w:r>
        <w:r w:rsidR="006C7815">
          <w:rPr>
            <w:noProof/>
            <w:webHidden/>
          </w:rPr>
          <w:t>85</w:t>
        </w:r>
        <w:r w:rsidR="001676E7">
          <w:rPr>
            <w:noProof/>
            <w:webHidden/>
          </w:rPr>
          <w:fldChar w:fldCharType="end"/>
        </w:r>
      </w:hyperlink>
    </w:p>
    <w:p w14:paraId="61A652AF" w14:textId="77777777" w:rsidR="001676E7" w:rsidRDefault="00E2001F">
      <w:pPr>
        <w:pStyle w:val="Spistreci1"/>
        <w:tabs>
          <w:tab w:val="right" w:leader="dot" w:pos="9060"/>
        </w:tabs>
        <w:rPr>
          <w:rFonts w:eastAsiaTheme="minorEastAsia"/>
          <w:b w:val="0"/>
          <w:noProof/>
          <w:color w:val="auto"/>
          <w:lang w:eastAsia="pl-PL"/>
        </w:rPr>
      </w:pPr>
      <w:hyperlink w:anchor="_Toc77070633" w:history="1">
        <w:r w:rsidR="001676E7" w:rsidRPr="00004907">
          <w:rPr>
            <w:rStyle w:val="Hipercze"/>
            <w:rFonts w:cstheme="majorHAnsi"/>
            <w:noProof/>
          </w:rPr>
          <w:t>10. Wizja i misja</w:t>
        </w:r>
        <w:r w:rsidR="001676E7" w:rsidRPr="00004907">
          <w:rPr>
            <w:rStyle w:val="Hipercze"/>
            <w:noProof/>
          </w:rPr>
          <w:t xml:space="preserve"> </w:t>
        </w:r>
        <w:r w:rsidR="001676E7" w:rsidRPr="00004907">
          <w:rPr>
            <w:rStyle w:val="Hipercze"/>
            <w:rFonts w:cstheme="majorHAnsi"/>
            <w:noProof/>
          </w:rPr>
          <w:t>Obszaru Funkcjonalnego Południowe Mazury</w:t>
        </w:r>
        <w:r w:rsidR="001676E7">
          <w:rPr>
            <w:noProof/>
            <w:webHidden/>
          </w:rPr>
          <w:tab/>
        </w:r>
        <w:r w:rsidR="001676E7">
          <w:rPr>
            <w:noProof/>
            <w:webHidden/>
          </w:rPr>
          <w:fldChar w:fldCharType="begin"/>
        </w:r>
        <w:r w:rsidR="001676E7">
          <w:rPr>
            <w:noProof/>
            <w:webHidden/>
          </w:rPr>
          <w:instrText xml:space="preserve"> PAGEREF _Toc77070633 \h </w:instrText>
        </w:r>
        <w:r w:rsidR="001676E7">
          <w:rPr>
            <w:noProof/>
            <w:webHidden/>
          </w:rPr>
        </w:r>
        <w:r w:rsidR="001676E7">
          <w:rPr>
            <w:noProof/>
            <w:webHidden/>
          </w:rPr>
          <w:fldChar w:fldCharType="separate"/>
        </w:r>
        <w:r w:rsidR="006C7815">
          <w:rPr>
            <w:noProof/>
            <w:webHidden/>
          </w:rPr>
          <w:t>88</w:t>
        </w:r>
        <w:r w:rsidR="001676E7">
          <w:rPr>
            <w:noProof/>
            <w:webHidden/>
          </w:rPr>
          <w:fldChar w:fldCharType="end"/>
        </w:r>
      </w:hyperlink>
    </w:p>
    <w:p w14:paraId="44BEE38F" w14:textId="77777777" w:rsidR="001676E7" w:rsidRDefault="00E2001F">
      <w:pPr>
        <w:pStyle w:val="Spistreci1"/>
        <w:tabs>
          <w:tab w:val="right" w:leader="dot" w:pos="9060"/>
        </w:tabs>
        <w:rPr>
          <w:rFonts w:eastAsiaTheme="minorEastAsia"/>
          <w:b w:val="0"/>
          <w:noProof/>
          <w:color w:val="auto"/>
          <w:lang w:eastAsia="pl-PL"/>
        </w:rPr>
      </w:pPr>
      <w:hyperlink w:anchor="_Toc77070634" w:history="1">
        <w:r w:rsidR="001676E7" w:rsidRPr="00004907">
          <w:rPr>
            <w:rStyle w:val="Hipercze"/>
            <w:rFonts w:cstheme="majorHAnsi"/>
            <w:noProof/>
          </w:rPr>
          <w:t>11. Założenia rozwojowe</w:t>
        </w:r>
        <w:r w:rsidR="001676E7">
          <w:rPr>
            <w:noProof/>
            <w:webHidden/>
          </w:rPr>
          <w:tab/>
        </w:r>
        <w:r w:rsidR="001676E7">
          <w:rPr>
            <w:noProof/>
            <w:webHidden/>
          </w:rPr>
          <w:fldChar w:fldCharType="begin"/>
        </w:r>
        <w:r w:rsidR="001676E7">
          <w:rPr>
            <w:noProof/>
            <w:webHidden/>
          </w:rPr>
          <w:instrText xml:space="preserve"> PAGEREF _Toc77070634 \h </w:instrText>
        </w:r>
        <w:r w:rsidR="001676E7">
          <w:rPr>
            <w:noProof/>
            <w:webHidden/>
          </w:rPr>
        </w:r>
        <w:r w:rsidR="001676E7">
          <w:rPr>
            <w:noProof/>
            <w:webHidden/>
          </w:rPr>
          <w:fldChar w:fldCharType="separate"/>
        </w:r>
        <w:r w:rsidR="006C7815">
          <w:rPr>
            <w:noProof/>
            <w:webHidden/>
          </w:rPr>
          <w:t>90</w:t>
        </w:r>
        <w:r w:rsidR="001676E7">
          <w:rPr>
            <w:noProof/>
            <w:webHidden/>
          </w:rPr>
          <w:fldChar w:fldCharType="end"/>
        </w:r>
      </w:hyperlink>
    </w:p>
    <w:p w14:paraId="6A2CB293" w14:textId="77777777" w:rsidR="001676E7" w:rsidRDefault="00E2001F">
      <w:pPr>
        <w:pStyle w:val="Spistreci2"/>
        <w:rPr>
          <w:rFonts w:eastAsiaTheme="minorEastAsia"/>
          <w:noProof/>
          <w:lang w:eastAsia="pl-PL"/>
        </w:rPr>
      </w:pPr>
      <w:hyperlink w:anchor="_Toc77070635" w:history="1">
        <w:r w:rsidR="001676E7" w:rsidRPr="00004907">
          <w:rPr>
            <w:rStyle w:val="Hipercze"/>
            <w:noProof/>
          </w:rPr>
          <w:t>11.1 Cele strategiczne</w:t>
        </w:r>
        <w:r w:rsidR="001676E7">
          <w:rPr>
            <w:noProof/>
            <w:webHidden/>
          </w:rPr>
          <w:tab/>
        </w:r>
        <w:r w:rsidR="001676E7">
          <w:rPr>
            <w:noProof/>
            <w:webHidden/>
          </w:rPr>
          <w:fldChar w:fldCharType="begin"/>
        </w:r>
        <w:r w:rsidR="001676E7">
          <w:rPr>
            <w:noProof/>
            <w:webHidden/>
          </w:rPr>
          <w:instrText xml:space="preserve"> PAGEREF _Toc77070635 \h </w:instrText>
        </w:r>
        <w:r w:rsidR="001676E7">
          <w:rPr>
            <w:noProof/>
            <w:webHidden/>
          </w:rPr>
        </w:r>
        <w:r w:rsidR="001676E7">
          <w:rPr>
            <w:noProof/>
            <w:webHidden/>
          </w:rPr>
          <w:fldChar w:fldCharType="separate"/>
        </w:r>
        <w:r w:rsidR="006C7815">
          <w:rPr>
            <w:noProof/>
            <w:webHidden/>
          </w:rPr>
          <w:t>92</w:t>
        </w:r>
        <w:r w:rsidR="001676E7">
          <w:rPr>
            <w:noProof/>
            <w:webHidden/>
          </w:rPr>
          <w:fldChar w:fldCharType="end"/>
        </w:r>
      </w:hyperlink>
    </w:p>
    <w:p w14:paraId="4FCB9222" w14:textId="77777777" w:rsidR="001676E7" w:rsidRDefault="00E2001F">
      <w:pPr>
        <w:pStyle w:val="Spistreci2"/>
        <w:rPr>
          <w:rFonts w:eastAsiaTheme="minorEastAsia"/>
          <w:noProof/>
          <w:lang w:eastAsia="pl-PL"/>
        </w:rPr>
      </w:pPr>
      <w:hyperlink w:anchor="_Toc77070636" w:history="1">
        <w:r w:rsidR="001676E7" w:rsidRPr="00004907">
          <w:rPr>
            <w:rStyle w:val="Hipercze"/>
            <w:rFonts w:cstheme="majorHAnsi"/>
            <w:noProof/>
          </w:rPr>
          <w:t>11.2 Cele operacyjne i działania</w:t>
        </w:r>
        <w:r w:rsidR="001676E7">
          <w:rPr>
            <w:noProof/>
            <w:webHidden/>
          </w:rPr>
          <w:tab/>
        </w:r>
        <w:r w:rsidR="001676E7">
          <w:rPr>
            <w:noProof/>
            <w:webHidden/>
          </w:rPr>
          <w:fldChar w:fldCharType="begin"/>
        </w:r>
        <w:r w:rsidR="001676E7">
          <w:rPr>
            <w:noProof/>
            <w:webHidden/>
          </w:rPr>
          <w:instrText xml:space="preserve"> PAGEREF _Toc77070636 \h </w:instrText>
        </w:r>
        <w:r w:rsidR="001676E7">
          <w:rPr>
            <w:noProof/>
            <w:webHidden/>
          </w:rPr>
        </w:r>
        <w:r w:rsidR="001676E7">
          <w:rPr>
            <w:noProof/>
            <w:webHidden/>
          </w:rPr>
          <w:fldChar w:fldCharType="separate"/>
        </w:r>
        <w:r w:rsidR="006C7815">
          <w:rPr>
            <w:noProof/>
            <w:webHidden/>
          </w:rPr>
          <w:t>93</w:t>
        </w:r>
        <w:r w:rsidR="001676E7">
          <w:rPr>
            <w:noProof/>
            <w:webHidden/>
          </w:rPr>
          <w:fldChar w:fldCharType="end"/>
        </w:r>
      </w:hyperlink>
    </w:p>
    <w:p w14:paraId="4FB20F4C" w14:textId="77777777" w:rsidR="001676E7" w:rsidRDefault="00E2001F">
      <w:pPr>
        <w:pStyle w:val="Spistreci1"/>
        <w:tabs>
          <w:tab w:val="right" w:leader="dot" w:pos="9060"/>
        </w:tabs>
        <w:rPr>
          <w:rFonts w:eastAsiaTheme="minorEastAsia"/>
          <w:b w:val="0"/>
          <w:noProof/>
          <w:color w:val="auto"/>
          <w:lang w:eastAsia="pl-PL"/>
        </w:rPr>
      </w:pPr>
      <w:hyperlink w:anchor="_Toc77070637" w:history="1">
        <w:r w:rsidR="001676E7" w:rsidRPr="00004907">
          <w:rPr>
            <w:rStyle w:val="Hipercze"/>
            <w:rFonts w:cstheme="majorHAnsi"/>
            <w:noProof/>
          </w:rPr>
          <w:t>12. System wdrażania</w:t>
        </w:r>
        <w:r w:rsidR="001676E7">
          <w:rPr>
            <w:noProof/>
            <w:webHidden/>
          </w:rPr>
          <w:tab/>
        </w:r>
        <w:r w:rsidR="001676E7">
          <w:rPr>
            <w:noProof/>
            <w:webHidden/>
          </w:rPr>
          <w:fldChar w:fldCharType="begin"/>
        </w:r>
        <w:r w:rsidR="001676E7">
          <w:rPr>
            <w:noProof/>
            <w:webHidden/>
          </w:rPr>
          <w:instrText xml:space="preserve"> PAGEREF _Toc77070637 \h </w:instrText>
        </w:r>
        <w:r w:rsidR="001676E7">
          <w:rPr>
            <w:noProof/>
            <w:webHidden/>
          </w:rPr>
        </w:r>
        <w:r w:rsidR="001676E7">
          <w:rPr>
            <w:noProof/>
            <w:webHidden/>
          </w:rPr>
          <w:fldChar w:fldCharType="separate"/>
        </w:r>
        <w:r w:rsidR="006C7815">
          <w:rPr>
            <w:noProof/>
            <w:webHidden/>
          </w:rPr>
          <w:t>101</w:t>
        </w:r>
        <w:r w:rsidR="001676E7">
          <w:rPr>
            <w:noProof/>
            <w:webHidden/>
          </w:rPr>
          <w:fldChar w:fldCharType="end"/>
        </w:r>
      </w:hyperlink>
    </w:p>
    <w:p w14:paraId="7D01B47E" w14:textId="77777777" w:rsidR="001676E7" w:rsidRDefault="00E2001F">
      <w:pPr>
        <w:pStyle w:val="Spistreci2"/>
        <w:rPr>
          <w:rFonts w:eastAsiaTheme="minorEastAsia"/>
          <w:noProof/>
          <w:lang w:eastAsia="pl-PL"/>
        </w:rPr>
      </w:pPr>
      <w:hyperlink w:anchor="_Toc77070638" w:history="1">
        <w:r w:rsidR="001676E7" w:rsidRPr="00004907">
          <w:rPr>
            <w:rStyle w:val="Hipercze"/>
            <w:rFonts w:cstheme="majorHAnsi"/>
            <w:noProof/>
          </w:rPr>
          <w:t>12.1 Podmioty odpowiedzialne za wdrażanie</w:t>
        </w:r>
        <w:r w:rsidR="001676E7">
          <w:rPr>
            <w:noProof/>
            <w:webHidden/>
          </w:rPr>
          <w:tab/>
        </w:r>
        <w:r w:rsidR="001676E7">
          <w:rPr>
            <w:noProof/>
            <w:webHidden/>
          </w:rPr>
          <w:fldChar w:fldCharType="begin"/>
        </w:r>
        <w:r w:rsidR="001676E7">
          <w:rPr>
            <w:noProof/>
            <w:webHidden/>
          </w:rPr>
          <w:instrText xml:space="preserve"> PAGEREF _Toc77070638 \h </w:instrText>
        </w:r>
        <w:r w:rsidR="001676E7">
          <w:rPr>
            <w:noProof/>
            <w:webHidden/>
          </w:rPr>
        </w:r>
        <w:r w:rsidR="001676E7">
          <w:rPr>
            <w:noProof/>
            <w:webHidden/>
          </w:rPr>
          <w:fldChar w:fldCharType="separate"/>
        </w:r>
        <w:r w:rsidR="006C7815">
          <w:rPr>
            <w:noProof/>
            <w:webHidden/>
          </w:rPr>
          <w:t>101</w:t>
        </w:r>
        <w:r w:rsidR="001676E7">
          <w:rPr>
            <w:noProof/>
            <w:webHidden/>
          </w:rPr>
          <w:fldChar w:fldCharType="end"/>
        </w:r>
      </w:hyperlink>
    </w:p>
    <w:p w14:paraId="45763677" w14:textId="77777777" w:rsidR="001676E7" w:rsidRDefault="00E2001F">
      <w:pPr>
        <w:pStyle w:val="Spistreci2"/>
        <w:rPr>
          <w:rFonts w:eastAsiaTheme="minorEastAsia"/>
          <w:noProof/>
          <w:lang w:eastAsia="pl-PL"/>
        </w:rPr>
      </w:pPr>
      <w:hyperlink w:anchor="_Toc77070639" w:history="1">
        <w:r w:rsidR="001676E7" w:rsidRPr="00004907">
          <w:rPr>
            <w:rStyle w:val="Hipercze"/>
            <w:noProof/>
          </w:rPr>
          <w:t>12.2 System monitoringu i ewaluacji, wskaźniki realizacji</w:t>
        </w:r>
        <w:r w:rsidR="001676E7">
          <w:rPr>
            <w:noProof/>
            <w:webHidden/>
          </w:rPr>
          <w:tab/>
        </w:r>
        <w:r w:rsidR="001676E7">
          <w:rPr>
            <w:noProof/>
            <w:webHidden/>
          </w:rPr>
          <w:fldChar w:fldCharType="begin"/>
        </w:r>
        <w:r w:rsidR="001676E7">
          <w:rPr>
            <w:noProof/>
            <w:webHidden/>
          </w:rPr>
          <w:instrText xml:space="preserve"> PAGEREF _Toc77070639 \h </w:instrText>
        </w:r>
        <w:r w:rsidR="001676E7">
          <w:rPr>
            <w:noProof/>
            <w:webHidden/>
          </w:rPr>
        </w:r>
        <w:r w:rsidR="001676E7">
          <w:rPr>
            <w:noProof/>
            <w:webHidden/>
          </w:rPr>
          <w:fldChar w:fldCharType="separate"/>
        </w:r>
        <w:r w:rsidR="006C7815">
          <w:rPr>
            <w:noProof/>
            <w:webHidden/>
          </w:rPr>
          <w:t>101</w:t>
        </w:r>
        <w:r w:rsidR="001676E7">
          <w:rPr>
            <w:noProof/>
            <w:webHidden/>
          </w:rPr>
          <w:fldChar w:fldCharType="end"/>
        </w:r>
      </w:hyperlink>
    </w:p>
    <w:p w14:paraId="63145443" w14:textId="77777777" w:rsidR="001676E7" w:rsidRDefault="00E2001F">
      <w:pPr>
        <w:pStyle w:val="Spistreci1"/>
        <w:tabs>
          <w:tab w:val="right" w:leader="dot" w:pos="9060"/>
        </w:tabs>
        <w:rPr>
          <w:rFonts w:eastAsiaTheme="minorEastAsia"/>
          <w:b w:val="0"/>
          <w:noProof/>
          <w:color w:val="auto"/>
          <w:lang w:eastAsia="pl-PL"/>
        </w:rPr>
      </w:pPr>
      <w:hyperlink w:anchor="_Toc77070640" w:history="1">
        <w:r w:rsidR="001676E7" w:rsidRPr="00004907">
          <w:rPr>
            <w:rStyle w:val="Hipercze"/>
            <w:rFonts w:cstheme="majorHAnsi"/>
            <w:noProof/>
          </w:rPr>
          <w:t>Załącznik - Raport z badania mieszkańców</w:t>
        </w:r>
        <w:r w:rsidR="001676E7">
          <w:rPr>
            <w:noProof/>
            <w:webHidden/>
          </w:rPr>
          <w:tab/>
        </w:r>
        <w:r w:rsidR="001676E7">
          <w:rPr>
            <w:noProof/>
            <w:webHidden/>
          </w:rPr>
          <w:fldChar w:fldCharType="begin"/>
        </w:r>
        <w:r w:rsidR="001676E7">
          <w:rPr>
            <w:noProof/>
            <w:webHidden/>
          </w:rPr>
          <w:instrText xml:space="preserve"> PAGEREF _Toc77070640 \h </w:instrText>
        </w:r>
        <w:r w:rsidR="001676E7">
          <w:rPr>
            <w:noProof/>
            <w:webHidden/>
          </w:rPr>
        </w:r>
        <w:r w:rsidR="001676E7">
          <w:rPr>
            <w:noProof/>
            <w:webHidden/>
          </w:rPr>
          <w:fldChar w:fldCharType="separate"/>
        </w:r>
        <w:r w:rsidR="006C7815">
          <w:rPr>
            <w:noProof/>
            <w:webHidden/>
          </w:rPr>
          <w:t>107</w:t>
        </w:r>
        <w:r w:rsidR="001676E7">
          <w:rPr>
            <w:noProof/>
            <w:webHidden/>
          </w:rPr>
          <w:fldChar w:fldCharType="end"/>
        </w:r>
      </w:hyperlink>
    </w:p>
    <w:p w14:paraId="1DF170CC" w14:textId="77777777" w:rsidR="001676E7" w:rsidRDefault="00E2001F">
      <w:pPr>
        <w:pStyle w:val="Spistreci1"/>
        <w:tabs>
          <w:tab w:val="right" w:leader="dot" w:pos="9060"/>
        </w:tabs>
        <w:rPr>
          <w:rFonts w:eastAsiaTheme="minorEastAsia"/>
          <w:b w:val="0"/>
          <w:noProof/>
          <w:color w:val="auto"/>
          <w:lang w:eastAsia="pl-PL"/>
        </w:rPr>
      </w:pPr>
      <w:hyperlink w:anchor="_Toc77070641" w:history="1">
        <w:r w:rsidR="001676E7" w:rsidRPr="00004907">
          <w:rPr>
            <w:rStyle w:val="Hipercze"/>
            <w:noProof/>
          </w:rPr>
          <w:t>Spis tabel, wykresów i rysunków</w:t>
        </w:r>
        <w:r w:rsidR="001676E7">
          <w:rPr>
            <w:noProof/>
            <w:webHidden/>
          </w:rPr>
          <w:tab/>
        </w:r>
        <w:r w:rsidR="001676E7">
          <w:rPr>
            <w:noProof/>
            <w:webHidden/>
          </w:rPr>
          <w:fldChar w:fldCharType="begin"/>
        </w:r>
        <w:r w:rsidR="001676E7">
          <w:rPr>
            <w:noProof/>
            <w:webHidden/>
          </w:rPr>
          <w:instrText xml:space="preserve"> PAGEREF _Toc77070641 \h </w:instrText>
        </w:r>
        <w:r w:rsidR="001676E7">
          <w:rPr>
            <w:noProof/>
            <w:webHidden/>
          </w:rPr>
        </w:r>
        <w:r w:rsidR="001676E7">
          <w:rPr>
            <w:noProof/>
            <w:webHidden/>
          </w:rPr>
          <w:fldChar w:fldCharType="separate"/>
        </w:r>
        <w:r w:rsidR="006C7815">
          <w:rPr>
            <w:noProof/>
            <w:webHidden/>
          </w:rPr>
          <w:t>124</w:t>
        </w:r>
        <w:r w:rsidR="001676E7">
          <w:rPr>
            <w:noProof/>
            <w:webHidden/>
          </w:rPr>
          <w:fldChar w:fldCharType="end"/>
        </w:r>
      </w:hyperlink>
    </w:p>
    <w:p w14:paraId="585C2BE4" w14:textId="7950FDDD" w:rsidR="00EA2B5F" w:rsidRPr="00F25EBD" w:rsidRDefault="005D522F" w:rsidP="00FC7062">
      <w:pPr>
        <w:spacing w:line="276" w:lineRule="auto"/>
        <w:rPr>
          <w:rFonts w:asciiTheme="majorHAnsi" w:hAnsiTheme="majorHAnsi" w:cstheme="majorHAnsi"/>
        </w:rPr>
      </w:pPr>
      <w:r>
        <w:rPr>
          <w:rFonts w:asciiTheme="majorHAnsi" w:hAnsiTheme="majorHAnsi" w:cstheme="majorHAnsi"/>
          <w:b/>
          <w:color w:val="00B0F0"/>
        </w:rPr>
        <w:fldChar w:fldCharType="end"/>
      </w:r>
      <w:r w:rsidR="00EA2B5F" w:rsidRPr="00F25EBD">
        <w:rPr>
          <w:rFonts w:asciiTheme="majorHAnsi" w:hAnsiTheme="majorHAnsi" w:cstheme="majorHAnsi"/>
        </w:rPr>
        <w:br w:type="page"/>
      </w:r>
    </w:p>
    <w:p w14:paraId="630C9C79" w14:textId="082CC910" w:rsidR="003E1FC4" w:rsidRPr="00F25EBD" w:rsidRDefault="00374AD6" w:rsidP="00374AD6">
      <w:pPr>
        <w:pStyle w:val="Nagwek1"/>
        <w:spacing w:line="276" w:lineRule="auto"/>
        <w:jc w:val="both"/>
        <w:rPr>
          <w:rFonts w:cstheme="majorHAnsi"/>
        </w:rPr>
      </w:pPr>
      <w:bookmarkStart w:id="0" w:name="_Toc55909913"/>
      <w:bookmarkStart w:id="1" w:name="_Toc77070594"/>
      <w:r>
        <w:rPr>
          <w:rFonts w:cstheme="majorHAnsi"/>
        </w:rPr>
        <w:lastRenderedPageBreak/>
        <w:t xml:space="preserve">1. </w:t>
      </w:r>
      <w:r w:rsidR="003E1FC4" w:rsidRPr="00F25EBD">
        <w:rPr>
          <w:rFonts w:cstheme="majorHAnsi"/>
        </w:rPr>
        <w:t>Wprowadzenie</w:t>
      </w:r>
      <w:bookmarkEnd w:id="0"/>
      <w:bookmarkEnd w:id="1"/>
      <w:r w:rsidR="003E1FC4" w:rsidRPr="00F25EBD">
        <w:rPr>
          <w:rFonts w:cstheme="majorHAnsi"/>
        </w:rPr>
        <w:t xml:space="preserve"> </w:t>
      </w:r>
    </w:p>
    <w:p w14:paraId="0E74BBF1" w14:textId="57EE3C8D" w:rsidR="00DD229D" w:rsidRPr="00453EB1" w:rsidRDefault="00DD229D" w:rsidP="00FC7062">
      <w:pPr>
        <w:spacing w:line="276" w:lineRule="auto"/>
        <w:jc w:val="both"/>
        <w:rPr>
          <w:rFonts w:asciiTheme="majorHAnsi" w:hAnsiTheme="majorHAnsi" w:cstheme="majorHAnsi"/>
          <w:szCs w:val="20"/>
        </w:rPr>
      </w:pPr>
      <w:r w:rsidRPr="00453EB1">
        <w:rPr>
          <w:rFonts w:asciiTheme="majorHAnsi" w:hAnsiTheme="majorHAnsi" w:cstheme="majorHAnsi"/>
          <w:szCs w:val="20"/>
        </w:rPr>
        <w:t xml:space="preserve">Podstawą prawną powstania Strategii Rozwoju Obszaru Funkcjonalnego Południowe Mazury 2030 /OF Południowe Mazury 2030/ dla obszarów Powiatu Szczycieńskiego, Działdowskiego, Nidzickiego </w:t>
      </w:r>
      <w:r w:rsidR="007A6236" w:rsidRPr="00453EB1">
        <w:rPr>
          <w:rFonts w:asciiTheme="majorHAnsi" w:hAnsiTheme="majorHAnsi" w:cstheme="majorHAnsi"/>
          <w:szCs w:val="20"/>
        </w:rPr>
        <w:br/>
      </w:r>
      <w:r w:rsidRPr="00453EB1">
        <w:rPr>
          <w:rFonts w:asciiTheme="majorHAnsi" w:hAnsiTheme="majorHAnsi" w:cstheme="majorHAnsi"/>
          <w:szCs w:val="20"/>
        </w:rPr>
        <w:t xml:space="preserve">i </w:t>
      </w:r>
      <w:proofErr w:type="spellStart"/>
      <w:r w:rsidRPr="00453EB1">
        <w:rPr>
          <w:rFonts w:asciiTheme="majorHAnsi" w:hAnsiTheme="majorHAnsi" w:cstheme="majorHAnsi"/>
          <w:szCs w:val="20"/>
        </w:rPr>
        <w:t>Piskiego</w:t>
      </w:r>
      <w:proofErr w:type="spellEnd"/>
      <w:r w:rsidRPr="00453EB1">
        <w:rPr>
          <w:rFonts w:asciiTheme="majorHAnsi" w:hAnsiTheme="majorHAnsi" w:cstheme="majorHAnsi"/>
          <w:szCs w:val="20"/>
        </w:rPr>
        <w:t xml:space="preserve"> (zwanej dalej Strategią) jest Ustawa z dnia 5 czerwca 1998</w:t>
      </w:r>
      <w:r w:rsidR="00F7062F" w:rsidRPr="00453EB1">
        <w:rPr>
          <w:rFonts w:asciiTheme="majorHAnsi" w:hAnsiTheme="majorHAnsi" w:cstheme="majorHAnsi"/>
          <w:szCs w:val="20"/>
        </w:rPr>
        <w:t>r.</w:t>
      </w:r>
      <w:r w:rsidRPr="00453EB1">
        <w:rPr>
          <w:rFonts w:asciiTheme="majorHAnsi" w:hAnsiTheme="majorHAnsi" w:cstheme="majorHAnsi"/>
          <w:szCs w:val="20"/>
        </w:rPr>
        <w:t xml:space="preserve"> o samorządzie powiatowym  (</w:t>
      </w:r>
      <w:proofErr w:type="spellStart"/>
      <w:r w:rsidRPr="00453EB1">
        <w:rPr>
          <w:rFonts w:asciiTheme="majorHAnsi" w:hAnsiTheme="majorHAnsi" w:cstheme="majorHAnsi"/>
          <w:szCs w:val="20"/>
        </w:rPr>
        <w:t>t.j</w:t>
      </w:r>
      <w:proofErr w:type="spellEnd"/>
      <w:r w:rsidRPr="00453EB1">
        <w:rPr>
          <w:rFonts w:asciiTheme="majorHAnsi" w:hAnsiTheme="majorHAnsi" w:cstheme="majorHAnsi"/>
          <w:szCs w:val="20"/>
        </w:rPr>
        <w:t>. Dz. U. z 2020</w:t>
      </w:r>
      <w:r w:rsidR="00F7062F" w:rsidRPr="00453EB1">
        <w:rPr>
          <w:rFonts w:asciiTheme="majorHAnsi" w:hAnsiTheme="majorHAnsi" w:cstheme="majorHAnsi"/>
          <w:szCs w:val="20"/>
        </w:rPr>
        <w:t>r.</w:t>
      </w:r>
      <w:r w:rsidRPr="00453EB1">
        <w:rPr>
          <w:rFonts w:asciiTheme="majorHAnsi" w:hAnsiTheme="majorHAnsi" w:cstheme="majorHAnsi"/>
          <w:szCs w:val="20"/>
        </w:rPr>
        <w:t xml:space="preserve"> poz. 920). </w:t>
      </w:r>
    </w:p>
    <w:p w14:paraId="08C397A3" w14:textId="503FDE48" w:rsidR="003E1FC4" w:rsidRPr="00F25EBD" w:rsidRDefault="003E1FC4" w:rsidP="00FC7062">
      <w:pPr>
        <w:spacing w:line="276" w:lineRule="auto"/>
        <w:jc w:val="both"/>
        <w:rPr>
          <w:rFonts w:asciiTheme="majorHAnsi" w:hAnsiTheme="majorHAnsi" w:cstheme="majorHAnsi"/>
          <w:szCs w:val="20"/>
        </w:rPr>
      </w:pPr>
      <w:r w:rsidRPr="00453EB1">
        <w:rPr>
          <w:rFonts w:asciiTheme="majorHAnsi" w:hAnsiTheme="majorHAnsi" w:cstheme="majorHAnsi"/>
          <w:szCs w:val="20"/>
        </w:rPr>
        <w:t>Powiat</w:t>
      </w:r>
      <w:r w:rsidR="006B264B" w:rsidRPr="00453EB1">
        <w:rPr>
          <w:rFonts w:asciiTheme="majorHAnsi" w:hAnsiTheme="majorHAnsi" w:cstheme="majorHAnsi"/>
          <w:szCs w:val="20"/>
        </w:rPr>
        <w:t xml:space="preserve">y: </w:t>
      </w:r>
      <w:r w:rsidRPr="00453EB1">
        <w:rPr>
          <w:rFonts w:asciiTheme="majorHAnsi" w:hAnsiTheme="majorHAnsi" w:cstheme="majorHAnsi"/>
          <w:szCs w:val="20"/>
        </w:rPr>
        <w:t xml:space="preserve">Szczycieński, Działdowski, Nidzicki i Piski od lat konsekwentnie realizują politykę rozwoju </w:t>
      </w:r>
      <w:r w:rsidRPr="00F25EBD">
        <w:rPr>
          <w:rFonts w:asciiTheme="majorHAnsi" w:hAnsiTheme="majorHAnsi" w:cstheme="majorHAnsi"/>
          <w:szCs w:val="20"/>
        </w:rPr>
        <w:t>w</w:t>
      </w:r>
      <w:r w:rsidR="000434EA">
        <w:rPr>
          <w:rFonts w:asciiTheme="majorHAnsi" w:hAnsiTheme="majorHAnsi" w:cstheme="majorHAnsi"/>
          <w:szCs w:val="20"/>
        </w:rPr>
        <w:t> </w:t>
      </w:r>
      <w:r w:rsidRPr="00F25EBD">
        <w:rPr>
          <w:rFonts w:asciiTheme="majorHAnsi" w:hAnsiTheme="majorHAnsi" w:cstheme="majorHAnsi"/>
          <w:szCs w:val="20"/>
        </w:rPr>
        <w:t>oparciu o dokumenty programowe, ze strategią rozwoju na czele. Strategia jest najważniejszym dokumentem programowym Powiatów. Zawiera zbiór celów i planów działania Samorządu Powiatowego, które w perspektywie długookresowej - do roku 20</w:t>
      </w:r>
      <w:r w:rsidR="00390E7E">
        <w:rPr>
          <w:rFonts w:asciiTheme="majorHAnsi" w:hAnsiTheme="majorHAnsi" w:cstheme="majorHAnsi"/>
          <w:szCs w:val="20"/>
        </w:rPr>
        <w:t>30</w:t>
      </w:r>
      <w:r w:rsidRPr="00F25EBD">
        <w:rPr>
          <w:rFonts w:asciiTheme="majorHAnsi" w:hAnsiTheme="majorHAnsi" w:cstheme="majorHAnsi"/>
          <w:szCs w:val="20"/>
        </w:rPr>
        <w:t>, powinny skutecznie oddziaływać na poprawę warunków życia i rozwój Powiatów. Wizja rozwoju zawarta w koncepcji strategicznej niniejszego opracowania jest efektem połączenia prac warsztatowych, eksperckich oraz wyników uzyskanych w ramach badań społecznych.</w:t>
      </w:r>
    </w:p>
    <w:p w14:paraId="529CF28C" w14:textId="739DDC74" w:rsidR="003E1FC4" w:rsidRPr="00F25EBD" w:rsidRDefault="003E1FC4" w:rsidP="00FC7062">
      <w:pPr>
        <w:spacing w:line="276" w:lineRule="auto"/>
        <w:jc w:val="both"/>
        <w:rPr>
          <w:rFonts w:asciiTheme="majorHAnsi" w:hAnsiTheme="majorHAnsi" w:cstheme="majorHAnsi"/>
          <w:szCs w:val="20"/>
        </w:rPr>
      </w:pPr>
      <w:r w:rsidRPr="00F25EBD">
        <w:rPr>
          <w:rFonts w:asciiTheme="majorHAnsi" w:hAnsiTheme="majorHAnsi" w:cstheme="majorHAnsi"/>
          <w:szCs w:val="20"/>
        </w:rPr>
        <w:t>Niniejszy dokument jest nakierowany na perspektywę 2021-20</w:t>
      </w:r>
      <w:r w:rsidR="00390E7E">
        <w:rPr>
          <w:rFonts w:asciiTheme="majorHAnsi" w:hAnsiTheme="majorHAnsi" w:cstheme="majorHAnsi"/>
          <w:szCs w:val="20"/>
        </w:rPr>
        <w:t>30</w:t>
      </w:r>
      <w:r w:rsidRPr="00F25EBD">
        <w:rPr>
          <w:rFonts w:asciiTheme="majorHAnsi" w:hAnsiTheme="majorHAnsi" w:cstheme="majorHAnsi"/>
          <w:szCs w:val="20"/>
        </w:rPr>
        <w:t>. Potrzeba stworzenia nowego dokumentu wynika ze zmieniających się warunków zewnętrznych, takich jak zmiany w prawie i finansach publicznych oraz wewnętrznych, związanych ze zmieniającą się sytuacją środowiskową, demograficzno-społeczną i gospodarczą na terenie powiat</w:t>
      </w:r>
      <w:r w:rsidR="00672DD7">
        <w:rPr>
          <w:rFonts w:asciiTheme="majorHAnsi" w:hAnsiTheme="majorHAnsi" w:cstheme="majorHAnsi"/>
          <w:szCs w:val="20"/>
        </w:rPr>
        <w:t>ów objętych opracowanie</w:t>
      </w:r>
      <w:r w:rsidR="007A6236">
        <w:rPr>
          <w:rFonts w:asciiTheme="majorHAnsi" w:hAnsiTheme="majorHAnsi" w:cstheme="majorHAnsi"/>
          <w:szCs w:val="20"/>
        </w:rPr>
        <w:t>m</w:t>
      </w:r>
      <w:r w:rsidR="00672DD7">
        <w:rPr>
          <w:rFonts w:asciiTheme="majorHAnsi" w:hAnsiTheme="majorHAnsi" w:cstheme="majorHAnsi"/>
          <w:szCs w:val="20"/>
        </w:rPr>
        <w:t xml:space="preserve">. </w:t>
      </w:r>
      <w:r w:rsidRPr="00F25EBD">
        <w:rPr>
          <w:rFonts w:asciiTheme="majorHAnsi" w:hAnsiTheme="majorHAnsi" w:cstheme="majorHAnsi"/>
          <w:szCs w:val="20"/>
        </w:rPr>
        <w:t xml:space="preserve"> </w:t>
      </w:r>
    </w:p>
    <w:p w14:paraId="6A11D6C0" w14:textId="77777777" w:rsidR="003E1FC4" w:rsidRPr="00F25EBD" w:rsidRDefault="003E1FC4" w:rsidP="00FC7062">
      <w:pPr>
        <w:spacing w:line="276" w:lineRule="auto"/>
        <w:jc w:val="both"/>
        <w:rPr>
          <w:rFonts w:asciiTheme="majorHAnsi" w:hAnsiTheme="majorHAnsi" w:cstheme="majorHAnsi"/>
          <w:szCs w:val="20"/>
        </w:rPr>
      </w:pPr>
      <w:r w:rsidRPr="00F25EBD">
        <w:rPr>
          <w:rFonts w:asciiTheme="majorHAnsi" w:hAnsiTheme="majorHAnsi" w:cstheme="majorHAnsi"/>
          <w:szCs w:val="20"/>
        </w:rPr>
        <w:t>Prezentowana Strategia określa cele, jakie stawiają sobie Samorządy Powiatowe w tej perspektywie czasu oraz katalog działań, za pomocą których poszczególne cele będą realizowane. Strategia opiera się na wynikach diagnozy kluczowych dla funkcjonowania Powiatów dziedzin oraz na wynikach badań ankietowych mieszkańców powiat</w:t>
      </w:r>
      <w:r w:rsidR="00D81B37" w:rsidRPr="00F25EBD">
        <w:rPr>
          <w:rFonts w:asciiTheme="majorHAnsi" w:hAnsiTheme="majorHAnsi" w:cstheme="majorHAnsi"/>
          <w:szCs w:val="20"/>
        </w:rPr>
        <w:t>ów</w:t>
      </w:r>
      <w:r w:rsidRPr="00F25EBD">
        <w:rPr>
          <w:rFonts w:asciiTheme="majorHAnsi" w:hAnsiTheme="majorHAnsi" w:cstheme="majorHAnsi"/>
          <w:szCs w:val="20"/>
        </w:rPr>
        <w:t>. Dzięki nim pozyskano informacje na temat warunków życia, zadowolenia z usług świadczonych przez jednostki organizacyjne Powiatów, a także priorytetów i postulatów, co do rozwoju Powiatów w przyszłości.</w:t>
      </w:r>
    </w:p>
    <w:p w14:paraId="4968612F" w14:textId="77777777" w:rsidR="003E1FC4" w:rsidRPr="00F25EBD" w:rsidRDefault="003E1FC4" w:rsidP="00FC7062">
      <w:pPr>
        <w:spacing w:line="276" w:lineRule="auto"/>
        <w:jc w:val="both"/>
        <w:rPr>
          <w:rFonts w:asciiTheme="majorHAnsi" w:hAnsiTheme="majorHAnsi" w:cstheme="majorHAnsi"/>
          <w:szCs w:val="20"/>
        </w:rPr>
      </w:pPr>
      <w:r w:rsidRPr="00F25EBD">
        <w:rPr>
          <w:rFonts w:asciiTheme="majorHAnsi" w:hAnsiTheme="majorHAnsi" w:cstheme="majorHAnsi"/>
          <w:szCs w:val="20"/>
        </w:rPr>
        <w:t xml:space="preserve">Poprzez niniejszy dokument władze samorządowe informują mieszkańców o stanie i kierunkach rozwoju Powiatu Szczycieńskiego, Działdowskiego, Nidzickiego i </w:t>
      </w:r>
      <w:proofErr w:type="spellStart"/>
      <w:r w:rsidRPr="00F25EBD">
        <w:rPr>
          <w:rFonts w:asciiTheme="majorHAnsi" w:hAnsiTheme="majorHAnsi" w:cstheme="majorHAnsi"/>
          <w:szCs w:val="20"/>
        </w:rPr>
        <w:t>Piskiego</w:t>
      </w:r>
      <w:proofErr w:type="spellEnd"/>
      <w:r w:rsidRPr="00F25EBD">
        <w:rPr>
          <w:rFonts w:asciiTheme="majorHAnsi" w:hAnsiTheme="majorHAnsi" w:cstheme="majorHAnsi"/>
          <w:szCs w:val="20"/>
        </w:rPr>
        <w:t xml:space="preserve"> oraz o sposobie, w jaki będą realizować swoje zadania w najbliższych latach.</w:t>
      </w:r>
    </w:p>
    <w:p w14:paraId="44653552" w14:textId="77777777" w:rsidR="003E1FC4" w:rsidRPr="00F25EBD" w:rsidRDefault="003E1FC4" w:rsidP="00FC7062">
      <w:pPr>
        <w:pStyle w:val="Nagwek2"/>
        <w:rPr>
          <w:rFonts w:cstheme="majorHAnsi"/>
        </w:rPr>
      </w:pPr>
      <w:r w:rsidRPr="00F25EBD">
        <w:rPr>
          <w:rFonts w:cstheme="majorHAnsi"/>
          <w:color w:val="538135" w:themeColor="accent6" w:themeShade="BF"/>
        </w:rPr>
        <w:br w:type="page"/>
      </w:r>
    </w:p>
    <w:p w14:paraId="79BB5E2E" w14:textId="36D425C2" w:rsidR="003E1FC4" w:rsidRPr="00F25EBD" w:rsidRDefault="00374AD6" w:rsidP="007A5888">
      <w:pPr>
        <w:pStyle w:val="Nagwek2"/>
      </w:pPr>
      <w:bookmarkStart w:id="2" w:name="_Toc55909914"/>
      <w:bookmarkStart w:id="3" w:name="_Toc77070595"/>
      <w:r>
        <w:lastRenderedPageBreak/>
        <w:t xml:space="preserve">1.1 </w:t>
      </w:r>
      <w:r w:rsidR="003E1FC4" w:rsidRPr="00F25EBD">
        <w:t>Metodyka opracowania i proces uspołecznienia</w:t>
      </w:r>
      <w:bookmarkEnd w:id="2"/>
      <w:bookmarkEnd w:id="3"/>
      <w:r w:rsidR="003E1FC4" w:rsidRPr="00F25EBD">
        <w:t xml:space="preserve"> </w:t>
      </w:r>
    </w:p>
    <w:p w14:paraId="24191149" w14:textId="77777777" w:rsidR="003E1FC4" w:rsidRPr="00F25EBD" w:rsidRDefault="003E1FC4" w:rsidP="00FC7062">
      <w:pPr>
        <w:spacing w:after="0" w:line="276" w:lineRule="auto"/>
        <w:rPr>
          <w:rFonts w:asciiTheme="majorHAnsi" w:hAnsiTheme="majorHAnsi" w:cstheme="majorHAnsi"/>
          <w:szCs w:val="20"/>
        </w:rPr>
      </w:pPr>
      <w:r w:rsidRPr="00F25EBD">
        <w:rPr>
          <w:rFonts w:asciiTheme="majorHAnsi" w:hAnsiTheme="majorHAnsi" w:cstheme="majorHAnsi"/>
          <w:szCs w:val="20"/>
        </w:rPr>
        <w:t>Dokument złożony jest zasadniczo z dwóch części:</w:t>
      </w:r>
    </w:p>
    <w:tbl>
      <w:tblPr>
        <w:tblStyle w:val="Tabela-Siatka"/>
        <w:tblW w:w="0" w:type="dxa"/>
        <w:tblInd w:w="8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54"/>
        <w:gridCol w:w="1696"/>
      </w:tblGrid>
      <w:tr w:rsidR="003E1FC4" w:rsidRPr="00F25EBD" w14:paraId="2A65E38F" w14:textId="77777777" w:rsidTr="003E1FC4">
        <w:trPr>
          <w:trHeight w:val="737"/>
        </w:trPr>
        <w:tc>
          <w:tcPr>
            <w:tcW w:w="75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C249"/>
            <w:vAlign w:val="center"/>
            <w:hideMark/>
          </w:tcPr>
          <w:p w14:paraId="70B8D9AF" w14:textId="77777777" w:rsidR="003E1FC4" w:rsidRPr="00F25EBD" w:rsidRDefault="003E1FC4" w:rsidP="00FC7062">
            <w:pPr>
              <w:spacing w:line="276" w:lineRule="auto"/>
              <w:rPr>
                <w:rFonts w:asciiTheme="majorHAnsi" w:hAnsiTheme="majorHAnsi" w:cstheme="majorHAnsi"/>
                <w:lang w:eastAsia="pl-PL"/>
              </w:rPr>
            </w:pPr>
            <w:r w:rsidRPr="00F25EBD">
              <w:rPr>
                <w:rFonts w:asciiTheme="majorHAnsi" w:hAnsiTheme="majorHAnsi" w:cstheme="majorHAnsi"/>
                <w:noProof/>
                <w:lang w:eastAsia="pl-PL"/>
              </w:rPr>
              <w:drawing>
                <wp:inline distT="0" distB="0" distL="0" distR="0" wp14:anchorId="57B464AB" wp14:editId="3E86CF62">
                  <wp:extent cx="274320" cy="274320"/>
                  <wp:effectExtent l="0" t="0" r="0" b="0"/>
                  <wp:docPr id="40" name="Obraz 40" descr="Mikrosk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a 223" descr="Mikrosko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p>
        </w:tc>
        <w:tc>
          <w:tcPr>
            <w:tcW w:w="1696" w:type="dxa"/>
            <w:tcBorders>
              <w:top w:val="single" w:sz="4" w:space="0" w:color="FFFFFF" w:themeColor="background1"/>
              <w:left w:val="single" w:sz="4" w:space="0" w:color="FFFFFF" w:themeColor="background1"/>
              <w:bottom w:val="single" w:sz="4" w:space="0" w:color="A5C249"/>
              <w:right w:val="nil"/>
            </w:tcBorders>
            <w:vAlign w:val="center"/>
            <w:hideMark/>
          </w:tcPr>
          <w:p w14:paraId="7E84094E" w14:textId="77777777" w:rsidR="003E1FC4" w:rsidRPr="00F25EBD" w:rsidRDefault="003E1FC4" w:rsidP="00FC7062">
            <w:pPr>
              <w:spacing w:line="276" w:lineRule="auto"/>
              <w:rPr>
                <w:rFonts w:asciiTheme="majorHAnsi" w:hAnsiTheme="majorHAnsi" w:cstheme="majorHAnsi"/>
                <w:sz w:val="20"/>
                <w:szCs w:val="20"/>
                <w:lang w:eastAsia="pl-PL"/>
              </w:rPr>
            </w:pPr>
            <w:r w:rsidRPr="00F25EBD">
              <w:rPr>
                <w:rFonts w:asciiTheme="majorHAnsi" w:hAnsiTheme="majorHAnsi" w:cstheme="majorHAnsi"/>
                <w:sz w:val="20"/>
                <w:szCs w:val="20"/>
              </w:rPr>
              <w:t>Diagnostycznej</w:t>
            </w:r>
          </w:p>
        </w:tc>
      </w:tr>
      <w:tr w:rsidR="003E1FC4" w:rsidRPr="00F25EBD" w14:paraId="01781087" w14:textId="77777777" w:rsidTr="003E1FC4">
        <w:trPr>
          <w:trHeight w:val="737"/>
        </w:trPr>
        <w:tc>
          <w:tcPr>
            <w:tcW w:w="75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C249"/>
            <w:vAlign w:val="center"/>
            <w:hideMark/>
          </w:tcPr>
          <w:p w14:paraId="21D79FEC" w14:textId="77777777" w:rsidR="003E1FC4" w:rsidRPr="00F25EBD" w:rsidRDefault="003E1FC4" w:rsidP="00FC7062">
            <w:pPr>
              <w:spacing w:line="276" w:lineRule="auto"/>
              <w:rPr>
                <w:rFonts w:asciiTheme="majorHAnsi" w:hAnsiTheme="majorHAnsi" w:cstheme="majorHAnsi"/>
                <w:lang w:eastAsia="pl-PL"/>
              </w:rPr>
            </w:pPr>
            <w:r w:rsidRPr="00F25EBD">
              <w:rPr>
                <w:rFonts w:asciiTheme="majorHAnsi" w:hAnsiTheme="majorHAnsi" w:cstheme="majorHAnsi"/>
                <w:noProof/>
                <w:lang w:eastAsia="pl-PL"/>
              </w:rPr>
              <w:drawing>
                <wp:inline distT="0" distB="0" distL="0" distR="0" wp14:anchorId="54CEC595" wp14:editId="1B7EBCF3">
                  <wp:extent cx="274320" cy="274320"/>
                  <wp:effectExtent l="0" t="0" r="0" b="0"/>
                  <wp:docPr id="39" name="Obraz 39" descr="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a 224" descr="Cel"/>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p>
        </w:tc>
        <w:tc>
          <w:tcPr>
            <w:tcW w:w="1696" w:type="dxa"/>
            <w:tcBorders>
              <w:top w:val="single" w:sz="4" w:space="0" w:color="A5C249"/>
              <w:left w:val="single" w:sz="4" w:space="0" w:color="FFFFFF" w:themeColor="background1"/>
              <w:bottom w:val="single" w:sz="4" w:space="0" w:color="A5C249"/>
              <w:right w:val="nil"/>
            </w:tcBorders>
            <w:vAlign w:val="center"/>
            <w:hideMark/>
          </w:tcPr>
          <w:p w14:paraId="681ED256" w14:textId="77777777" w:rsidR="003E1FC4" w:rsidRPr="00F25EBD" w:rsidRDefault="003E1FC4" w:rsidP="00FC7062">
            <w:pPr>
              <w:spacing w:line="276" w:lineRule="auto"/>
              <w:rPr>
                <w:rFonts w:asciiTheme="majorHAnsi" w:hAnsiTheme="majorHAnsi" w:cstheme="majorHAnsi"/>
                <w:noProof/>
                <w:sz w:val="20"/>
                <w:szCs w:val="20"/>
                <w:lang w:eastAsia="pl-PL"/>
              </w:rPr>
            </w:pPr>
            <w:r w:rsidRPr="00F25EBD">
              <w:rPr>
                <w:rFonts w:asciiTheme="majorHAnsi" w:hAnsiTheme="majorHAnsi" w:cstheme="majorHAnsi"/>
                <w:sz w:val="20"/>
                <w:szCs w:val="20"/>
              </w:rPr>
              <w:t>Strategicznej</w:t>
            </w:r>
          </w:p>
        </w:tc>
      </w:tr>
    </w:tbl>
    <w:p w14:paraId="761EB201" w14:textId="77777777" w:rsidR="003E1FC4" w:rsidRPr="00F25EBD" w:rsidRDefault="003E1FC4" w:rsidP="00FC7062">
      <w:pPr>
        <w:spacing w:after="0" w:line="276" w:lineRule="auto"/>
        <w:rPr>
          <w:rFonts w:asciiTheme="majorHAnsi" w:hAnsiTheme="majorHAnsi" w:cstheme="majorHAnsi"/>
          <w:szCs w:val="20"/>
        </w:rPr>
      </w:pPr>
    </w:p>
    <w:p w14:paraId="129FBB97" w14:textId="0EB19776" w:rsidR="003E1FC4" w:rsidRPr="00F25EBD" w:rsidRDefault="003E1FC4" w:rsidP="00FC7062">
      <w:pPr>
        <w:spacing w:before="120" w:line="276" w:lineRule="auto"/>
        <w:jc w:val="both"/>
        <w:rPr>
          <w:rFonts w:asciiTheme="majorHAnsi" w:hAnsiTheme="majorHAnsi" w:cstheme="majorHAnsi"/>
          <w:szCs w:val="20"/>
        </w:rPr>
      </w:pPr>
      <w:r w:rsidRPr="00F25EBD">
        <w:rPr>
          <w:rFonts w:asciiTheme="majorHAnsi" w:hAnsiTheme="majorHAnsi" w:cstheme="majorHAnsi"/>
          <w:szCs w:val="20"/>
        </w:rPr>
        <w:t>Diagnoza społeczno-gospodarcza Powiatów przedstawiona jest w układzie dynamicznym (kilkuletnim) i</w:t>
      </w:r>
      <w:r w:rsidR="000434EA">
        <w:rPr>
          <w:rFonts w:asciiTheme="majorHAnsi" w:hAnsiTheme="majorHAnsi" w:cstheme="majorHAnsi"/>
          <w:szCs w:val="20"/>
        </w:rPr>
        <w:t> </w:t>
      </w:r>
      <w:r w:rsidRPr="00F25EBD">
        <w:rPr>
          <w:rFonts w:asciiTheme="majorHAnsi" w:hAnsiTheme="majorHAnsi" w:cstheme="majorHAnsi"/>
          <w:szCs w:val="20"/>
        </w:rPr>
        <w:t>porównawczym (</w:t>
      </w:r>
      <w:proofErr w:type="spellStart"/>
      <w:r w:rsidRPr="00F25EBD">
        <w:rPr>
          <w:rFonts w:asciiTheme="majorHAnsi" w:hAnsiTheme="majorHAnsi" w:cstheme="majorHAnsi"/>
          <w:szCs w:val="20"/>
        </w:rPr>
        <w:t>benchmarkingowym</w:t>
      </w:r>
      <w:proofErr w:type="spellEnd"/>
      <w:r w:rsidRPr="00F25EBD">
        <w:rPr>
          <w:rFonts w:asciiTheme="majorHAnsi" w:hAnsiTheme="majorHAnsi" w:cstheme="majorHAnsi"/>
          <w:szCs w:val="20"/>
        </w:rPr>
        <w:t>), gdzie benchmarkami są powiat nidzicki, piski, szczycieński, działdowski oraz dane dla Polski i Południowych Mazur. Ponadto w procesie tworzenia części diagnostycznej wykorzystano opinie mieszkańców na temat jakości życia, kluczowych problemów i</w:t>
      </w:r>
      <w:r w:rsidR="000434EA">
        <w:rPr>
          <w:rFonts w:asciiTheme="majorHAnsi" w:hAnsiTheme="majorHAnsi" w:cstheme="majorHAnsi"/>
          <w:szCs w:val="20"/>
        </w:rPr>
        <w:t> </w:t>
      </w:r>
      <w:r w:rsidRPr="00F25EBD">
        <w:rPr>
          <w:rFonts w:asciiTheme="majorHAnsi" w:hAnsiTheme="majorHAnsi" w:cstheme="majorHAnsi"/>
          <w:szCs w:val="20"/>
        </w:rPr>
        <w:t>potrzeb rozwojowych powiatów tworzących OF Mazury Południowe (powiat szczycieński, nidzicki, piski, działdowski). Część diagnostyczna zakończona jest podsumowaniem strategicznym w formie analizy SWOT.</w:t>
      </w:r>
    </w:p>
    <w:p w14:paraId="14EC4C2D" w14:textId="272FC768" w:rsidR="003E1FC4" w:rsidRDefault="003E1FC4" w:rsidP="00FC7062">
      <w:pPr>
        <w:spacing w:line="276" w:lineRule="auto"/>
        <w:jc w:val="both"/>
        <w:rPr>
          <w:rFonts w:asciiTheme="majorHAnsi" w:hAnsiTheme="majorHAnsi" w:cstheme="majorHAnsi"/>
          <w:szCs w:val="20"/>
        </w:rPr>
      </w:pPr>
      <w:r w:rsidRPr="00F25EBD">
        <w:rPr>
          <w:rFonts w:asciiTheme="majorHAnsi" w:hAnsiTheme="majorHAnsi" w:cstheme="majorHAnsi"/>
          <w:szCs w:val="20"/>
        </w:rPr>
        <w:t>Głównym elementem przygotowań części planistycznej strategii były spotkania warsztatowe, w których udział wzięli przedsta</w:t>
      </w:r>
      <w:r w:rsidRPr="00F25EBD">
        <w:rPr>
          <w:rFonts w:asciiTheme="majorHAnsi" w:hAnsiTheme="majorHAnsi" w:cstheme="majorHAnsi"/>
          <w:color w:val="000000" w:themeColor="text1"/>
          <w:szCs w:val="20"/>
        </w:rPr>
        <w:t xml:space="preserve">wiciele </w:t>
      </w:r>
      <w:r w:rsidR="00D81B37" w:rsidRPr="00F25EBD">
        <w:rPr>
          <w:rFonts w:asciiTheme="majorHAnsi" w:hAnsiTheme="majorHAnsi" w:cstheme="majorHAnsi"/>
          <w:color w:val="000000" w:themeColor="text1"/>
          <w:szCs w:val="20"/>
        </w:rPr>
        <w:t>Powiatów i Gmin wchodzących w obszar Mazur Południowych.</w:t>
      </w:r>
      <w:r w:rsidRPr="00F25EBD">
        <w:rPr>
          <w:rFonts w:asciiTheme="majorHAnsi" w:hAnsiTheme="majorHAnsi" w:cstheme="majorHAnsi"/>
          <w:szCs w:val="20"/>
        </w:rPr>
        <w:t xml:space="preserve"> Zawarte w</w:t>
      </w:r>
      <w:r w:rsidR="000434EA">
        <w:rPr>
          <w:rFonts w:asciiTheme="majorHAnsi" w:hAnsiTheme="majorHAnsi" w:cstheme="majorHAnsi"/>
          <w:szCs w:val="20"/>
        </w:rPr>
        <w:t> </w:t>
      </w:r>
      <w:r w:rsidRPr="00F25EBD">
        <w:rPr>
          <w:rFonts w:asciiTheme="majorHAnsi" w:hAnsiTheme="majorHAnsi" w:cstheme="majorHAnsi"/>
          <w:szCs w:val="20"/>
        </w:rPr>
        <w:t>niniejszym opracowaniu zapisy wynikają z postulatów i ocen sformułowanych przez liderów społeczności lokalnej, a także stanowią wyraz aspiracji i dążeń samorządu jako wspólnoty mieszkańców. Finalnym elementem części planistycznej jest opracowany system monitorowania i ewaluacji Strategii z</w:t>
      </w:r>
      <w:r w:rsidR="000434EA">
        <w:rPr>
          <w:rFonts w:asciiTheme="majorHAnsi" w:hAnsiTheme="majorHAnsi" w:cstheme="majorHAnsi"/>
          <w:szCs w:val="20"/>
        </w:rPr>
        <w:t> </w:t>
      </w:r>
      <w:r w:rsidRPr="00F25EBD">
        <w:rPr>
          <w:rFonts w:asciiTheme="majorHAnsi" w:hAnsiTheme="majorHAnsi" w:cstheme="majorHAnsi"/>
          <w:szCs w:val="20"/>
        </w:rPr>
        <w:t>określeniem listy wskaźników oraz metodologią określania ich wartości bazowych i docelowych.</w:t>
      </w:r>
    </w:p>
    <w:p w14:paraId="14D3AC60" w14:textId="77777777" w:rsidR="00F83118" w:rsidRPr="00F25EBD" w:rsidRDefault="00F83118" w:rsidP="00FC7062">
      <w:pPr>
        <w:spacing w:line="276" w:lineRule="auto"/>
        <w:jc w:val="both"/>
        <w:rPr>
          <w:rFonts w:asciiTheme="majorHAnsi" w:hAnsiTheme="majorHAnsi" w:cstheme="majorHAnsi"/>
          <w:szCs w:val="20"/>
        </w:rPr>
      </w:pPr>
    </w:p>
    <w:p w14:paraId="6AEAFAB5" w14:textId="3D97182D" w:rsidR="003E1FC4" w:rsidRPr="00F25EBD" w:rsidRDefault="00374AD6" w:rsidP="007A5888">
      <w:pPr>
        <w:pStyle w:val="Nagwek2"/>
      </w:pPr>
      <w:bookmarkStart w:id="4" w:name="_Toc55909915"/>
      <w:bookmarkStart w:id="5" w:name="_Toc77070596"/>
      <w:r>
        <w:t xml:space="preserve">1.2 </w:t>
      </w:r>
      <w:r w:rsidR="003E1FC4" w:rsidRPr="00F25EBD">
        <w:t>Spójność planistyczna dokumentu</w:t>
      </w:r>
      <w:bookmarkEnd w:id="4"/>
      <w:bookmarkEnd w:id="5"/>
      <w:r w:rsidR="003E1FC4" w:rsidRPr="00F25EBD">
        <w:t xml:space="preserve"> </w:t>
      </w:r>
    </w:p>
    <w:p w14:paraId="1EFF9B64" w14:textId="77777777" w:rsidR="00094ACC" w:rsidRDefault="00094ACC" w:rsidP="00094ACC">
      <w:pPr>
        <w:spacing w:line="276" w:lineRule="auto"/>
        <w:jc w:val="both"/>
        <w:rPr>
          <w:rFonts w:asciiTheme="majorHAnsi" w:hAnsiTheme="majorHAnsi" w:cstheme="majorHAnsi"/>
          <w:szCs w:val="20"/>
        </w:rPr>
      </w:pPr>
      <w:r>
        <w:rPr>
          <w:rFonts w:asciiTheme="majorHAnsi" w:hAnsiTheme="majorHAnsi" w:cstheme="majorHAnsi"/>
          <w:szCs w:val="20"/>
        </w:rPr>
        <w:t>Strategia Rozwoju Obszaru Funkcjonalnego Południowe Mazury 2030 /OF Południowe Mazury 2030/ została poddana analizie oraz kompleksowej weryfikacji w zestawieniu z kluczowymi dokumentami strategicznymi i operacyjnymi o wymiarze ogólnoeuropejskim, krajowym, regionalnym oraz lokalnym. Przedmiotowe opracowanie jest w pełni zgodne z założeniami, priorytetami oraz celami artykułowanymi w dokumentach przedstawionych w dalszej części niniejszego rozdziału wraz z powiązaniem celów rozwojowych Strategii z konkretnymi zapisami widniejącymi w analizowanych dokumentach.</w:t>
      </w:r>
    </w:p>
    <w:p w14:paraId="4EF903D3" w14:textId="77777777" w:rsidR="00094ACC" w:rsidRPr="00DB5060" w:rsidRDefault="00094ACC" w:rsidP="00DB5060"/>
    <w:p w14:paraId="6A270227" w14:textId="0831A4DC" w:rsidR="002859EE" w:rsidRPr="00B7658B" w:rsidRDefault="002859EE" w:rsidP="00B7658B">
      <w:pPr>
        <w:pStyle w:val="wyr"/>
        <w:spacing w:line="276" w:lineRule="auto"/>
        <w:rPr>
          <w:rFonts w:asciiTheme="majorHAnsi" w:hAnsiTheme="majorHAnsi" w:cstheme="majorHAnsi"/>
          <w:color w:val="FF0000"/>
        </w:rPr>
      </w:pPr>
      <w:r w:rsidRPr="00B7658B">
        <w:rPr>
          <w:rFonts w:asciiTheme="majorHAnsi" w:hAnsiTheme="majorHAnsi" w:cstheme="majorHAnsi"/>
          <w:color w:val="FF0000"/>
        </w:rPr>
        <w:t>Europejski Zielony Ład</w:t>
      </w:r>
    </w:p>
    <w:p w14:paraId="738E3428" w14:textId="4757120A" w:rsidR="002859EE" w:rsidRPr="00B7658B" w:rsidRDefault="002859EE" w:rsidP="00B7658B">
      <w:pPr>
        <w:pStyle w:val="wyr"/>
        <w:spacing w:before="0" w:line="276" w:lineRule="auto"/>
        <w:rPr>
          <w:rFonts w:asciiTheme="majorHAnsi" w:eastAsiaTheme="minorHAnsi" w:hAnsiTheme="majorHAnsi" w:cstheme="majorHAnsi"/>
          <w:b w:val="0"/>
          <w:color w:val="FF0000"/>
          <w:szCs w:val="20"/>
        </w:rPr>
      </w:pPr>
      <w:r w:rsidRPr="00B7658B">
        <w:rPr>
          <w:rFonts w:asciiTheme="majorHAnsi" w:eastAsiaTheme="minorHAnsi" w:hAnsiTheme="majorHAnsi" w:cstheme="majorHAnsi"/>
          <w:b w:val="0"/>
          <w:color w:val="FF0000"/>
          <w:szCs w:val="20"/>
        </w:rPr>
        <w:t xml:space="preserve">Kluczowe założenia zawarte w Strategii są zgodne z </w:t>
      </w:r>
      <w:r w:rsidR="00D64A8E" w:rsidRPr="00B7658B">
        <w:rPr>
          <w:rFonts w:asciiTheme="majorHAnsi" w:eastAsiaTheme="minorHAnsi" w:hAnsiTheme="majorHAnsi" w:cstheme="majorHAnsi"/>
          <w:b w:val="0"/>
          <w:color w:val="FF0000"/>
          <w:szCs w:val="20"/>
        </w:rPr>
        <w:t xml:space="preserve">celami </w:t>
      </w:r>
      <w:r w:rsidRPr="00B7658B">
        <w:rPr>
          <w:rFonts w:asciiTheme="majorHAnsi" w:eastAsiaTheme="minorHAnsi" w:hAnsiTheme="majorHAnsi" w:cstheme="majorHAnsi"/>
          <w:b w:val="0"/>
          <w:color w:val="FF0000"/>
          <w:szCs w:val="20"/>
        </w:rPr>
        <w:t xml:space="preserve">Europejskiego Zielnego Ładu. </w:t>
      </w:r>
      <w:r w:rsidR="00D64A8E" w:rsidRPr="00B7658B">
        <w:rPr>
          <w:rFonts w:asciiTheme="majorHAnsi" w:eastAsiaTheme="minorHAnsi" w:hAnsiTheme="majorHAnsi" w:cstheme="majorHAnsi"/>
          <w:b w:val="0"/>
          <w:color w:val="FF0000"/>
          <w:szCs w:val="20"/>
        </w:rPr>
        <w:t xml:space="preserve">Celem głównym jest osiągnięcie przez </w:t>
      </w:r>
      <w:r w:rsidR="00D64A8E" w:rsidRPr="00B7658B">
        <w:rPr>
          <w:rFonts w:asciiTheme="majorHAnsi" w:eastAsiaTheme="minorHAnsi" w:hAnsiTheme="majorHAnsi" w:cstheme="majorHAnsi"/>
          <w:b w:val="0"/>
          <w:caps/>
          <w:color w:val="FF0000"/>
          <w:szCs w:val="20"/>
        </w:rPr>
        <w:t>ue</w:t>
      </w:r>
      <w:r w:rsidR="00D64A8E" w:rsidRPr="00B7658B">
        <w:rPr>
          <w:rFonts w:asciiTheme="majorHAnsi" w:eastAsiaTheme="minorHAnsi" w:hAnsiTheme="majorHAnsi" w:cstheme="majorHAnsi"/>
          <w:b w:val="0"/>
          <w:color w:val="FF0000"/>
          <w:szCs w:val="20"/>
        </w:rPr>
        <w:t xml:space="preserve"> neutralności klimatycznej do 2050 r. Pierwszym ważnym krokiem na drodze do osiągnięcia tego ambitnego celu będzie</w:t>
      </w:r>
      <w:r w:rsidR="00901426" w:rsidRPr="00B7658B">
        <w:rPr>
          <w:rFonts w:asciiTheme="majorHAnsi" w:eastAsiaTheme="minorHAnsi" w:hAnsiTheme="majorHAnsi" w:cstheme="majorHAnsi"/>
          <w:b w:val="0"/>
          <w:color w:val="FF0000"/>
          <w:szCs w:val="20"/>
        </w:rPr>
        <w:t xml:space="preserve"> </w:t>
      </w:r>
      <w:r w:rsidR="00D64A8E" w:rsidRPr="00B7658B">
        <w:rPr>
          <w:rFonts w:asciiTheme="majorHAnsi" w:eastAsiaTheme="minorHAnsi" w:hAnsiTheme="majorHAnsi" w:cstheme="majorHAnsi"/>
          <w:b w:val="0"/>
          <w:color w:val="FF0000"/>
          <w:szCs w:val="20"/>
        </w:rPr>
        <w:t>zmniejszenie emi</w:t>
      </w:r>
      <w:r w:rsidR="00901426" w:rsidRPr="00B7658B">
        <w:rPr>
          <w:rFonts w:asciiTheme="majorHAnsi" w:eastAsiaTheme="minorHAnsi" w:hAnsiTheme="majorHAnsi" w:cstheme="majorHAnsi"/>
          <w:b w:val="0"/>
          <w:color w:val="FF0000"/>
          <w:szCs w:val="20"/>
        </w:rPr>
        <w:t>sji o 55 proc. do 2030 r</w:t>
      </w:r>
      <w:r w:rsidR="00DB5060" w:rsidRPr="00B7658B">
        <w:rPr>
          <w:rFonts w:asciiTheme="majorHAnsi" w:eastAsiaTheme="minorHAnsi" w:hAnsiTheme="majorHAnsi" w:cstheme="majorHAnsi"/>
          <w:b w:val="0"/>
          <w:color w:val="FF0000"/>
          <w:szCs w:val="20"/>
        </w:rPr>
        <w:t xml:space="preserve">. </w:t>
      </w:r>
      <w:r w:rsidR="00641505">
        <w:rPr>
          <w:rFonts w:asciiTheme="majorHAnsi" w:eastAsiaTheme="minorHAnsi" w:hAnsiTheme="majorHAnsi" w:cstheme="majorHAnsi"/>
          <w:b w:val="0"/>
          <w:color w:val="FF0000"/>
          <w:szCs w:val="20"/>
        </w:rPr>
        <w:t xml:space="preserve">W dokumencie zdefiniowane następujące działania: </w:t>
      </w:r>
    </w:p>
    <w:p w14:paraId="38FBDC8D" w14:textId="007D3D80" w:rsidR="00194043" w:rsidRPr="00B7658B" w:rsidRDefault="00641505" w:rsidP="00957FD7">
      <w:pPr>
        <w:pStyle w:val="wyr"/>
        <w:numPr>
          <w:ilvl w:val="0"/>
          <w:numId w:val="35"/>
        </w:numPr>
        <w:spacing w:before="0" w:line="276" w:lineRule="auto"/>
        <w:rPr>
          <w:rFonts w:asciiTheme="majorHAnsi" w:eastAsiaTheme="minorHAnsi" w:hAnsiTheme="majorHAnsi" w:cstheme="majorHAnsi"/>
          <w:b w:val="0"/>
          <w:color w:val="FF0000"/>
          <w:szCs w:val="20"/>
        </w:rPr>
      </w:pPr>
      <w:r w:rsidRPr="00B7658B">
        <w:rPr>
          <w:rFonts w:asciiTheme="majorHAnsi" w:eastAsiaTheme="minorHAnsi" w:hAnsiTheme="majorHAnsi" w:cstheme="majorHAnsi"/>
          <w:b w:val="0"/>
          <w:color w:val="FF0000"/>
          <w:szCs w:val="20"/>
        </w:rPr>
        <w:t>Zapewnienie</w:t>
      </w:r>
      <w:r w:rsidR="00194043" w:rsidRPr="00B7658B">
        <w:rPr>
          <w:rFonts w:asciiTheme="majorHAnsi" w:eastAsiaTheme="minorHAnsi" w:hAnsiTheme="majorHAnsi" w:cstheme="majorHAnsi"/>
          <w:b w:val="0"/>
          <w:color w:val="FF0000"/>
          <w:szCs w:val="20"/>
        </w:rPr>
        <w:t xml:space="preserve"> </w:t>
      </w:r>
      <w:r w:rsidRPr="00B7658B">
        <w:rPr>
          <w:rFonts w:asciiTheme="majorHAnsi" w:eastAsiaTheme="minorHAnsi" w:hAnsiTheme="majorHAnsi" w:cstheme="majorHAnsi"/>
          <w:b w:val="0"/>
          <w:color w:val="FF0000"/>
          <w:szCs w:val="20"/>
        </w:rPr>
        <w:t>zrównoważonego</w:t>
      </w:r>
      <w:r w:rsidR="00194043" w:rsidRPr="00B7658B">
        <w:rPr>
          <w:rFonts w:asciiTheme="majorHAnsi" w:eastAsiaTheme="minorHAnsi" w:hAnsiTheme="majorHAnsi" w:cstheme="majorHAnsi"/>
          <w:b w:val="0"/>
          <w:color w:val="FF0000"/>
          <w:szCs w:val="20"/>
        </w:rPr>
        <w:t xml:space="preserve"> </w:t>
      </w:r>
      <w:r w:rsidRPr="00B7658B">
        <w:rPr>
          <w:rFonts w:asciiTheme="majorHAnsi" w:eastAsiaTheme="minorHAnsi" w:hAnsiTheme="majorHAnsi" w:cstheme="majorHAnsi"/>
          <w:b w:val="0"/>
          <w:color w:val="FF0000"/>
          <w:szCs w:val="20"/>
        </w:rPr>
        <w:t>transportu</w:t>
      </w:r>
      <w:r w:rsidR="00194043" w:rsidRPr="00B7658B">
        <w:rPr>
          <w:rFonts w:asciiTheme="majorHAnsi" w:eastAsiaTheme="minorHAnsi" w:hAnsiTheme="majorHAnsi" w:cstheme="majorHAnsi"/>
          <w:b w:val="0"/>
          <w:color w:val="FF0000"/>
          <w:szCs w:val="20"/>
        </w:rPr>
        <w:t xml:space="preserve"> </w:t>
      </w:r>
      <w:r w:rsidRPr="00B7658B">
        <w:rPr>
          <w:rFonts w:asciiTheme="majorHAnsi" w:eastAsiaTheme="minorHAnsi" w:hAnsiTheme="majorHAnsi" w:cstheme="majorHAnsi"/>
          <w:b w:val="0"/>
          <w:color w:val="FF0000"/>
          <w:szCs w:val="20"/>
        </w:rPr>
        <w:t>dla wszystkich</w:t>
      </w:r>
      <w:r w:rsidR="00194043" w:rsidRPr="00B7658B">
        <w:rPr>
          <w:rFonts w:asciiTheme="majorHAnsi" w:eastAsiaTheme="minorHAnsi" w:hAnsiTheme="majorHAnsi" w:cstheme="majorHAnsi"/>
          <w:b w:val="0"/>
          <w:color w:val="FF0000"/>
          <w:szCs w:val="20"/>
        </w:rPr>
        <w:t xml:space="preserve"> </w:t>
      </w:r>
    </w:p>
    <w:p w14:paraId="43D4F858" w14:textId="4879BD1B" w:rsidR="00194043" w:rsidRPr="00B7658B" w:rsidRDefault="00641505" w:rsidP="00957FD7">
      <w:pPr>
        <w:pStyle w:val="wyr"/>
        <w:numPr>
          <w:ilvl w:val="0"/>
          <w:numId w:val="35"/>
        </w:numPr>
        <w:spacing w:before="0" w:line="276" w:lineRule="auto"/>
        <w:rPr>
          <w:rFonts w:asciiTheme="majorHAnsi" w:eastAsiaTheme="minorHAnsi" w:hAnsiTheme="majorHAnsi" w:cstheme="majorHAnsi"/>
          <w:b w:val="0"/>
          <w:color w:val="FF0000"/>
          <w:szCs w:val="20"/>
        </w:rPr>
      </w:pPr>
      <w:r w:rsidRPr="00B7658B">
        <w:rPr>
          <w:rFonts w:asciiTheme="majorHAnsi" w:eastAsiaTheme="minorHAnsi" w:hAnsiTheme="majorHAnsi" w:cstheme="majorHAnsi"/>
          <w:b w:val="0"/>
          <w:color w:val="FF0000"/>
          <w:szCs w:val="20"/>
        </w:rPr>
        <w:t>Przewodzenie</w:t>
      </w:r>
      <w:r w:rsidR="00194043" w:rsidRPr="00B7658B">
        <w:rPr>
          <w:rFonts w:asciiTheme="majorHAnsi" w:eastAsiaTheme="minorHAnsi" w:hAnsiTheme="majorHAnsi" w:cstheme="majorHAnsi"/>
          <w:b w:val="0"/>
          <w:color w:val="FF0000"/>
          <w:szCs w:val="20"/>
        </w:rPr>
        <w:t xml:space="preserve"> </w:t>
      </w:r>
      <w:r w:rsidRPr="00B7658B">
        <w:rPr>
          <w:rFonts w:asciiTheme="majorHAnsi" w:eastAsiaTheme="minorHAnsi" w:hAnsiTheme="majorHAnsi" w:cstheme="majorHAnsi"/>
          <w:b w:val="0"/>
          <w:color w:val="FF0000"/>
          <w:szCs w:val="20"/>
        </w:rPr>
        <w:t>trzeciej</w:t>
      </w:r>
      <w:r w:rsidR="00194043" w:rsidRPr="00B7658B">
        <w:rPr>
          <w:rFonts w:asciiTheme="majorHAnsi" w:eastAsiaTheme="minorHAnsi" w:hAnsiTheme="majorHAnsi" w:cstheme="majorHAnsi"/>
          <w:b w:val="0"/>
          <w:color w:val="FF0000"/>
          <w:szCs w:val="20"/>
        </w:rPr>
        <w:t xml:space="preserve"> </w:t>
      </w:r>
      <w:r w:rsidRPr="00B7658B">
        <w:rPr>
          <w:rFonts w:asciiTheme="majorHAnsi" w:eastAsiaTheme="minorHAnsi" w:hAnsiTheme="majorHAnsi" w:cstheme="majorHAnsi"/>
          <w:b w:val="0"/>
          <w:color w:val="FF0000"/>
          <w:szCs w:val="20"/>
        </w:rPr>
        <w:t>rewolucji</w:t>
      </w:r>
      <w:r w:rsidR="00194043" w:rsidRPr="00B7658B">
        <w:rPr>
          <w:rFonts w:asciiTheme="majorHAnsi" w:eastAsiaTheme="minorHAnsi" w:hAnsiTheme="majorHAnsi" w:cstheme="majorHAnsi"/>
          <w:b w:val="0"/>
          <w:color w:val="FF0000"/>
          <w:szCs w:val="20"/>
        </w:rPr>
        <w:t xml:space="preserve"> </w:t>
      </w:r>
      <w:r w:rsidRPr="00B7658B">
        <w:rPr>
          <w:rFonts w:asciiTheme="majorHAnsi" w:eastAsiaTheme="minorHAnsi" w:hAnsiTheme="majorHAnsi" w:cstheme="majorHAnsi"/>
          <w:b w:val="0"/>
          <w:color w:val="FF0000"/>
          <w:szCs w:val="20"/>
        </w:rPr>
        <w:t>przemysłowej</w:t>
      </w:r>
      <w:r w:rsidR="00194043" w:rsidRPr="00B7658B">
        <w:rPr>
          <w:rFonts w:asciiTheme="majorHAnsi" w:eastAsiaTheme="minorHAnsi" w:hAnsiTheme="majorHAnsi" w:cstheme="majorHAnsi"/>
          <w:b w:val="0"/>
          <w:color w:val="FF0000"/>
          <w:szCs w:val="20"/>
        </w:rPr>
        <w:t xml:space="preserve"> </w:t>
      </w:r>
    </w:p>
    <w:p w14:paraId="6D244314" w14:textId="37E77B3F" w:rsidR="00194043" w:rsidRPr="00B7658B" w:rsidRDefault="00641505" w:rsidP="00957FD7">
      <w:pPr>
        <w:pStyle w:val="wyr"/>
        <w:numPr>
          <w:ilvl w:val="0"/>
          <w:numId w:val="35"/>
        </w:numPr>
        <w:spacing w:before="0" w:line="276" w:lineRule="auto"/>
        <w:rPr>
          <w:rFonts w:asciiTheme="majorHAnsi" w:eastAsiaTheme="minorHAnsi" w:hAnsiTheme="majorHAnsi" w:cstheme="majorHAnsi"/>
          <w:b w:val="0"/>
          <w:color w:val="FF0000"/>
          <w:szCs w:val="20"/>
        </w:rPr>
      </w:pPr>
      <w:r w:rsidRPr="00B7658B">
        <w:rPr>
          <w:rFonts w:asciiTheme="majorHAnsi" w:eastAsiaTheme="minorHAnsi" w:hAnsiTheme="majorHAnsi" w:cstheme="majorHAnsi"/>
          <w:b w:val="0"/>
          <w:color w:val="FF0000"/>
          <w:szCs w:val="20"/>
        </w:rPr>
        <w:t>Ekologizacja</w:t>
      </w:r>
      <w:r w:rsidR="00194043" w:rsidRPr="00B7658B">
        <w:rPr>
          <w:rFonts w:asciiTheme="majorHAnsi" w:eastAsiaTheme="minorHAnsi" w:hAnsiTheme="majorHAnsi" w:cstheme="majorHAnsi"/>
          <w:b w:val="0"/>
          <w:color w:val="FF0000"/>
          <w:szCs w:val="20"/>
        </w:rPr>
        <w:t xml:space="preserve"> </w:t>
      </w:r>
      <w:r w:rsidRPr="00B7658B">
        <w:rPr>
          <w:rFonts w:asciiTheme="majorHAnsi" w:eastAsiaTheme="minorHAnsi" w:hAnsiTheme="majorHAnsi" w:cstheme="majorHAnsi"/>
          <w:b w:val="0"/>
          <w:color w:val="FF0000"/>
          <w:szCs w:val="20"/>
        </w:rPr>
        <w:t>naszego systemu</w:t>
      </w:r>
      <w:r w:rsidR="00194043" w:rsidRPr="00B7658B">
        <w:rPr>
          <w:rFonts w:asciiTheme="majorHAnsi" w:eastAsiaTheme="minorHAnsi" w:hAnsiTheme="majorHAnsi" w:cstheme="majorHAnsi"/>
          <w:b w:val="0"/>
          <w:color w:val="FF0000"/>
          <w:szCs w:val="20"/>
        </w:rPr>
        <w:t xml:space="preserve"> </w:t>
      </w:r>
      <w:r w:rsidRPr="00B7658B">
        <w:rPr>
          <w:rFonts w:asciiTheme="majorHAnsi" w:eastAsiaTheme="minorHAnsi" w:hAnsiTheme="majorHAnsi" w:cstheme="majorHAnsi"/>
          <w:b w:val="0"/>
          <w:color w:val="FF0000"/>
          <w:szCs w:val="20"/>
        </w:rPr>
        <w:t>energetycznego</w:t>
      </w:r>
      <w:r w:rsidR="00194043" w:rsidRPr="00B7658B">
        <w:rPr>
          <w:rFonts w:asciiTheme="majorHAnsi" w:eastAsiaTheme="minorHAnsi" w:hAnsiTheme="majorHAnsi" w:cstheme="majorHAnsi"/>
          <w:b w:val="0"/>
          <w:color w:val="FF0000"/>
          <w:szCs w:val="20"/>
        </w:rPr>
        <w:t xml:space="preserve"> </w:t>
      </w:r>
    </w:p>
    <w:p w14:paraId="0650B4F5" w14:textId="2555BE7A" w:rsidR="00194043" w:rsidRPr="00641505" w:rsidRDefault="00641505" w:rsidP="00957FD7">
      <w:pPr>
        <w:pStyle w:val="wyr"/>
        <w:numPr>
          <w:ilvl w:val="0"/>
          <w:numId w:val="35"/>
        </w:numPr>
        <w:spacing w:before="0" w:line="276" w:lineRule="auto"/>
        <w:rPr>
          <w:rFonts w:asciiTheme="majorHAnsi" w:eastAsiaTheme="minorHAnsi" w:hAnsiTheme="majorHAnsi" w:cstheme="majorHAnsi"/>
          <w:b w:val="0"/>
          <w:color w:val="FF0000"/>
          <w:szCs w:val="20"/>
        </w:rPr>
      </w:pPr>
      <w:r w:rsidRPr="00641505">
        <w:rPr>
          <w:rFonts w:asciiTheme="majorHAnsi" w:eastAsiaTheme="minorHAnsi" w:hAnsiTheme="majorHAnsi" w:cstheme="majorHAnsi"/>
          <w:b w:val="0"/>
          <w:color w:val="FF0000"/>
          <w:szCs w:val="20"/>
        </w:rPr>
        <w:t>Renowacja</w:t>
      </w:r>
      <w:r w:rsidR="00194043" w:rsidRPr="00641505">
        <w:rPr>
          <w:rFonts w:asciiTheme="majorHAnsi" w:eastAsiaTheme="minorHAnsi" w:hAnsiTheme="majorHAnsi" w:cstheme="majorHAnsi"/>
          <w:b w:val="0"/>
          <w:color w:val="FF0000"/>
          <w:szCs w:val="20"/>
        </w:rPr>
        <w:t xml:space="preserve"> </w:t>
      </w:r>
      <w:r w:rsidRPr="00641505">
        <w:rPr>
          <w:rFonts w:asciiTheme="majorHAnsi" w:eastAsiaTheme="minorHAnsi" w:hAnsiTheme="majorHAnsi" w:cstheme="majorHAnsi"/>
          <w:b w:val="0"/>
          <w:color w:val="FF0000"/>
          <w:szCs w:val="20"/>
        </w:rPr>
        <w:t>budynków</w:t>
      </w:r>
      <w:r w:rsidR="00194043" w:rsidRPr="00641505">
        <w:rPr>
          <w:rFonts w:asciiTheme="majorHAnsi" w:eastAsiaTheme="minorHAnsi" w:hAnsiTheme="majorHAnsi" w:cstheme="majorHAnsi"/>
          <w:b w:val="0"/>
          <w:color w:val="FF0000"/>
          <w:szCs w:val="20"/>
        </w:rPr>
        <w:t xml:space="preserve"> </w:t>
      </w:r>
      <w:r w:rsidRPr="00641505">
        <w:rPr>
          <w:rFonts w:asciiTheme="majorHAnsi" w:eastAsiaTheme="minorHAnsi" w:hAnsiTheme="majorHAnsi" w:cstheme="majorHAnsi"/>
          <w:b w:val="0"/>
          <w:color w:val="FF0000"/>
          <w:szCs w:val="20"/>
        </w:rPr>
        <w:t>z myślą</w:t>
      </w:r>
      <w:r w:rsidR="00194043" w:rsidRPr="00641505">
        <w:rPr>
          <w:rFonts w:asciiTheme="majorHAnsi" w:eastAsiaTheme="minorHAnsi" w:hAnsiTheme="majorHAnsi" w:cstheme="majorHAnsi"/>
          <w:b w:val="0"/>
          <w:color w:val="FF0000"/>
          <w:szCs w:val="20"/>
        </w:rPr>
        <w:t xml:space="preserve"> </w:t>
      </w:r>
      <w:r w:rsidRPr="00641505">
        <w:rPr>
          <w:rFonts w:asciiTheme="majorHAnsi" w:eastAsiaTheme="minorHAnsi" w:hAnsiTheme="majorHAnsi" w:cstheme="majorHAnsi"/>
          <w:b w:val="0"/>
          <w:color w:val="FF0000"/>
          <w:szCs w:val="20"/>
        </w:rPr>
        <w:t>o bardziej</w:t>
      </w:r>
      <w:r w:rsidR="00194043" w:rsidRPr="00641505">
        <w:rPr>
          <w:rFonts w:asciiTheme="majorHAnsi" w:eastAsiaTheme="minorHAnsi" w:hAnsiTheme="majorHAnsi" w:cstheme="majorHAnsi"/>
          <w:b w:val="0"/>
          <w:color w:val="FF0000"/>
          <w:szCs w:val="20"/>
        </w:rPr>
        <w:t xml:space="preserve"> </w:t>
      </w:r>
      <w:r w:rsidRPr="00641505">
        <w:rPr>
          <w:rFonts w:asciiTheme="majorHAnsi" w:eastAsiaTheme="minorHAnsi" w:hAnsiTheme="majorHAnsi" w:cstheme="majorHAnsi"/>
          <w:b w:val="0"/>
          <w:color w:val="FF0000"/>
          <w:szCs w:val="20"/>
        </w:rPr>
        <w:t>ekologicznym</w:t>
      </w:r>
      <w:r w:rsidR="00194043" w:rsidRPr="00641505">
        <w:rPr>
          <w:rFonts w:asciiTheme="majorHAnsi" w:eastAsiaTheme="minorHAnsi" w:hAnsiTheme="majorHAnsi" w:cstheme="majorHAnsi"/>
          <w:b w:val="0"/>
          <w:color w:val="FF0000"/>
          <w:szCs w:val="20"/>
        </w:rPr>
        <w:t xml:space="preserve"> </w:t>
      </w:r>
      <w:r w:rsidRPr="00641505">
        <w:rPr>
          <w:rFonts w:asciiTheme="majorHAnsi" w:eastAsiaTheme="minorHAnsi" w:hAnsiTheme="majorHAnsi" w:cstheme="majorHAnsi"/>
          <w:b w:val="0"/>
          <w:color w:val="FF0000"/>
          <w:szCs w:val="20"/>
        </w:rPr>
        <w:t>stylu życia</w:t>
      </w:r>
      <w:r w:rsidR="00194043" w:rsidRPr="00641505">
        <w:rPr>
          <w:rFonts w:asciiTheme="majorHAnsi" w:eastAsiaTheme="minorHAnsi" w:hAnsiTheme="majorHAnsi" w:cstheme="majorHAnsi"/>
          <w:b w:val="0"/>
          <w:color w:val="FF0000"/>
          <w:szCs w:val="20"/>
        </w:rPr>
        <w:t xml:space="preserve"> </w:t>
      </w:r>
    </w:p>
    <w:p w14:paraId="45C81180" w14:textId="5C370FA2" w:rsidR="00B7658B" w:rsidRPr="00641505" w:rsidRDefault="00641505" w:rsidP="00957FD7">
      <w:pPr>
        <w:pStyle w:val="wyr"/>
        <w:numPr>
          <w:ilvl w:val="0"/>
          <w:numId w:val="35"/>
        </w:numPr>
        <w:spacing w:before="0" w:line="276" w:lineRule="auto"/>
        <w:rPr>
          <w:rFonts w:asciiTheme="majorHAnsi" w:eastAsiaTheme="minorHAnsi" w:hAnsiTheme="majorHAnsi" w:cstheme="majorHAnsi"/>
          <w:b w:val="0"/>
          <w:color w:val="FF0000"/>
          <w:szCs w:val="20"/>
        </w:rPr>
      </w:pPr>
      <w:r w:rsidRPr="00641505">
        <w:rPr>
          <w:rFonts w:asciiTheme="majorHAnsi" w:eastAsiaTheme="minorHAnsi" w:hAnsiTheme="majorHAnsi" w:cstheme="majorHAnsi"/>
          <w:b w:val="0"/>
          <w:color w:val="FF0000"/>
          <w:szCs w:val="20"/>
        </w:rPr>
        <w:t>Działanie</w:t>
      </w:r>
      <w:r w:rsidR="00B7658B" w:rsidRPr="00641505">
        <w:rPr>
          <w:rFonts w:asciiTheme="majorHAnsi" w:eastAsiaTheme="minorHAnsi" w:hAnsiTheme="majorHAnsi" w:cstheme="majorHAnsi"/>
          <w:b w:val="0"/>
          <w:color w:val="FF0000"/>
          <w:szCs w:val="20"/>
        </w:rPr>
        <w:t xml:space="preserve"> </w:t>
      </w:r>
      <w:r w:rsidRPr="00641505">
        <w:rPr>
          <w:rFonts w:asciiTheme="majorHAnsi" w:eastAsiaTheme="minorHAnsi" w:hAnsiTheme="majorHAnsi" w:cstheme="majorHAnsi"/>
          <w:b w:val="0"/>
          <w:color w:val="FF0000"/>
          <w:szCs w:val="20"/>
        </w:rPr>
        <w:t>w zgodzie</w:t>
      </w:r>
      <w:r w:rsidR="00B7658B" w:rsidRPr="00641505">
        <w:rPr>
          <w:rFonts w:asciiTheme="majorHAnsi" w:eastAsiaTheme="minorHAnsi" w:hAnsiTheme="majorHAnsi" w:cstheme="majorHAnsi"/>
          <w:b w:val="0"/>
          <w:color w:val="FF0000"/>
          <w:szCs w:val="20"/>
        </w:rPr>
        <w:t xml:space="preserve"> </w:t>
      </w:r>
      <w:r w:rsidRPr="00641505">
        <w:rPr>
          <w:rFonts w:asciiTheme="majorHAnsi" w:eastAsiaTheme="minorHAnsi" w:hAnsiTheme="majorHAnsi" w:cstheme="majorHAnsi"/>
          <w:b w:val="0"/>
          <w:color w:val="FF0000"/>
          <w:szCs w:val="20"/>
        </w:rPr>
        <w:t>z przyrodą</w:t>
      </w:r>
      <w:r w:rsidR="00B7658B" w:rsidRPr="00641505">
        <w:rPr>
          <w:rFonts w:asciiTheme="majorHAnsi" w:eastAsiaTheme="minorHAnsi" w:hAnsiTheme="majorHAnsi" w:cstheme="majorHAnsi"/>
          <w:b w:val="0"/>
          <w:color w:val="FF0000"/>
          <w:szCs w:val="20"/>
        </w:rPr>
        <w:t xml:space="preserve"> </w:t>
      </w:r>
      <w:r w:rsidRPr="00641505">
        <w:rPr>
          <w:rFonts w:asciiTheme="majorHAnsi" w:eastAsiaTheme="minorHAnsi" w:hAnsiTheme="majorHAnsi" w:cstheme="majorHAnsi"/>
          <w:b w:val="0"/>
          <w:color w:val="FF0000"/>
          <w:szCs w:val="20"/>
        </w:rPr>
        <w:t>w celu ochrony</w:t>
      </w:r>
      <w:r w:rsidR="00B7658B" w:rsidRPr="00641505">
        <w:rPr>
          <w:rFonts w:asciiTheme="majorHAnsi" w:eastAsiaTheme="minorHAnsi" w:hAnsiTheme="majorHAnsi" w:cstheme="majorHAnsi"/>
          <w:b w:val="0"/>
          <w:color w:val="FF0000"/>
          <w:szCs w:val="20"/>
        </w:rPr>
        <w:t xml:space="preserve"> </w:t>
      </w:r>
      <w:r w:rsidRPr="00641505">
        <w:rPr>
          <w:rFonts w:asciiTheme="majorHAnsi" w:eastAsiaTheme="minorHAnsi" w:hAnsiTheme="majorHAnsi" w:cstheme="majorHAnsi"/>
          <w:b w:val="0"/>
          <w:color w:val="FF0000"/>
          <w:szCs w:val="20"/>
        </w:rPr>
        <w:t>naszej planety</w:t>
      </w:r>
      <w:r w:rsidR="00B7658B" w:rsidRPr="00641505">
        <w:rPr>
          <w:rFonts w:asciiTheme="majorHAnsi" w:eastAsiaTheme="minorHAnsi" w:hAnsiTheme="majorHAnsi" w:cstheme="majorHAnsi"/>
          <w:b w:val="0"/>
          <w:color w:val="FF0000"/>
          <w:szCs w:val="20"/>
        </w:rPr>
        <w:t xml:space="preserve"> </w:t>
      </w:r>
      <w:r w:rsidRPr="00641505">
        <w:rPr>
          <w:rFonts w:asciiTheme="majorHAnsi" w:eastAsiaTheme="minorHAnsi" w:hAnsiTheme="majorHAnsi" w:cstheme="majorHAnsi"/>
          <w:b w:val="0"/>
          <w:color w:val="FF0000"/>
          <w:szCs w:val="20"/>
        </w:rPr>
        <w:t>i zdrowia</w:t>
      </w:r>
      <w:r w:rsidR="00B7658B" w:rsidRPr="00641505">
        <w:rPr>
          <w:rFonts w:asciiTheme="majorHAnsi" w:eastAsiaTheme="minorHAnsi" w:hAnsiTheme="majorHAnsi" w:cstheme="majorHAnsi"/>
          <w:b w:val="0"/>
          <w:color w:val="FF0000"/>
          <w:szCs w:val="20"/>
        </w:rPr>
        <w:t xml:space="preserve"> </w:t>
      </w:r>
    </w:p>
    <w:p w14:paraId="3EEB612A" w14:textId="08DF7F09" w:rsidR="00B7658B" w:rsidRPr="00641505" w:rsidRDefault="00641505" w:rsidP="00957FD7">
      <w:pPr>
        <w:pStyle w:val="wyr"/>
        <w:numPr>
          <w:ilvl w:val="0"/>
          <w:numId w:val="35"/>
        </w:numPr>
        <w:spacing w:before="0" w:line="276" w:lineRule="auto"/>
        <w:rPr>
          <w:rFonts w:asciiTheme="majorHAnsi" w:eastAsiaTheme="minorHAnsi" w:hAnsiTheme="majorHAnsi" w:cstheme="majorHAnsi"/>
          <w:b w:val="0"/>
          <w:color w:val="FF0000"/>
          <w:szCs w:val="20"/>
        </w:rPr>
      </w:pPr>
      <w:r w:rsidRPr="00641505">
        <w:rPr>
          <w:rFonts w:asciiTheme="majorHAnsi" w:eastAsiaTheme="minorHAnsi" w:hAnsiTheme="majorHAnsi" w:cstheme="majorHAnsi"/>
          <w:b w:val="0"/>
          <w:color w:val="FF0000"/>
          <w:szCs w:val="20"/>
        </w:rPr>
        <w:t>Pobudzanie</w:t>
      </w:r>
      <w:r w:rsidR="00B7658B" w:rsidRPr="00641505">
        <w:rPr>
          <w:rFonts w:asciiTheme="majorHAnsi" w:eastAsiaTheme="minorHAnsi" w:hAnsiTheme="majorHAnsi" w:cstheme="majorHAnsi"/>
          <w:b w:val="0"/>
          <w:color w:val="FF0000"/>
          <w:szCs w:val="20"/>
        </w:rPr>
        <w:t xml:space="preserve"> </w:t>
      </w:r>
      <w:r w:rsidRPr="00641505">
        <w:rPr>
          <w:rFonts w:asciiTheme="majorHAnsi" w:eastAsiaTheme="minorHAnsi" w:hAnsiTheme="majorHAnsi" w:cstheme="majorHAnsi"/>
          <w:b w:val="0"/>
          <w:color w:val="FF0000"/>
          <w:szCs w:val="20"/>
        </w:rPr>
        <w:t>globalnych</w:t>
      </w:r>
      <w:r w:rsidR="00B7658B" w:rsidRPr="00641505">
        <w:rPr>
          <w:rFonts w:asciiTheme="majorHAnsi" w:eastAsiaTheme="minorHAnsi" w:hAnsiTheme="majorHAnsi" w:cstheme="majorHAnsi"/>
          <w:b w:val="0"/>
          <w:color w:val="FF0000"/>
          <w:szCs w:val="20"/>
        </w:rPr>
        <w:t xml:space="preserve"> </w:t>
      </w:r>
      <w:r w:rsidRPr="00641505">
        <w:rPr>
          <w:rFonts w:asciiTheme="majorHAnsi" w:eastAsiaTheme="minorHAnsi" w:hAnsiTheme="majorHAnsi" w:cstheme="majorHAnsi"/>
          <w:b w:val="0"/>
          <w:color w:val="FF0000"/>
          <w:szCs w:val="20"/>
        </w:rPr>
        <w:t>działań</w:t>
      </w:r>
      <w:r w:rsidR="00B7658B" w:rsidRPr="00641505">
        <w:rPr>
          <w:rFonts w:asciiTheme="majorHAnsi" w:eastAsiaTheme="minorHAnsi" w:hAnsiTheme="majorHAnsi" w:cstheme="majorHAnsi"/>
          <w:b w:val="0"/>
          <w:color w:val="FF0000"/>
          <w:szCs w:val="20"/>
        </w:rPr>
        <w:t xml:space="preserve"> </w:t>
      </w:r>
      <w:r w:rsidRPr="00641505">
        <w:rPr>
          <w:rFonts w:asciiTheme="majorHAnsi" w:eastAsiaTheme="minorHAnsi" w:hAnsiTheme="majorHAnsi" w:cstheme="majorHAnsi"/>
          <w:b w:val="0"/>
          <w:color w:val="FF0000"/>
          <w:szCs w:val="20"/>
        </w:rPr>
        <w:t>w dziedzinie</w:t>
      </w:r>
      <w:r w:rsidR="00B7658B" w:rsidRPr="00641505">
        <w:rPr>
          <w:rFonts w:asciiTheme="majorHAnsi" w:eastAsiaTheme="minorHAnsi" w:hAnsiTheme="majorHAnsi" w:cstheme="majorHAnsi"/>
          <w:b w:val="0"/>
          <w:color w:val="FF0000"/>
          <w:szCs w:val="20"/>
        </w:rPr>
        <w:t xml:space="preserve"> </w:t>
      </w:r>
      <w:r w:rsidRPr="00641505">
        <w:rPr>
          <w:rFonts w:asciiTheme="majorHAnsi" w:eastAsiaTheme="minorHAnsi" w:hAnsiTheme="majorHAnsi" w:cstheme="majorHAnsi"/>
          <w:b w:val="0"/>
          <w:color w:val="FF0000"/>
          <w:szCs w:val="20"/>
        </w:rPr>
        <w:t>klimatu</w:t>
      </w:r>
      <w:r w:rsidR="00B7658B" w:rsidRPr="00641505">
        <w:rPr>
          <w:rFonts w:asciiTheme="majorHAnsi" w:eastAsiaTheme="minorHAnsi" w:hAnsiTheme="majorHAnsi" w:cstheme="majorHAnsi"/>
          <w:b w:val="0"/>
          <w:color w:val="FF0000"/>
          <w:szCs w:val="20"/>
        </w:rPr>
        <w:t xml:space="preserve"> </w:t>
      </w:r>
    </w:p>
    <w:tbl>
      <w:tblPr>
        <w:tblStyle w:val="Tabelasiatki5ciemnaakcent51"/>
        <w:tblW w:w="0" w:type="auto"/>
        <w:tblLook w:val="0420" w:firstRow="1" w:lastRow="0" w:firstColumn="0" w:lastColumn="0" w:noHBand="0" w:noVBand="1"/>
      </w:tblPr>
      <w:tblGrid>
        <w:gridCol w:w="854"/>
        <w:gridCol w:w="3664"/>
        <w:gridCol w:w="847"/>
        <w:gridCol w:w="3659"/>
      </w:tblGrid>
      <w:tr w:rsidR="00957FD7" w:rsidRPr="00754765" w14:paraId="5CE8878A" w14:textId="77777777" w:rsidTr="00957FD7">
        <w:trPr>
          <w:cnfStyle w:val="100000000000" w:firstRow="1" w:lastRow="0" w:firstColumn="0" w:lastColumn="0" w:oddVBand="0" w:evenVBand="0" w:oddHBand="0" w:evenHBand="0" w:firstRowFirstColumn="0" w:firstRowLastColumn="0" w:lastRowFirstColumn="0" w:lastRowLastColumn="0"/>
          <w:trHeight w:val="340"/>
          <w:tblHeader/>
        </w:trPr>
        <w:tc>
          <w:tcPr>
            <w:tcW w:w="4518"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A5C249"/>
            <w:vAlign w:val="center"/>
            <w:hideMark/>
          </w:tcPr>
          <w:p w14:paraId="29C9806E" w14:textId="6E355A50" w:rsidR="00991B6C" w:rsidRPr="00754765" w:rsidRDefault="00991B6C" w:rsidP="006D24CC">
            <w:pPr>
              <w:pStyle w:val="wyr"/>
              <w:spacing w:before="0" w:line="276" w:lineRule="auto"/>
              <w:jc w:val="center"/>
              <w:rPr>
                <w:rFonts w:asciiTheme="majorHAnsi" w:hAnsiTheme="majorHAnsi" w:cstheme="majorHAnsi"/>
                <w:b/>
                <w:color w:val="FFFFFF" w:themeColor="background1"/>
                <w:sz w:val="18"/>
                <w:szCs w:val="18"/>
              </w:rPr>
            </w:pPr>
            <w:r w:rsidRPr="00754765">
              <w:rPr>
                <w:rFonts w:asciiTheme="majorHAnsi" w:hAnsiTheme="majorHAnsi" w:cstheme="majorHAnsi"/>
                <w:b/>
                <w:color w:val="FFFFFF" w:themeColor="background1"/>
                <w:sz w:val="18"/>
                <w:szCs w:val="18"/>
              </w:rPr>
              <w:lastRenderedPageBreak/>
              <w:t>Europejski Zielony Ład</w:t>
            </w:r>
          </w:p>
        </w:tc>
        <w:tc>
          <w:tcPr>
            <w:tcW w:w="4506"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A5C249"/>
            <w:vAlign w:val="center"/>
            <w:hideMark/>
          </w:tcPr>
          <w:p w14:paraId="3250B2CF" w14:textId="77777777" w:rsidR="00991B6C" w:rsidRPr="00754765" w:rsidRDefault="00991B6C" w:rsidP="00754765">
            <w:pPr>
              <w:pStyle w:val="wyr"/>
              <w:spacing w:before="0" w:line="276" w:lineRule="auto"/>
              <w:jc w:val="center"/>
              <w:rPr>
                <w:rFonts w:asciiTheme="majorHAnsi" w:hAnsiTheme="majorHAnsi" w:cstheme="majorHAnsi"/>
                <w:b/>
                <w:color w:val="FFFFFF" w:themeColor="background1"/>
                <w:sz w:val="18"/>
                <w:szCs w:val="18"/>
              </w:rPr>
            </w:pPr>
            <w:r w:rsidRPr="00754765">
              <w:rPr>
                <w:rFonts w:asciiTheme="majorHAnsi" w:hAnsiTheme="majorHAnsi" w:cstheme="majorHAnsi"/>
                <w:b/>
                <w:color w:val="FFFFFF" w:themeColor="background1"/>
                <w:sz w:val="18"/>
                <w:szCs w:val="18"/>
              </w:rPr>
              <w:t>Strategia Rozwoju Obszaru Funkcjonalnego Południowe Mazury 2030 /OF Południowe Mazury 2030/</w:t>
            </w:r>
          </w:p>
        </w:tc>
      </w:tr>
      <w:tr w:rsidR="00957FD7" w:rsidRPr="004772DE" w14:paraId="1A8E8167" w14:textId="77777777" w:rsidTr="00957FD7">
        <w:trPr>
          <w:cnfStyle w:val="000000100000" w:firstRow="0" w:lastRow="0" w:firstColumn="0" w:lastColumn="0" w:oddVBand="0" w:evenVBand="0" w:oddHBand="1" w:evenHBand="0" w:firstRowFirstColumn="0" w:firstRowLastColumn="0" w:lastRowFirstColumn="0" w:lastRowLastColumn="0"/>
          <w:trHeight w:val="1134"/>
        </w:trPr>
        <w:tc>
          <w:tcPr>
            <w:tcW w:w="85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E6EECE"/>
            <w:vAlign w:val="center"/>
            <w:hideMark/>
          </w:tcPr>
          <w:p w14:paraId="5FA498E4" w14:textId="35712A87" w:rsidR="00991B6C" w:rsidRPr="004772DE" w:rsidRDefault="00991B6C" w:rsidP="006D24CC">
            <w:pPr>
              <w:spacing w:line="276" w:lineRule="auto"/>
              <w:jc w:val="center"/>
              <w:rPr>
                <w:rFonts w:asciiTheme="majorHAnsi" w:hAnsiTheme="majorHAnsi" w:cstheme="majorHAnsi"/>
                <w:b/>
                <w:color w:val="FF0000"/>
                <w:sz w:val="18"/>
                <w:szCs w:val="18"/>
              </w:rPr>
            </w:pPr>
            <w:r w:rsidRPr="004772DE">
              <w:rPr>
                <w:rFonts w:asciiTheme="majorHAnsi" w:hAnsiTheme="majorHAnsi" w:cstheme="majorHAnsi"/>
                <w:b/>
                <w:color w:val="FF0000"/>
                <w:sz w:val="18"/>
                <w:szCs w:val="18"/>
              </w:rPr>
              <w:t>Cel I</w:t>
            </w:r>
          </w:p>
        </w:tc>
        <w:tc>
          <w:tcPr>
            <w:tcW w:w="3664" w:type="dxa"/>
            <w:tcBorders>
              <w:top w:val="dashed" w:sz="4" w:space="0" w:color="5AA2AE"/>
              <w:left w:val="single" w:sz="24" w:space="0" w:color="FFFFFF" w:themeColor="background1"/>
              <w:bottom w:val="dashed" w:sz="4" w:space="0" w:color="5AA2AE"/>
              <w:right w:val="nil"/>
            </w:tcBorders>
            <w:shd w:val="clear" w:color="auto" w:fill="FFFFFF" w:themeFill="background1"/>
            <w:vAlign w:val="center"/>
            <w:hideMark/>
          </w:tcPr>
          <w:p w14:paraId="488A41E9" w14:textId="51621BC2" w:rsidR="00991B6C" w:rsidRPr="004772DE" w:rsidRDefault="0050640A" w:rsidP="006D24CC">
            <w:pPr>
              <w:spacing w:line="276" w:lineRule="auto"/>
              <w:rPr>
                <w:rFonts w:asciiTheme="majorHAnsi" w:hAnsiTheme="majorHAnsi" w:cstheme="majorHAnsi"/>
                <w:color w:val="FF0000"/>
                <w:sz w:val="18"/>
                <w:szCs w:val="18"/>
              </w:rPr>
            </w:pPr>
            <w:r w:rsidRPr="004772DE">
              <w:rPr>
                <w:rFonts w:asciiTheme="majorHAnsi" w:hAnsiTheme="majorHAnsi" w:cstheme="majorHAnsi"/>
                <w:color w:val="FF0000"/>
                <w:sz w:val="18"/>
                <w:szCs w:val="18"/>
              </w:rPr>
              <w:t>Zapewnienie</w:t>
            </w:r>
            <w:r w:rsidR="00991B6C" w:rsidRPr="004772DE">
              <w:rPr>
                <w:rFonts w:asciiTheme="majorHAnsi" w:hAnsiTheme="majorHAnsi" w:cstheme="majorHAnsi"/>
                <w:b/>
                <w:color w:val="FF0000"/>
                <w:sz w:val="18"/>
                <w:szCs w:val="18"/>
              </w:rPr>
              <w:t xml:space="preserve"> </w:t>
            </w:r>
            <w:r w:rsidRPr="004772DE">
              <w:rPr>
                <w:rFonts w:asciiTheme="majorHAnsi" w:hAnsiTheme="majorHAnsi" w:cstheme="majorHAnsi"/>
                <w:color w:val="FF0000"/>
                <w:sz w:val="18"/>
                <w:szCs w:val="18"/>
              </w:rPr>
              <w:t>zrównoważonego</w:t>
            </w:r>
            <w:r w:rsidR="00991B6C" w:rsidRPr="004772DE">
              <w:rPr>
                <w:rFonts w:asciiTheme="majorHAnsi" w:hAnsiTheme="majorHAnsi" w:cstheme="majorHAnsi"/>
                <w:b/>
                <w:color w:val="FF0000"/>
                <w:sz w:val="18"/>
                <w:szCs w:val="18"/>
              </w:rPr>
              <w:t xml:space="preserve"> </w:t>
            </w:r>
            <w:r w:rsidRPr="004772DE">
              <w:rPr>
                <w:rFonts w:asciiTheme="majorHAnsi" w:hAnsiTheme="majorHAnsi" w:cstheme="majorHAnsi"/>
                <w:color w:val="FF0000"/>
                <w:sz w:val="18"/>
                <w:szCs w:val="18"/>
              </w:rPr>
              <w:t>transportu</w:t>
            </w:r>
            <w:r w:rsidR="00991B6C" w:rsidRPr="004772DE">
              <w:rPr>
                <w:rFonts w:asciiTheme="majorHAnsi" w:hAnsiTheme="majorHAnsi" w:cstheme="majorHAnsi"/>
                <w:b/>
                <w:color w:val="FF0000"/>
                <w:sz w:val="18"/>
                <w:szCs w:val="18"/>
              </w:rPr>
              <w:t xml:space="preserve"> </w:t>
            </w:r>
            <w:r w:rsidRPr="004772DE">
              <w:rPr>
                <w:rFonts w:asciiTheme="majorHAnsi" w:hAnsiTheme="majorHAnsi" w:cstheme="majorHAnsi"/>
                <w:color w:val="FF0000"/>
                <w:sz w:val="18"/>
                <w:szCs w:val="18"/>
              </w:rPr>
              <w:t>dla wszystkich</w:t>
            </w:r>
          </w:p>
        </w:tc>
        <w:tc>
          <w:tcPr>
            <w:tcW w:w="847" w:type="dxa"/>
            <w:tcBorders>
              <w:top w:val="single" w:sz="24" w:space="0" w:color="FFFFFF" w:themeColor="background1"/>
              <w:left w:val="nil"/>
              <w:bottom w:val="single" w:sz="24" w:space="0" w:color="FFFFFF" w:themeColor="background1"/>
              <w:right w:val="single" w:sz="24" w:space="0" w:color="FFFFFF" w:themeColor="background1"/>
            </w:tcBorders>
            <w:shd w:val="clear" w:color="auto" w:fill="E6EECE"/>
            <w:vAlign w:val="center"/>
            <w:hideMark/>
          </w:tcPr>
          <w:p w14:paraId="2C14F136" w14:textId="1C8A5D03" w:rsidR="00991B6C" w:rsidRPr="004772DE" w:rsidRDefault="004772DE" w:rsidP="004772DE">
            <w:pPr>
              <w:spacing w:line="276" w:lineRule="auto"/>
              <w:jc w:val="center"/>
              <w:rPr>
                <w:rFonts w:asciiTheme="majorHAnsi" w:hAnsiTheme="majorHAnsi" w:cstheme="majorHAnsi"/>
                <w:b/>
                <w:color w:val="FF0000"/>
                <w:sz w:val="18"/>
                <w:szCs w:val="18"/>
              </w:rPr>
            </w:pPr>
            <w:r w:rsidRPr="004772DE">
              <w:rPr>
                <w:rFonts w:asciiTheme="majorHAnsi" w:hAnsiTheme="majorHAnsi" w:cstheme="majorHAnsi"/>
                <w:b/>
                <w:color w:val="FF0000"/>
                <w:sz w:val="18"/>
                <w:szCs w:val="18"/>
              </w:rPr>
              <w:t>Cel 1</w:t>
            </w:r>
          </w:p>
        </w:tc>
        <w:tc>
          <w:tcPr>
            <w:tcW w:w="3659" w:type="dxa"/>
            <w:tcBorders>
              <w:top w:val="dashed" w:sz="4" w:space="0" w:color="5AA2AE"/>
              <w:left w:val="single" w:sz="24" w:space="0" w:color="FFFFFF" w:themeColor="background1"/>
              <w:bottom w:val="dashed" w:sz="4" w:space="0" w:color="5AA2AE"/>
              <w:right w:val="single" w:sz="4" w:space="0" w:color="B4C6E7" w:themeColor="accent5" w:themeTint="66"/>
            </w:tcBorders>
            <w:shd w:val="clear" w:color="auto" w:fill="FFFFFF" w:themeFill="background1"/>
            <w:vAlign w:val="center"/>
            <w:hideMark/>
          </w:tcPr>
          <w:p w14:paraId="3A766701" w14:textId="77777777" w:rsidR="00991B6C" w:rsidRPr="004772DE" w:rsidRDefault="00991B6C" w:rsidP="006D24CC">
            <w:pPr>
              <w:spacing w:line="276" w:lineRule="auto"/>
              <w:rPr>
                <w:rFonts w:asciiTheme="majorHAnsi" w:hAnsiTheme="majorHAnsi" w:cstheme="majorHAnsi"/>
                <w:b/>
                <w:color w:val="FF0000"/>
                <w:sz w:val="18"/>
                <w:szCs w:val="18"/>
              </w:rPr>
            </w:pPr>
            <w:r w:rsidRPr="004772DE">
              <w:rPr>
                <w:rFonts w:asciiTheme="majorHAnsi" w:hAnsiTheme="majorHAnsi" w:cstheme="majorHAnsi"/>
                <w:b/>
                <w:color w:val="FF0000"/>
                <w:sz w:val="18"/>
                <w:szCs w:val="18"/>
              </w:rPr>
              <w:t>Cel strategiczny 1</w:t>
            </w:r>
          </w:p>
          <w:p w14:paraId="256B259B" w14:textId="688590E8" w:rsidR="00991B6C" w:rsidRPr="004772DE" w:rsidRDefault="00991B6C" w:rsidP="006D24CC">
            <w:pPr>
              <w:spacing w:line="276" w:lineRule="auto"/>
              <w:rPr>
                <w:rFonts w:asciiTheme="majorHAnsi" w:hAnsiTheme="majorHAnsi" w:cstheme="majorHAnsi"/>
                <w:color w:val="FF0000"/>
                <w:sz w:val="18"/>
                <w:szCs w:val="18"/>
              </w:rPr>
            </w:pPr>
            <w:r w:rsidRPr="004772DE">
              <w:rPr>
                <w:rFonts w:asciiTheme="majorHAnsi" w:hAnsiTheme="majorHAnsi" w:cstheme="majorHAnsi"/>
                <w:color w:val="FF0000"/>
                <w:sz w:val="18"/>
                <w:szCs w:val="18"/>
              </w:rPr>
              <w:t>Tworzenie warunków dla dynamicznego wzrostu gospodarczego w oparciu o wydajny układ komunikacyjny i tworzenie atra</w:t>
            </w:r>
            <w:r w:rsidR="004772DE" w:rsidRPr="004772DE">
              <w:rPr>
                <w:rFonts w:asciiTheme="majorHAnsi" w:hAnsiTheme="majorHAnsi" w:cstheme="majorHAnsi"/>
                <w:color w:val="FF0000"/>
                <w:sz w:val="18"/>
                <w:szCs w:val="18"/>
              </w:rPr>
              <w:t>kcyjnych terenów inwestycyjnych</w:t>
            </w:r>
          </w:p>
        </w:tc>
      </w:tr>
      <w:tr w:rsidR="004772DE" w:rsidRPr="004772DE" w14:paraId="572A3504" w14:textId="77777777" w:rsidTr="00957FD7">
        <w:trPr>
          <w:trHeight w:val="1417"/>
        </w:trPr>
        <w:tc>
          <w:tcPr>
            <w:tcW w:w="85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E6EECE"/>
            <w:vAlign w:val="center"/>
            <w:hideMark/>
          </w:tcPr>
          <w:p w14:paraId="68071AF1" w14:textId="77777777" w:rsidR="00991B6C" w:rsidRPr="004772DE" w:rsidRDefault="00991B6C" w:rsidP="006D24CC">
            <w:pPr>
              <w:spacing w:line="276" w:lineRule="auto"/>
              <w:jc w:val="center"/>
              <w:rPr>
                <w:rFonts w:asciiTheme="majorHAnsi" w:hAnsiTheme="majorHAnsi" w:cstheme="majorHAnsi"/>
                <w:b/>
                <w:color w:val="FF0000"/>
                <w:sz w:val="18"/>
                <w:szCs w:val="18"/>
              </w:rPr>
            </w:pPr>
            <w:r w:rsidRPr="004772DE">
              <w:rPr>
                <w:rFonts w:asciiTheme="majorHAnsi" w:hAnsiTheme="majorHAnsi" w:cstheme="majorHAnsi"/>
                <w:b/>
                <w:color w:val="FF0000"/>
                <w:sz w:val="18"/>
                <w:szCs w:val="18"/>
              </w:rPr>
              <w:t>Cel II</w:t>
            </w:r>
          </w:p>
        </w:tc>
        <w:tc>
          <w:tcPr>
            <w:tcW w:w="3664" w:type="dxa"/>
            <w:tcBorders>
              <w:top w:val="dashed" w:sz="4" w:space="0" w:color="5AA2AE"/>
              <w:left w:val="single" w:sz="24" w:space="0" w:color="FFFFFF" w:themeColor="background1"/>
              <w:bottom w:val="dashed" w:sz="4" w:space="0" w:color="5AA2AE"/>
              <w:right w:val="nil"/>
            </w:tcBorders>
            <w:shd w:val="clear" w:color="auto" w:fill="FFFFFF" w:themeFill="background1"/>
            <w:vAlign w:val="center"/>
            <w:hideMark/>
          </w:tcPr>
          <w:p w14:paraId="73A1772C" w14:textId="75B44D54" w:rsidR="00991B6C" w:rsidRPr="004772DE" w:rsidRDefault="0050640A" w:rsidP="006D24CC">
            <w:pPr>
              <w:spacing w:line="276" w:lineRule="auto"/>
              <w:rPr>
                <w:rFonts w:asciiTheme="majorHAnsi" w:hAnsiTheme="majorHAnsi" w:cstheme="majorHAnsi"/>
                <w:color w:val="FF0000"/>
                <w:sz w:val="18"/>
                <w:szCs w:val="18"/>
              </w:rPr>
            </w:pPr>
            <w:r w:rsidRPr="004772DE">
              <w:rPr>
                <w:rFonts w:asciiTheme="majorHAnsi" w:hAnsiTheme="majorHAnsi" w:cstheme="majorHAnsi"/>
                <w:color w:val="FF0000"/>
                <w:sz w:val="18"/>
                <w:szCs w:val="18"/>
              </w:rPr>
              <w:t>Przewodzenie</w:t>
            </w:r>
            <w:r w:rsidR="00991B6C" w:rsidRPr="004772DE">
              <w:rPr>
                <w:rFonts w:asciiTheme="majorHAnsi" w:hAnsiTheme="majorHAnsi" w:cstheme="majorHAnsi"/>
                <w:color w:val="FF0000"/>
                <w:sz w:val="18"/>
                <w:szCs w:val="18"/>
              </w:rPr>
              <w:t xml:space="preserve"> </w:t>
            </w:r>
            <w:r w:rsidRPr="004772DE">
              <w:rPr>
                <w:rFonts w:asciiTheme="majorHAnsi" w:hAnsiTheme="majorHAnsi" w:cstheme="majorHAnsi"/>
                <w:color w:val="FF0000"/>
                <w:sz w:val="18"/>
                <w:szCs w:val="18"/>
              </w:rPr>
              <w:t>trzeciej</w:t>
            </w:r>
            <w:r w:rsidR="00991B6C" w:rsidRPr="004772DE">
              <w:rPr>
                <w:rFonts w:asciiTheme="majorHAnsi" w:hAnsiTheme="majorHAnsi" w:cstheme="majorHAnsi"/>
                <w:color w:val="FF0000"/>
                <w:sz w:val="18"/>
                <w:szCs w:val="18"/>
              </w:rPr>
              <w:t xml:space="preserve"> </w:t>
            </w:r>
            <w:r w:rsidRPr="004772DE">
              <w:rPr>
                <w:rFonts w:asciiTheme="majorHAnsi" w:hAnsiTheme="majorHAnsi" w:cstheme="majorHAnsi"/>
                <w:color w:val="FF0000"/>
                <w:sz w:val="18"/>
                <w:szCs w:val="18"/>
              </w:rPr>
              <w:t>rewolucji</w:t>
            </w:r>
            <w:r w:rsidR="00991B6C" w:rsidRPr="004772DE">
              <w:rPr>
                <w:rFonts w:asciiTheme="majorHAnsi" w:hAnsiTheme="majorHAnsi" w:cstheme="majorHAnsi"/>
                <w:color w:val="FF0000"/>
                <w:sz w:val="18"/>
                <w:szCs w:val="18"/>
              </w:rPr>
              <w:t xml:space="preserve"> </w:t>
            </w:r>
            <w:r w:rsidRPr="004772DE">
              <w:rPr>
                <w:rFonts w:asciiTheme="majorHAnsi" w:hAnsiTheme="majorHAnsi" w:cstheme="majorHAnsi"/>
                <w:color w:val="FF0000"/>
                <w:sz w:val="18"/>
                <w:szCs w:val="18"/>
              </w:rPr>
              <w:t>przemysłowej</w:t>
            </w:r>
          </w:p>
        </w:tc>
        <w:tc>
          <w:tcPr>
            <w:tcW w:w="847" w:type="dxa"/>
            <w:tcBorders>
              <w:top w:val="single" w:sz="24" w:space="0" w:color="FFFFFF" w:themeColor="background1"/>
              <w:left w:val="nil"/>
              <w:bottom w:val="single" w:sz="24" w:space="0" w:color="FFFFFF" w:themeColor="background1"/>
              <w:right w:val="single" w:sz="24" w:space="0" w:color="FFFFFF" w:themeColor="background1"/>
            </w:tcBorders>
            <w:shd w:val="clear" w:color="auto" w:fill="E6EECE"/>
            <w:vAlign w:val="center"/>
            <w:hideMark/>
          </w:tcPr>
          <w:p w14:paraId="1465DB35" w14:textId="12A56BBE" w:rsidR="00991B6C" w:rsidRPr="004772DE" w:rsidRDefault="004772DE" w:rsidP="006D24CC">
            <w:pPr>
              <w:spacing w:line="276" w:lineRule="auto"/>
              <w:jc w:val="center"/>
              <w:rPr>
                <w:rFonts w:asciiTheme="majorHAnsi" w:hAnsiTheme="majorHAnsi" w:cstheme="majorHAnsi"/>
                <w:b/>
                <w:color w:val="FF0000"/>
                <w:sz w:val="18"/>
                <w:szCs w:val="18"/>
              </w:rPr>
            </w:pPr>
            <w:r w:rsidRPr="004772DE">
              <w:rPr>
                <w:rFonts w:asciiTheme="majorHAnsi" w:hAnsiTheme="majorHAnsi" w:cstheme="majorHAnsi"/>
                <w:b/>
                <w:color w:val="FF0000"/>
                <w:sz w:val="18"/>
                <w:szCs w:val="18"/>
              </w:rPr>
              <w:t xml:space="preserve">Cel 2, 3 </w:t>
            </w:r>
          </w:p>
        </w:tc>
        <w:tc>
          <w:tcPr>
            <w:tcW w:w="3659" w:type="dxa"/>
            <w:tcBorders>
              <w:top w:val="dashed" w:sz="4" w:space="0" w:color="5AA2AE"/>
              <w:left w:val="single" w:sz="24" w:space="0" w:color="FFFFFF" w:themeColor="background1"/>
              <w:bottom w:val="dashed" w:sz="4" w:space="0" w:color="5AA2AE"/>
              <w:right w:val="single" w:sz="4" w:space="0" w:color="B4C6E7" w:themeColor="accent5" w:themeTint="66"/>
            </w:tcBorders>
            <w:shd w:val="clear" w:color="auto" w:fill="FFFFFF" w:themeFill="background1"/>
            <w:vAlign w:val="center"/>
            <w:hideMark/>
          </w:tcPr>
          <w:p w14:paraId="71526311" w14:textId="77777777" w:rsidR="004772DE" w:rsidRPr="004772DE" w:rsidRDefault="004772DE" w:rsidP="004772DE">
            <w:pPr>
              <w:spacing w:line="276" w:lineRule="auto"/>
              <w:rPr>
                <w:rFonts w:asciiTheme="majorHAnsi" w:hAnsiTheme="majorHAnsi" w:cstheme="majorHAnsi"/>
                <w:b/>
                <w:color w:val="FF0000"/>
                <w:sz w:val="18"/>
                <w:szCs w:val="18"/>
              </w:rPr>
            </w:pPr>
            <w:r w:rsidRPr="004772DE">
              <w:rPr>
                <w:rFonts w:asciiTheme="majorHAnsi" w:hAnsiTheme="majorHAnsi" w:cstheme="majorHAnsi"/>
                <w:b/>
                <w:color w:val="FF0000"/>
                <w:sz w:val="18"/>
                <w:szCs w:val="18"/>
              </w:rPr>
              <w:t>Cel strategiczny 2</w:t>
            </w:r>
          </w:p>
          <w:p w14:paraId="00AF7239" w14:textId="629251A8" w:rsidR="004772DE" w:rsidRPr="004772DE" w:rsidRDefault="004772DE" w:rsidP="004772DE">
            <w:pPr>
              <w:spacing w:line="276" w:lineRule="auto"/>
              <w:rPr>
                <w:rFonts w:asciiTheme="majorHAnsi" w:hAnsiTheme="majorHAnsi" w:cstheme="majorHAnsi"/>
                <w:color w:val="FF0000"/>
                <w:sz w:val="18"/>
                <w:szCs w:val="18"/>
              </w:rPr>
            </w:pPr>
            <w:r w:rsidRPr="004772DE">
              <w:rPr>
                <w:rFonts w:asciiTheme="majorHAnsi" w:hAnsiTheme="majorHAnsi" w:cstheme="majorHAnsi"/>
                <w:color w:val="FF0000"/>
                <w:sz w:val="18"/>
                <w:szCs w:val="18"/>
              </w:rPr>
              <w:t xml:space="preserve">Zapewnienie wysokiej jakości życia mieszkańców poprzez efektywną gospodarkę energetyczną, ochronę </w:t>
            </w:r>
            <w:r w:rsidR="00BB7C86">
              <w:rPr>
                <w:rFonts w:asciiTheme="majorHAnsi" w:hAnsiTheme="majorHAnsi" w:cstheme="majorHAnsi"/>
                <w:color w:val="FF0000"/>
                <w:sz w:val="18"/>
                <w:szCs w:val="18"/>
              </w:rPr>
              <w:t>ziemi</w:t>
            </w:r>
            <w:r w:rsidRPr="004772DE">
              <w:rPr>
                <w:rFonts w:asciiTheme="majorHAnsi" w:hAnsiTheme="majorHAnsi" w:cstheme="majorHAnsi"/>
                <w:color w:val="FF0000"/>
                <w:sz w:val="18"/>
                <w:szCs w:val="18"/>
              </w:rPr>
              <w:t>, powietrza i środowiska naturalnego</w:t>
            </w:r>
          </w:p>
          <w:p w14:paraId="65BDAFAC" w14:textId="77777777" w:rsidR="004772DE" w:rsidRPr="004772DE" w:rsidRDefault="004772DE" w:rsidP="004772DE">
            <w:pPr>
              <w:spacing w:line="276" w:lineRule="auto"/>
              <w:rPr>
                <w:rFonts w:asciiTheme="majorHAnsi" w:hAnsiTheme="majorHAnsi" w:cstheme="majorHAnsi"/>
                <w:b/>
                <w:color w:val="FF0000"/>
                <w:sz w:val="18"/>
                <w:szCs w:val="18"/>
              </w:rPr>
            </w:pPr>
            <w:r w:rsidRPr="004772DE">
              <w:rPr>
                <w:rFonts w:asciiTheme="majorHAnsi" w:hAnsiTheme="majorHAnsi" w:cstheme="majorHAnsi"/>
                <w:b/>
                <w:color w:val="FF0000"/>
                <w:sz w:val="18"/>
                <w:szCs w:val="18"/>
              </w:rPr>
              <w:t>Cel strategiczny 3</w:t>
            </w:r>
          </w:p>
          <w:p w14:paraId="1EF5CF9B" w14:textId="390957D1" w:rsidR="00991B6C" w:rsidRPr="004772DE" w:rsidRDefault="004772DE" w:rsidP="004772DE">
            <w:pPr>
              <w:spacing w:line="276" w:lineRule="auto"/>
              <w:rPr>
                <w:rFonts w:asciiTheme="majorHAnsi" w:hAnsiTheme="majorHAnsi" w:cstheme="majorHAnsi"/>
                <w:color w:val="FF0000"/>
                <w:sz w:val="18"/>
                <w:szCs w:val="18"/>
              </w:rPr>
            </w:pPr>
            <w:r w:rsidRPr="004772DE">
              <w:rPr>
                <w:rFonts w:asciiTheme="majorHAnsi" w:hAnsiTheme="majorHAnsi" w:cstheme="majorHAnsi"/>
                <w:color w:val="FF0000"/>
                <w:sz w:val="18"/>
                <w:szCs w:val="18"/>
              </w:rPr>
              <w:t>Dywersyfikacja struktury gospodarczej Obszaru Funkcjonalnego przy wykorzystaniu unikatowego potencjału zasobów lokalnych - dziedzictwa przyrody i kultury</w:t>
            </w:r>
          </w:p>
        </w:tc>
      </w:tr>
      <w:tr w:rsidR="004772DE" w:rsidRPr="004772DE" w14:paraId="513E4C48" w14:textId="77777777" w:rsidTr="00957FD7">
        <w:trPr>
          <w:cnfStyle w:val="000000100000" w:firstRow="0" w:lastRow="0" w:firstColumn="0" w:lastColumn="0" w:oddVBand="0" w:evenVBand="0" w:oddHBand="1" w:evenHBand="0" w:firstRowFirstColumn="0" w:firstRowLastColumn="0" w:lastRowFirstColumn="0" w:lastRowLastColumn="0"/>
          <w:trHeight w:val="1417"/>
        </w:trPr>
        <w:tc>
          <w:tcPr>
            <w:tcW w:w="85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E6EECE"/>
            <w:vAlign w:val="center"/>
          </w:tcPr>
          <w:p w14:paraId="4EB1B6BB" w14:textId="33271E26" w:rsidR="00991B6C" w:rsidRPr="004772DE" w:rsidRDefault="00991B6C" w:rsidP="006D24CC">
            <w:pPr>
              <w:spacing w:line="276" w:lineRule="auto"/>
              <w:jc w:val="center"/>
              <w:rPr>
                <w:rFonts w:asciiTheme="majorHAnsi" w:hAnsiTheme="majorHAnsi" w:cstheme="majorHAnsi"/>
                <w:b/>
                <w:color w:val="FF0000"/>
                <w:sz w:val="18"/>
                <w:szCs w:val="18"/>
              </w:rPr>
            </w:pPr>
            <w:r w:rsidRPr="004772DE">
              <w:rPr>
                <w:rFonts w:asciiTheme="majorHAnsi" w:hAnsiTheme="majorHAnsi" w:cstheme="majorHAnsi"/>
                <w:b/>
                <w:color w:val="FF0000"/>
                <w:sz w:val="18"/>
                <w:szCs w:val="18"/>
              </w:rPr>
              <w:t>Cel III</w:t>
            </w:r>
          </w:p>
        </w:tc>
        <w:tc>
          <w:tcPr>
            <w:tcW w:w="3664" w:type="dxa"/>
            <w:tcBorders>
              <w:top w:val="dashed" w:sz="4" w:space="0" w:color="5AA2AE"/>
              <w:left w:val="single" w:sz="24" w:space="0" w:color="FFFFFF" w:themeColor="background1"/>
              <w:bottom w:val="single" w:sz="4" w:space="0" w:color="B4C6E7" w:themeColor="accent5" w:themeTint="66"/>
              <w:right w:val="nil"/>
            </w:tcBorders>
            <w:shd w:val="clear" w:color="auto" w:fill="FFFFFF" w:themeFill="background1"/>
            <w:vAlign w:val="center"/>
          </w:tcPr>
          <w:p w14:paraId="12BC13E1" w14:textId="2B0CE573" w:rsidR="00991B6C" w:rsidRPr="004772DE" w:rsidRDefault="0050640A" w:rsidP="006D24CC">
            <w:pPr>
              <w:spacing w:line="276" w:lineRule="auto"/>
              <w:rPr>
                <w:rFonts w:asciiTheme="majorHAnsi" w:hAnsiTheme="majorHAnsi" w:cstheme="majorHAnsi"/>
                <w:b/>
                <w:color w:val="FF0000"/>
                <w:sz w:val="18"/>
                <w:szCs w:val="18"/>
              </w:rPr>
            </w:pPr>
            <w:r w:rsidRPr="004772DE">
              <w:rPr>
                <w:rFonts w:asciiTheme="majorHAnsi" w:hAnsiTheme="majorHAnsi" w:cstheme="majorHAnsi"/>
                <w:color w:val="FF0000"/>
                <w:sz w:val="18"/>
                <w:szCs w:val="18"/>
              </w:rPr>
              <w:t>Ekologizacja</w:t>
            </w:r>
            <w:r w:rsidR="00991B6C" w:rsidRPr="004772DE">
              <w:rPr>
                <w:rFonts w:asciiTheme="majorHAnsi" w:hAnsiTheme="majorHAnsi" w:cstheme="majorHAnsi"/>
                <w:b/>
                <w:color w:val="FF0000"/>
                <w:sz w:val="18"/>
                <w:szCs w:val="18"/>
              </w:rPr>
              <w:t xml:space="preserve"> </w:t>
            </w:r>
            <w:r w:rsidRPr="004772DE">
              <w:rPr>
                <w:rFonts w:asciiTheme="majorHAnsi" w:hAnsiTheme="majorHAnsi" w:cstheme="majorHAnsi"/>
                <w:color w:val="FF0000"/>
                <w:sz w:val="18"/>
                <w:szCs w:val="18"/>
              </w:rPr>
              <w:t>naszego systemu</w:t>
            </w:r>
            <w:r w:rsidR="00991B6C" w:rsidRPr="004772DE">
              <w:rPr>
                <w:rFonts w:asciiTheme="majorHAnsi" w:hAnsiTheme="majorHAnsi" w:cstheme="majorHAnsi"/>
                <w:b/>
                <w:color w:val="FF0000"/>
                <w:sz w:val="18"/>
                <w:szCs w:val="18"/>
              </w:rPr>
              <w:t xml:space="preserve"> </w:t>
            </w:r>
            <w:r w:rsidRPr="004772DE">
              <w:rPr>
                <w:rFonts w:asciiTheme="majorHAnsi" w:hAnsiTheme="majorHAnsi" w:cstheme="majorHAnsi"/>
                <w:color w:val="FF0000"/>
                <w:sz w:val="18"/>
                <w:szCs w:val="18"/>
              </w:rPr>
              <w:t>energetycznego</w:t>
            </w:r>
          </w:p>
        </w:tc>
        <w:tc>
          <w:tcPr>
            <w:tcW w:w="847" w:type="dxa"/>
            <w:tcBorders>
              <w:top w:val="single" w:sz="24" w:space="0" w:color="FFFFFF" w:themeColor="background1"/>
              <w:left w:val="nil"/>
              <w:bottom w:val="single" w:sz="24" w:space="0" w:color="FFFFFF" w:themeColor="background1"/>
              <w:right w:val="single" w:sz="24" w:space="0" w:color="FFFFFF" w:themeColor="background1"/>
            </w:tcBorders>
            <w:shd w:val="clear" w:color="auto" w:fill="E6EECE"/>
            <w:vAlign w:val="center"/>
          </w:tcPr>
          <w:p w14:paraId="54536073" w14:textId="698E7CD9" w:rsidR="00991B6C" w:rsidRPr="004772DE" w:rsidRDefault="004772DE" w:rsidP="006D24CC">
            <w:pPr>
              <w:spacing w:line="276" w:lineRule="auto"/>
              <w:jc w:val="center"/>
              <w:rPr>
                <w:rFonts w:asciiTheme="majorHAnsi" w:hAnsiTheme="majorHAnsi" w:cstheme="majorHAnsi"/>
                <w:b/>
                <w:color w:val="FF0000"/>
                <w:sz w:val="18"/>
                <w:szCs w:val="18"/>
              </w:rPr>
            </w:pPr>
            <w:r>
              <w:rPr>
                <w:rFonts w:asciiTheme="majorHAnsi" w:hAnsiTheme="majorHAnsi" w:cstheme="majorHAnsi"/>
                <w:b/>
                <w:color w:val="FF0000"/>
                <w:sz w:val="18"/>
                <w:szCs w:val="18"/>
              </w:rPr>
              <w:t>Cel 2</w:t>
            </w:r>
          </w:p>
        </w:tc>
        <w:tc>
          <w:tcPr>
            <w:tcW w:w="3659" w:type="dxa"/>
            <w:tcBorders>
              <w:top w:val="dashed" w:sz="4" w:space="0" w:color="5AA2AE"/>
              <w:left w:val="single" w:sz="24" w:space="0" w:color="FFFFFF" w:themeColor="background1"/>
              <w:bottom w:val="single" w:sz="4" w:space="0" w:color="B4C6E7" w:themeColor="accent5" w:themeTint="66"/>
              <w:right w:val="single" w:sz="4" w:space="0" w:color="B4C6E7" w:themeColor="accent5" w:themeTint="66"/>
            </w:tcBorders>
            <w:shd w:val="clear" w:color="auto" w:fill="FFFFFF" w:themeFill="background1"/>
            <w:vAlign w:val="center"/>
          </w:tcPr>
          <w:p w14:paraId="0EDD9A41" w14:textId="77777777" w:rsidR="004772DE" w:rsidRPr="004772DE" w:rsidRDefault="004772DE" w:rsidP="004772DE">
            <w:pPr>
              <w:spacing w:line="276" w:lineRule="auto"/>
              <w:rPr>
                <w:rFonts w:asciiTheme="majorHAnsi" w:hAnsiTheme="majorHAnsi" w:cstheme="majorHAnsi"/>
                <w:b/>
                <w:color w:val="FF0000"/>
                <w:sz w:val="18"/>
                <w:szCs w:val="18"/>
              </w:rPr>
            </w:pPr>
            <w:r w:rsidRPr="004772DE">
              <w:rPr>
                <w:rFonts w:asciiTheme="majorHAnsi" w:hAnsiTheme="majorHAnsi" w:cstheme="majorHAnsi"/>
                <w:b/>
                <w:color w:val="FF0000"/>
                <w:sz w:val="18"/>
                <w:szCs w:val="18"/>
              </w:rPr>
              <w:t>Cel strategiczny 2.</w:t>
            </w:r>
          </w:p>
          <w:p w14:paraId="1DA80115" w14:textId="77D2F532" w:rsidR="00991B6C" w:rsidRPr="004772DE" w:rsidRDefault="004772DE" w:rsidP="00BB7C86">
            <w:pPr>
              <w:spacing w:line="276" w:lineRule="auto"/>
              <w:rPr>
                <w:rFonts w:asciiTheme="majorHAnsi" w:hAnsiTheme="majorHAnsi" w:cstheme="majorHAnsi"/>
                <w:b/>
                <w:color w:val="FF0000"/>
                <w:sz w:val="18"/>
                <w:szCs w:val="18"/>
              </w:rPr>
            </w:pPr>
            <w:r w:rsidRPr="004772DE">
              <w:rPr>
                <w:rFonts w:asciiTheme="majorHAnsi" w:hAnsiTheme="majorHAnsi" w:cstheme="majorHAnsi"/>
                <w:color w:val="FF0000"/>
                <w:sz w:val="18"/>
                <w:szCs w:val="18"/>
              </w:rPr>
              <w:t xml:space="preserve">Zapewnienie wysokiej jakości życia mieszkańców poprzez efektywną gospodarkę energetyczną, ochronę </w:t>
            </w:r>
            <w:r w:rsidR="00BB7C86">
              <w:rPr>
                <w:rFonts w:asciiTheme="majorHAnsi" w:hAnsiTheme="majorHAnsi" w:cstheme="majorHAnsi"/>
                <w:color w:val="FF0000"/>
                <w:sz w:val="18"/>
                <w:szCs w:val="18"/>
              </w:rPr>
              <w:t>ziemi</w:t>
            </w:r>
            <w:r w:rsidRPr="004772DE">
              <w:rPr>
                <w:rFonts w:asciiTheme="majorHAnsi" w:hAnsiTheme="majorHAnsi" w:cstheme="majorHAnsi"/>
                <w:color w:val="FF0000"/>
                <w:sz w:val="18"/>
                <w:szCs w:val="18"/>
              </w:rPr>
              <w:t>, powietrza i środowiska naturalnego</w:t>
            </w:r>
          </w:p>
        </w:tc>
      </w:tr>
      <w:tr w:rsidR="004772DE" w:rsidRPr="004772DE" w14:paraId="68901CC5" w14:textId="77777777" w:rsidTr="00957FD7">
        <w:trPr>
          <w:trHeight w:val="1417"/>
        </w:trPr>
        <w:tc>
          <w:tcPr>
            <w:tcW w:w="85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E6EECE"/>
            <w:vAlign w:val="center"/>
          </w:tcPr>
          <w:p w14:paraId="0CAED56A" w14:textId="16E16EC1" w:rsidR="00991B6C" w:rsidRPr="004772DE" w:rsidRDefault="00991B6C" w:rsidP="006D24CC">
            <w:pPr>
              <w:spacing w:line="276" w:lineRule="auto"/>
              <w:jc w:val="center"/>
              <w:rPr>
                <w:rFonts w:asciiTheme="majorHAnsi" w:hAnsiTheme="majorHAnsi" w:cstheme="majorHAnsi"/>
                <w:b/>
                <w:color w:val="FF0000"/>
                <w:sz w:val="18"/>
                <w:szCs w:val="18"/>
              </w:rPr>
            </w:pPr>
            <w:r w:rsidRPr="004772DE">
              <w:rPr>
                <w:rFonts w:asciiTheme="majorHAnsi" w:hAnsiTheme="majorHAnsi" w:cstheme="majorHAnsi"/>
                <w:b/>
                <w:color w:val="FF0000"/>
                <w:sz w:val="18"/>
                <w:szCs w:val="18"/>
              </w:rPr>
              <w:t>Cel IV</w:t>
            </w:r>
          </w:p>
        </w:tc>
        <w:tc>
          <w:tcPr>
            <w:tcW w:w="3664" w:type="dxa"/>
            <w:tcBorders>
              <w:top w:val="dashed" w:sz="4" w:space="0" w:color="5AA2AE"/>
              <w:left w:val="single" w:sz="24" w:space="0" w:color="FFFFFF" w:themeColor="background1"/>
              <w:bottom w:val="single" w:sz="4" w:space="0" w:color="B4C6E7" w:themeColor="accent5" w:themeTint="66"/>
              <w:right w:val="nil"/>
            </w:tcBorders>
            <w:shd w:val="clear" w:color="auto" w:fill="FFFFFF" w:themeFill="background1"/>
            <w:vAlign w:val="center"/>
          </w:tcPr>
          <w:p w14:paraId="2A3E0DFD" w14:textId="5B4866D0" w:rsidR="00991B6C" w:rsidRPr="004772DE" w:rsidRDefault="0050640A" w:rsidP="006D24CC">
            <w:pPr>
              <w:spacing w:line="276" w:lineRule="auto"/>
              <w:rPr>
                <w:rFonts w:asciiTheme="majorHAnsi" w:hAnsiTheme="majorHAnsi" w:cstheme="majorHAnsi"/>
                <w:b/>
                <w:color w:val="FF0000"/>
                <w:sz w:val="18"/>
                <w:szCs w:val="18"/>
              </w:rPr>
            </w:pPr>
            <w:r w:rsidRPr="004772DE">
              <w:rPr>
                <w:rFonts w:asciiTheme="majorHAnsi" w:hAnsiTheme="majorHAnsi" w:cstheme="majorHAnsi"/>
                <w:color w:val="FF0000"/>
                <w:sz w:val="18"/>
                <w:szCs w:val="18"/>
              </w:rPr>
              <w:t>Renowacja</w:t>
            </w:r>
            <w:r w:rsidR="00991B6C" w:rsidRPr="004772DE">
              <w:rPr>
                <w:rFonts w:asciiTheme="majorHAnsi" w:hAnsiTheme="majorHAnsi" w:cstheme="majorHAnsi"/>
                <w:b/>
                <w:color w:val="FF0000"/>
                <w:sz w:val="18"/>
                <w:szCs w:val="18"/>
              </w:rPr>
              <w:t xml:space="preserve"> </w:t>
            </w:r>
            <w:r w:rsidRPr="004772DE">
              <w:rPr>
                <w:rFonts w:asciiTheme="majorHAnsi" w:hAnsiTheme="majorHAnsi" w:cstheme="majorHAnsi"/>
                <w:color w:val="FF0000"/>
                <w:sz w:val="18"/>
                <w:szCs w:val="18"/>
              </w:rPr>
              <w:t>budynków</w:t>
            </w:r>
            <w:r w:rsidR="00991B6C" w:rsidRPr="004772DE">
              <w:rPr>
                <w:rFonts w:asciiTheme="majorHAnsi" w:hAnsiTheme="majorHAnsi" w:cstheme="majorHAnsi"/>
                <w:b/>
                <w:color w:val="FF0000"/>
                <w:sz w:val="18"/>
                <w:szCs w:val="18"/>
              </w:rPr>
              <w:t xml:space="preserve"> </w:t>
            </w:r>
            <w:r w:rsidRPr="004772DE">
              <w:rPr>
                <w:rFonts w:asciiTheme="majorHAnsi" w:hAnsiTheme="majorHAnsi" w:cstheme="majorHAnsi"/>
                <w:color w:val="FF0000"/>
                <w:sz w:val="18"/>
                <w:szCs w:val="18"/>
              </w:rPr>
              <w:t>z myślą</w:t>
            </w:r>
            <w:r w:rsidR="00991B6C" w:rsidRPr="004772DE">
              <w:rPr>
                <w:rFonts w:asciiTheme="majorHAnsi" w:hAnsiTheme="majorHAnsi" w:cstheme="majorHAnsi"/>
                <w:b/>
                <w:color w:val="FF0000"/>
                <w:sz w:val="18"/>
                <w:szCs w:val="18"/>
              </w:rPr>
              <w:t xml:space="preserve"> </w:t>
            </w:r>
            <w:r w:rsidRPr="004772DE">
              <w:rPr>
                <w:rFonts w:asciiTheme="majorHAnsi" w:hAnsiTheme="majorHAnsi" w:cstheme="majorHAnsi"/>
                <w:color w:val="FF0000"/>
                <w:sz w:val="18"/>
                <w:szCs w:val="18"/>
              </w:rPr>
              <w:t>o bardziej</w:t>
            </w:r>
            <w:r w:rsidR="00991B6C" w:rsidRPr="004772DE">
              <w:rPr>
                <w:rFonts w:asciiTheme="majorHAnsi" w:hAnsiTheme="majorHAnsi" w:cstheme="majorHAnsi"/>
                <w:b/>
                <w:color w:val="FF0000"/>
                <w:sz w:val="18"/>
                <w:szCs w:val="18"/>
              </w:rPr>
              <w:t xml:space="preserve"> </w:t>
            </w:r>
            <w:r w:rsidRPr="004772DE">
              <w:rPr>
                <w:rFonts w:asciiTheme="majorHAnsi" w:hAnsiTheme="majorHAnsi" w:cstheme="majorHAnsi"/>
                <w:color w:val="FF0000"/>
                <w:sz w:val="18"/>
                <w:szCs w:val="18"/>
              </w:rPr>
              <w:t>ekologicznym</w:t>
            </w:r>
            <w:r w:rsidR="00991B6C" w:rsidRPr="004772DE">
              <w:rPr>
                <w:rFonts w:asciiTheme="majorHAnsi" w:hAnsiTheme="majorHAnsi" w:cstheme="majorHAnsi"/>
                <w:b/>
                <w:color w:val="FF0000"/>
                <w:sz w:val="18"/>
                <w:szCs w:val="18"/>
              </w:rPr>
              <w:t xml:space="preserve"> </w:t>
            </w:r>
            <w:r w:rsidRPr="004772DE">
              <w:rPr>
                <w:rFonts w:asciiTheme="majorHAnsi" w:hAnsiTheme="majorHAnsi" w:cstheme="majorHAnsi"/>
                <w:color w:val="FF0000"/>
                <w:sz w:val="18"/>
                <w:szCs w:val="18"/>
              </w:rPr>
              <w:t>stylu życia</w:t>
            </w:r>
          </w:p>
        </w:tc>
        <w:tc>
          <w:tcPr>
            <w:tcW w:w="847" w:type="dxa"/>
            <w:tcBorders>
              <w:top w:val="single" w:sz="24" w:space="0" w:color="FFFFFF" w:themeColor="background1"/>
              <w:left w:val="nil"/>
              <w:bottom w:val="single" w:sz="24" w:space="0" w:color="FFFFFF" w:themeColor="background1"/>
              <w:right w:val="single" w:sz="24" w:space="0" w:color="FFFFFF" w:themeColor="background1"/>
            </w:tcBorders>
            <w:shd w:val="clear" w:color="auto" w:fill="E6EECE"/>
            <w:vAlign w:val="center"/>
          </w:tcPr>
          <w:p w14:paraId="29AB6B84" w14:textId="31F308AF" w:rsidR="00991B6C" w:rsidRPr="004772DE" w:rsidRDefault="004772DE" w:rsidP="006D24CC">
            <w:pPr>
              <w:spacing w:line="276" w:lineRule="auto"/>
              <w:jc w:val="center"/>
              <w:rPr>
                <w:rFonts w:asciiTheme="majorHAnsi" w:hAnsiTheme="majorHAnsi" w:cstheme="majorHAnsi"/>
                <w:b/>
                <w:color w:val="FF0000"/>
                <w:sz w:val="18"/>
                <w:szCs w:val="18"/>
              </w:rPr>
            </w:pPr>
            <w:r>
              <w:rPr>
                <w:rFonts w:asciiTheme="majorHAnsi" w:hAnsiTheme="majorHAnsi" w:cstheme="majorHAnsi"/>
                <w:b/>
                <w:color w:val="FF0000"/>
                <w:sz w:val="18"/>
                <w:szCs w:val="18"/>
              </w:rPr>
              <w:t>Cel 2</w:t>
            </w:r>
          </w:p>
        </w:tc>
        <w:tc>
          <w:tcPr>
            <w:tcW w:w="3659" w:type="dxa"/>
            <w:tcBorders>
              <w:top w:val="dashed" w:sz="4" w:space="0" w:color="5AA2AE"/>
              <w:left w:val="single" w:sz="24" w:space="0" w:color="FFFFFF" w:themeColor="background1"/>
              <w:bottom w:val="single" w:sz="4" w:space="0" w:color="B4C6E7" w:themeColor="accent5" w:themeTint="66"/>
              <w:right w:val="single" w:sz="4" w:space="0" w:color="B4C6E7" w:themeColor="accent5" w:themeTint="66"/>
            </w:tcBorders>
            <w:shd w:val="clear" w:color="auto" w:fill="FFFFFF" w:themeFill="background1"/>
            <w:vAlign w:val="center"/>
          </w:tcPr>
          <w:p w14:paraId="77F804FA" w14:textId="77777777" w:rsidR="004772DE" w:rsidRPr="004772DE" w:rsidRDefault="004772DE" w:rsidP="004772DE">
            <w:pPr>
              <w:spacing w:line="276" w:lineRule="auto"/>
              <w:rPr>
                <w:rFonts w:asciiTheme="majorHAnsi" w:hAnsiTheme="majorHAnsi" w:cstheme="majorHAnsi"/>
                <w:b/>
                <w:color w:val="FF0000"/>
                <w:sz w:val="18"/>
                <w:szCs w:val="18"/>
              </w:rPr>
            </w:pPr>
            <w:r w:rsidRPr="004772DE">
              <w:rPr>
                <w:rFonts w:asciiTheme="majorHAnsi" w:hAnsiTheme="majorHAnsi" w:cstheme="majorHAnsi"/>
                <w:b/>
                <w:color w:val="FF0000"/>
                <w:sz w:val="18"/>
                <w:szCs w:val="18"/>
              </w:rPr>
              <w:t>Cel strategiczny 2.</w:t>
            </w:r>
          </w:p>
          <w:p w14:paraId="3048812B" w14:textId="73D5BA07" w:rsidR="00991B6C" w:rsidRPr="004772DE" w:rsidRDefault="004772DE" w:rsidP="004772DE">
            <w:pPr>
              <w:spacing w:line="276" w:lineRule="auto"/>
              <w:rPr>
                <w:rFonts w:asciiTheme="majorHAnsi" w:hAnsiTheme="majorHAnsi" w:cstheme="majorHAnsi"/>
                <w:color w:val="FF0000"/>
                <w:sz w:val="18"/>
                <w:szCs w:val="18"/>
              </w:rPr>
            </w:pPr>
            <w:r w:rsidRPr="004772DE">
              <w:rPr>
                <w:rFonts w:asciiTheme="majorHAnsi" w:hAnsiTheme="majorHAnsi" w:cstheme="majorHAnsi"/>
                <w:color w:val="FF0000"/>
                <w:sz w:val="18"/>
                <w:szCs w:val="18"/>
              </w:rPr>
              <w:t xml:space="preserve">Zapewnienie wysokiej jakości życia mieszkańców poprzez efektywną gospodarkę energetyczną, ochronę </w:t>
            </w:r>
            <w:r w:rsidR="00BB7C86">
              <w:rPr>
                <w:rFonts w:asciiTheme="majorHAnsi" w:hAnsiTheme="majorHAnsi" w:cstheme="majorHAnsi"/>
                <w:color w:val="FF0000"/>
                <w:sz w:val="18"/>
                <w:szCs w:val="18"/>
              </w:rPr>
              <w:t>ziemi</w:t>
            </w:r>
            <w:r w:rsidRPr="004772DE">
              <w:rPr>
                <w:rFonts w:asciiTheme="majorHAnsi" w:hAnsiTheme="majorHAnsi" w:cstheme="majorHAnsi"/>
                <w:color w:val="FF0000"/>
                <w:sz w:val="18"/>
                <w:szCs w:val="18"/>
              </w:rPr>
              <w:t>, powietrza i środowiska naturalnego</w:t>
            </w:r>
          </w:p>
        </w:tc>
      </w:tr>
      <w:tr w:rsidR="004772DE" w:rsidRPr="004772DE" w14:paraId="62A019E7" w14:textId="77777777" w:rsidTr="00957FD7">
        <w:trPr>
          <w:cnfStyle w:val="000000100000" w:firstRow="0" w:lastRow="0" w:firstColumn="0" w:lastColumn="0" w:oddVBand="0" w:evenVBand="0" w:oddHBand="1" w:evenHBand="0" w:firstRowFirstColumn="0" w:firstRowLastColumn="0" w:lastRowFirstColumn="0" w:lastRowLastColumn="0"/>
          <w:trHeight w:val="1417"/>
        </w:trPr>
        <w:tc>
          <w:tcPr>
            <w:tcW w:w="85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E6EECE"/>
            <w:vAlign w:val="center"/>
          </w:tcPr>
          <w:p w14:paraId="08553A3C" w14:textId="49DD81FA" w:rsidR="00991B6C" w:rsidRPr="004772DE" w:rsidRDefault="00991B6C" w:rsidP="006D24CC">
            <w:pPr>
              <w:spacing w:line="276" w:lineRule="auto"/>
              <w:jc w:val="center"/>
              <w:rPr>
                <w:rFonts w:asciiTheme="majorHAnsi" w:hAnsiTheme="majorHAnsi" w:cstheme="majorHAnsi"/>
                <w:b/>
                <w:color w:val="FF0000"/>
                <w:sz w:val="18"/>
                <w:szCs w:val="18"/>
              </w:rPr>
            </w:pPr>
            <w:r w:rsidRPr="004772DE">
              <w:rPr>
                <w:rFonts w:asciiTheme="majorHAnsi" w:hAnsiTheme="majorHAnsi" w:cstheme="majorHAnsi"/>
                <w:b/>
                <w:color w:val="FF0000"/>
                <w:sz w:val="18"/>
                <w:szCs w:val="18"/>
              </w:rPr>
              <w:t>Cel V</w:t>
            </w:r>
          </w:p>
        </w:tc>
        <w:tc>
          <w:tcPr>
            <w:tcW w:w="3664" w:type="dxa"/>
            <w:tcBorders>
              <w:top w:val="dashed" w:sz="4" w:space="0" w:color="5AA2AE"/>
              <w:left w:val="single" w:sz="24" w:space="0" w:color="FFFFFF" w:themeColor="background1"/>
              <w:bottom w:val="single" w:sz="4" w:space="0" w:color="B4C6E7" w:themeColor="accent5" w:themeTint="66"/>
              <w:right w:val="nil"/>
            </w:tcBorders>
            <w:shd w:val="clear" w:color="auto" w:fill="FFFFFF" w:themeFill="background1"/>
            <w:vAlign w:val="center"/>
          </w:tcPr>
          <w:p w14:paraId="48A7B6AF" w14:textId="1820FBE0" w:rsidR="00991B6C" w:rsidRPr="004772DE" w:rsidRDefault="0050640A" w:rsidP="006D24CC">
            <w:pPr>
              <w:spacing w:line="276" w:lineRule="auto"/>
              <w:rPr>
                <w:rFonts w:asciiTheme="majorHAnsi" w:hAnsiTheme="majorHAnsi" w:cstheme="majorHAnsi"/>
                <w:b/>
                <w:color w:val="FF0000"/>
                <w:sz w:val="18"/>
                <w:szCs w:val="18"/>
              </w:rPr>
            </w:pPr>
            <w:r w:rsidRPr="004772DE">
              <w:rPr>
                <w:rFonts w:asciiTheme="majorHAnsi" w:hAnsiTheme="majorHAnsi" w:cstheme="majorHAnsi"/>
                <w:color w:val="FF0000"/>
                <w:sz w:val="18"/>
                <w:szCs w:val="18"/>
              </w:rPr>
              <w:t>Działanie</w:t>
            </w:r>
            <w:r w:rsidR="00991B6C" w:rsidRPr="004772DE">
              <w:rPr>
                <w:rFonts w:asciiTheme="majorHAnsi" w:hAnsiTheme="majorHAnsi" w:cstheme="majorHAnsi"/>
                <w:b/>
                <w:color w:val="FF0000"/>
                <w:sz w:val="18"/>
                <w:szCs w:val="18"/>
              </w:rPr>
              <w:t xml:space="preserve"> </w:t>
            </w:r>
            <w:r w:rsidRPr="004772DE">
              <w:rPr>
                <w:rFonts w:asciiTheme="majorHAnsi" w:hAnsiTheme="majorHAnsi" w:cstheme="majorHAnsi"/>
                <w:color w:val="FF0000"/>
                <w:sz w:val="18"/>
                <w:szCs w:val="18"/>
              </w:rPr>
              <w:t>w zgodzie</w:t>
            </w:r>
            <w:r w:rsidR="00991B6C" w:rsidRPr="004772DE">
              <w:rPr>
                <w:rFonts w:asciiTheme="majorHAnsi" w:hAnsiTheme="majorHAnsi" w:cstheme="majorHAnsi"/>
                <w:b/>
                <w:color w:val="FF0000"/>
                <w:sz w:val="18"/>
                <w:szCs w:val="18"/>
              </w:rPr>
              <w:t xml:space="preserve"> </w:t>
            </w:r>
            <w:r w:rsidRPr="004772DE">
              <w:rPr>
                <w:rFonts w:asciiTheme="majorHAnsi" w:hAnsiTheme="majorHAnsi" w:cstheme="majorHAnsi"/>
                <w:color w:val="FF0000"/>
                <w:sz w:val="18"/>
                <w:szCs w:val="18"/>
              </w:rPr>
              <w:t>z przyrodą</w:t>
            </w:r>
            <w:r w:rsidR="00991B6C" w:rsidRPr="004772DE">
              <w:rPr>
                <w:rFonts w:asciiTheme="majorHAnsi" w:hAnsiTheme="majorHAnsi" w:cstheme="majorHAnsi"/>
                <w:b/>
                <w:color w:val="FF0000"/>
                <w:sz w:val="18"/>
                <w:szCs w:val="18"/>
              </w:rPr>
              <w:t xml:space="preserve"> </w:t>
            </w:r>
            <w:r w:rsidRPr="004772DE">
              <w:rPr>
                <w:rFonts w:asciiTheme="majorHAnsi" w:hAnsiTheme="majorHAnsi" w:cstheme="majorHAnsi"/>
                <w:color w:val="FF0000"/>
                <w:sz w:val="18"/>
                <w:szCs w:val="18"/>
              </w:rPr>
              <w:t>w celu ochrony</w:t>
            </w:r>
            <w:r w:rsidR="00991B6C" w:rsidRPr="004772DE">
              <w:rPr>
                <w:rFonts w:asciiTheme="majorHAnsi" w:hAnsiTheme="majorHAnsi" w:cstheme="majorHAnsi"/>
                <w:b/>
                <w:color w:val="FF0000"/>
                <w:sz w:val="18"/>
                <w:szCs w:val="18"/>
              </w:rPr>
              <w:t xml:space="preserve"> </w:t>
            </w:r>
            <w:r w:rsidRPr="004772DE">
              <w:rPr>
                <w:rFonts w:asciiTheme="majorHAnsi" w:hAnsiTheme="majorHAnsi" w:cstheme="majorHAnsi"/>
                <w:color w:val="FF0000"/>
                <w:sz w:val="18"/>
                <w:szCs w:val="18"/>
              </w:rPr>
              <w:t>naszej planety</w:t>
            </w:r>
            <w:r w:rsidR="00991B6C" w:rsidRPr="004772DE">
              <w:rPr>
                <w:rFonts w:asciiTheme="majorHAnsi" w:hAnsiTheme="majorHAnsi" w:cstheme="majorHAnsi"/>
                <w:b/>
                <w:color w:val="FF0000"/>
                <w:sz w:val="18"/>
                <w:szCs w:val="18"/>
              </w:rPr>
              <w:t xml:space="preserve"> </w:t>
            </w:r>
            <w:r w:rsidRPr="004772DE">
              <w:rPr>
                <w:rFonts w:asciiTheme="majorHAnsi" w:hAnsiTheme="majorHAnsi" w:cstheme="majorHAnsi"/>
                <w:color w:val="FF0000"/>
                <w:sz w:val="18"/>
                <w:szCs w:val="18"/>
              </w:rPr>
              <w:t>i zdrowia</w:t>
            </w:r>
          </w:p>
        </w:tc>
        <w:tc>
          <w:tcPr>
            <w:tcW w:w="847" w:type="dxa"/>
            <w:tcBorders>
              <w:top w:val="single" w:sz="24" w:space="0" w:color="FFFFFF" w:themeColor="background1"/>
              <w:left w:val="nil"/>
              <w:bottom w:val="single" w:sz="24" w:space="0" w:color="FFFFFF" w:themeColor="background1"/>
              <w:right w:val="single" w:sz="24" w:space="0" w:color="FFFFFF" w:themeColor="background1"/>
            </w:tcBorders>
            <w:shd w:val="clear" w:color="auto" w:fill="E6EECE"/>
            <w:vAlign w:val="center"/>
          </w:tcPr>
          <w:p w14:paraId="65183BD4" w14:textId="53A0EE9A" w:rsidR="00991B6C" w:rsidRPr="004772DE" w:rsidRDefault="004772DE" w:rsidP="006D24CC">
            <w:pPr>
              <w:spacing w:line="276" w:lineRule="auto"/>
              <w:jc w:val="center"/>
              <w:rPr>
                <w:rFonts w:asciiTheme="majorHAnsi" w:hAnsiTheme="majorHAnsi" w:cstheme="majorHAnsi"/>
                <w:b/>
                <w:color w:val="FF0000"/>
                <w:sz w:val="18"/>
                <w:szCs w:val="18"/>
              </w:rPr>
            </w:pPr>
            <w:r>
              <w:rPr>
                <w:rFonts w:asciiTheme="majorHAnsi" w:hAnsiTheme="majorHAnsi" w:cstheme="majorHAnsi"/>
                <w:b/>
                <w:color w:val="FF0000"/>
                <w:sz w:val="18"/>
                <w:szCs w:val="18"/>
              </w:rPr>
              <w:t>Cel 2</w:t>
            </w:r>
          </w:p>
        </w:tc>
        <w:tc>
          <w:tcPr>
            <w:tcW w:w="3659" w:type="dxa"/>
            <w:tcBorders>
              <w:top w:val="dashed" w:sz="4" w:space="0" w:color="5AA2AE"/>
              <w:left w:val="single" w:sz="24" w:space="0" w:color="FFFFFF" w:themeColor="background1"/>
              <w:bottom w:val="single" w:sz="4" w:space="0" w:color="B4C6E7" w:themeColor="accent5" w:themeTint="66"/>
              <w:right w:val="single" w:sz="4" w:space="0" w:color="B4C6E7" w:themeColor="accent5" w:themeTint="66"/>
            </w:tcBorders>
            <w:shd w:val="clear" w:color="auto" w:fill="FFFFFF" w:themeFill="background1"/>
            <w:vAlign w:val="center"/>
          </w:tcPr>
          <w:p w14:paraId="1DE98B53" w14:textId="77777777" w:rsidR="004772DE" w:rsidRPr="004772DE" w:rsidRDefault="004772DE" w:rsidP="004772DE">
            <w:pPr>
              <w:spacing w:line="276" w:lineRule="auto"/>
              <w:rPr>
                <w:rFonts w:asciiTheme="majorHAnsi" w:hAnsiTheme="majorHAnsi" w:cstheme="majorHAnsi"/>
                <w:b/>
                <w:color w:val="FF0000"/>
                <w:sz w:val="18"/>
                <w:szCs w:val="18"/>
              </w:rPr>
            </w:pPr>
            <w:r w:rsidRPr="004772DE">
              <w:rPr>
                <w:rFonts w:asciiTheme="majorHAnsi" w:hAnsiTheme="majorHAnsi" w:cstheme="majorHAnsi"/>
                <w:b/>
                <w:color w:val="FF0000"/>
                <w:sz w:val="18"/>
                <w:szCs w:val="18"/>
              </w:rPr>
              <w:t>Cel strategiczny 2.</w:t>
            </w:r>
          </w:p>
          <w:p w14:paraId="6DBC0F33" w14:textId="05A0546B" w:rsidR="00991B6C" w:rsidRPr="004772DE" w:rsidRDefault="004772DE" w:rsidP="004772DE">
            <w:pPr>
              <w:spacing w:line="276" w:lineRule="auto"/>
              <w:rPr>
                <w:rFonts w:asciiTheme="majorHAnsi" w:hAnsiTheme="majorHAnsi" w:cstheme="majorHAnsi"/>
                <w:b/>
                <w:color w:val="FF0000"/>
                <w:sz w:val="18"/>
                <w:szCs w:val="18"/>
              </w:rPr>
            </w:pPr>
            <w:r w:rsidRPr="004772DE">
              <w:rPr>
                <w:rFonts w:asciiTheme="majorHAnsi" w:hAnsiTheme="majorHAnsi" w:cstheme="majorHAnsi"/>
                <w:color w:val="FF0000"/>
                <w:sz w:val="18"/>
                <w:szCs w:val="18"/>
              </w:rPr>
              <w:t xml:space="preserve">Zapewnienie wysokiej jakości życia mieszkańców poprzez efektywną gospodarkę energetyczną, ochronę </w:t>
            </w:r>
            <w:r w:rsidR="00BB7C86">
              <w:rPr>
                <w:rFonts w:asciiTheme="majorHAnsi" w:hAnsiTheme="majorHAnsi" w:cstheme="majorHAnsi"/>
                <w:color w:val="FF0000"/>
                <w:sz w:val="18"/>
                <w:szCs w:val="18"/>
              </w:rPr>
              <w:t>ziemi</w:t>
            </w:r>
            <w:r w:rsidRPr="004772DE">
              <w:rPr>
                <w:rFonts w:asciiTheme="majorHAnsi" w:hAnsiTheme="majorHAnsi" w:cstheme="majorHAnsi"/>
                <w:color w:val="FF0000"/>
                <w:sz w:val="18"/>
                <w:szCs w:val="18"/>
              </w:rPr>
              <w:t>, powietrza i środowiska naturalnego</w:t>
            </w:r>
          </w:p>
        </w:tc>
      </w:tr>
      <w:tr w:rsidR="004772DE" w:rsidRPr="004772DE" w14:paraId="4183BF14" w14:textId="77777777" w:rsidTr="00957FD7">
        <w:trPr>
          <w:trHeight w:val="1417"/>
        </w:trPr>
        <w:tc>
          <w:tcPr>
            <w:tcW w:w="85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E6EECE"/>
            <w:vAlign w:val="center"/>
          </w:tcPr>
          <w:p w14:paraId="452D2952" w14:textId="719D1C95" w:rsidR="00991B6C" w:rsidRPr="004772DE" w:rsidRDefault="00991B6C" w:rsidP="006D24CC">
            <w:pPr>
              <w:spacing w:line="276" w:lineRule="auto"/>
              <w:jc w:val="center"/>
              <w:rPr>
                <w:rFonts w:asciiTheme="majorHAnsi" w:hAnsiTheme="majorHAnsi" w:cstheme="majorHAnsi"/>
                <w:b/>
                <w:color w:val="FF0000"/>
                <w:sz w:val="18"/>
                <w:szCs w:val="18"/>
              </w:rPr>
            </w:pPr>
            <w:r w:rsidRPr="004772DE">
              <w:rPr>
                <w:rFonts w:asciiTheme="majorHAnsi" w:hAnsiTheme="majorHAnsi" w:cstheme="majorHAnsi"/>
                <w:b/>
                <w:color w:val="FF0000"/>
                <w:sz w:val="18"/>
                <w:szCs w:val="18"/>
              </w:rPr>
              <w:t>Cel VI</w:t>
            </w:r>
          </w:p>
        </w:tc>
        <w:tc>
          <w:tcPr>
            <w:tcW w:w="3664" w:type="dxa"/>
            <w:tcBorders>
              <w:top w:val="dashed" w:sz="4" w:space="0" w:color="5AA2AE"/>
              <w:left w:val="single" w:sz="24" w:space="0" w:color="FFFFFF" w:themeColor="background1"/>
              <w:bottom w:val="single" w:sz="4" w:space="0" w:color="B4C6E7" w:themeColor="accent5" w:themeTint="66"/>
              <w:right w:val="nil"/>
            </w:tcBorders>
            <w:shd w:val="clear" w:color="auto" w:fill="FFFFFF" w:themeFill="background1"/>
            <w:vAlign w:val="center"/>
          </w:tcPr>
          <w:p w14:paraId="70971A75" w14:textId="7A01E3B5" w:rsidR="00991B6C" w:rsidRPr="004772DE" w:rsidRDefault="0050640A" w:rsidP="006D24CC">
            <w:pPr>
              <w:spacing w:line="276" w:lineRule="auto"/>
              <w:rPr>
                <w:rFonts w:asciiTheme="majorHAnsi" w:hAnsiTheme="majorHAnsi" w:cstheme="majorHAnsi"/>
                <w:b/>
                <w:color w:val="FF0000"/>
                <w:sz w:val="18"/>
                <w:szCs w:val="18"/>
              </w:rPr>
            </w:pPr>
            <w:r w:rsidRPr="004772DE">
              <w:rPr>
                <w:rFonts w:asciiTheme="majorHAnsi" w:hAnsiTheme="majorHAnsi" w:cstheme="majorHAnsi"/>
                <w:color w:val="FF0000"/>
                <w:sz w:val="18"/>
                <w:szCs w:val="18"/>
              </w:rPr>
              <w:t>Pobudzanie</w:t>
            </w:r>
            <w:r w:rsidR="00991B6C" w:rsidRPr="004772DE">
              <w:rPr>
                <w:rFonts w:asciiTheme="majorHAnsi" w:hAnsiTheme="majorHAnsi" w:cstheme="majorHAnsi"/>
                <w:b/>
                <w:color w:val="FF0000"/>
                <w:sz w:val="18"/>
                <w:szCs w:val="18"/>
              </w:rPr>
              <w:t xml:space="preserve"> </w:t>
            </w:r>
            <w:r w:rsidRPr="004772DE">
              <w:rPr>
                <w:rFonts w:asciiTheme="majorHAnsi" w:hAnsiTheme="majorHAnsi" w:cstheme="majorHAnsi"/>
                <w:color w:val="FF0000"/>
                <w:sz w:val="18"/>
                <w:szCs w:val="18"/>
              </w:rPr>
              <w:t>globalnych</w:t>
            </w:r>
            <w:r w:rsidR="00991B6C" w:rsidRPr="004772DE">
              <w:rPr>
                <w:rFonts w:asciiTheme="majorHAnsi" w:hAnsiTheme="majorHAnsi" w:cstheme="majorHAnsi"/>
                <w:b/>
                <w:color w:val="FF0000"/>
                <w:sz w:val="18"/>
                <w:szCs w:val="18"/>
              </w:rPr>
              <w:t xml:space="preserve"> </w:t>
            </w:r>
            <w:r w:rsidRPr="004772DE">
              <w:rPr>
                <w:rFonts w:asciiTheme="majorHAnsi" w:hAnsiTheme="majorHAnsi" w:cstheme="majorHAnsi"/>
                <w:color w:val="FF0000"/>
                <w:sz w:val="18"/>
                <w:szCs w:val="18"/>
              </w:rPr>
              <w:t>działań</w:t>
            </w:r>
            <w:r w:rsidR="00991B6C" w:rsidRPr="004772DE">
              <w:rPr>
                <w:rFonts w:asciiTheme="majorHAnsi" w:hAnsiTheme="majorHAnsi" w:cstheme="majorHAnsi"/>
                <w:b/>
                <w:color w:val="FF0000"/>
                <w:sz w:val="18"/>
                <w:szCs w:val="18"/>
              </w:rPr>
              <w:t xml:space="preserve"> </w:t>
            </w:r>
            <w:r w:rsidRPr="004772DE">
              <w:rPr>
                <w:rFonts w:asciiTheme="majorHAnsi" w:hAnsiTheme="majorHAnsi" w:cstheme="majorHAnsi"/>
                <w:color w:val="FF0000"/>
                <w:sz w:val="18"/>
                <w:szCs w:val="18"/>
              </w:rPr>
              <w:t>w dziedzinie</w:t>
            </w:r>
            <w:r w:rsidR="00991B6C" w:rsidRPr="004772DE">
              <w:rPr>
                <w:rFonts w:asciiTheme="majorHAnsi" w:hAnsiTheme="majorHAnsi" w:cstheme="majorHAnsi"/>
                <w:b/>
                <w:color w:val="FF0000"/>
                <w:sz w:val="18"/>
                <w:szCs w:val="18"/>
              </w:rPr>
              <w:t xml:space="preserve"> </w:t>
            </w:r>
            <w:r w:rsidRPr="004772DE">
              <w:rPr>
                <w:rFonts w:asciiTheme="majorHAnsi" w:hAnsiTheme="majorHAnsi" w:cstheme="majorHAnsi"/>
                <w:color w:val="FF0000"/>
                <w:sz w:val="18"/>
                <w:szCs w:val="18"/>
              </w:rPr>
              <w:t>klimatu</w:t>
            </w:r>
          </w:p>
        </w:tc>
        <w:tc>
          <w:tcPr>
            <w:tcW w:w="847" w:type="dxa"/>
            <w:tcBorders>
              <w:top w:val="single" w:sz="24" w:space="0" w:color="FFFFFF" w:themeColor="background1"/>
              <w:left w:val="nil"/>
              <w:bottom w:val="single" w:sz="24" w:space="0" w:color="FFFFFF" w:themeColor="background1"/>
              <w:right w:val="single" w:sz="24" w:space="0" w:color="FFFFFF" w:themeColor="background1"/>
            </w:tcBorders>
            <w:shd w:val="clear" w:color="auto" w:fill="E6EECE"/>
            <w:vAlign w:val="center"/>
          </w:tcPr>
          <w:p w14:paraId="6FDEFB61" w14:textId="5FEE594B" w:rsidR="00991B6C" w:rsidRPr="004772DE" w:rsidRDefault="004772DE" w:rsidP="006D24CC">
            <w:pPr>
              <w:spacing w:line="276" w:lineRule="auto"/>
              <w:jc w:val="center"/>
              <w:rPr>
                <w:rFonts w:asciiTheme="majorHAnsi" w:hAnsiTheme="majorHAnsi" w:cstheme="majorHAnsi"/>
                <w:b/>
                <w:color w:val="FF0000"/>
                <w:sz w:val="18"/>
                <w:szCs w:val="18"/>
              </w:rPr>
            </w:pPr>
            <w:r>
              <w:rPr>
                <w:rFonts w:asciiTheme="majorHAnsi" w:hAnsiTheme="majorHAnsi" w:cstheme="majorHAnsi"/>
                <w:b/>
                <w:color w:val="FF0000"/>
                <w:sz w:val="18"/>
                <w:szCs w:val="18"/>
              </w:rPr>
              <w:t>Cel 2</w:t>
            </w:r>
          </w:p>
        </w:tc>
        <w:tc>
          <w:tcPr>
            <w:tcW w:w="3659" w:type="dxa"/>
            <w:tcBorders>
              <w:top w:val="dashed" w:sz="4" w:space="0" w:color="5AA2AE"/>
              <w:left w:val="single" w:sz="24" w:space="0" w:color="FFFFFF" w:themeColor="background1"/>
              <w:bottom w:val="single" w:sz="4" w:space="0" w:color="B4C6E7" w:themeColor="accent5" w:themeTint="66"/>
              <w:right w:val="single" w:sz="4" w:space="0" w:color="B4C6E7" w:themeColor="accent5" w:themeTint="66"/>
            </w:tcBorders>
            <w:shd w:val="clear" w:color="auto" w:fill="FFFFFF" w:themeFill="background1"/>
            <w:vAlign w:val="center"/>
          </w:tcPr>
          <w:p w14:paraId="4DCE9121" w14:textId="77777777" w:rsidR="004772DE" w:rsidRPr="004772DE" w:rsidRDefault="004772DE" w:rsidP="004772DE">
            <w:pPr>
              <w:spacing w:line="276" w:lineRule="auto"/>
              <w:rPr>
                <w:rFonts w:asciiTheme="majorHAnsi" w:hAnsiTheme="majorHAnsi" w:cstheme="majorHAnsi"/>
                <w:b/>
                <w:color w:val="FF0000"/>
                <w:sz w:val="18"/>
                <w:szCs w:val="18"/>
              </w:rPr>
            </w:pPr>
            <w:r w:rsidRPr="004772DE">
              <w:rPr>
                <w:rFonts w:asciiTheme="majorHAnsi" w:hAnsiTheme="majorHAnsi" w:cstheme="majorHAnsi"/>
                <w:b/>
                <w:color w:val="FF0000"/>
                <w:sz w:val="18"/>
                <w:szCs w:val="18"/>
              </w:rPr>
              <w:t>Cel strategiczny 2.</w:t>
            </w:r>
          </w:p>
          <w:p w14:paraId="585EA243" w14:textId="2F7D6F4E" w:rsidR="00991B6C" w:rsidRPr="004772DE" w:rsidRDefault="004772DE" w:rsidP="004772DE">
            <w:pPr>
              <w:spacing w:line="276" w:lineRule="auto"/>
              <w:rPr>
                <w:rFonts w:asciiTheme="majorHAnsi" w:hAnsiTheme="majorHAnsi" w:cstheme="majorHAnsi"/>
                <w:b/>
                <w:color w:val="FF0000"/>
                <w:sz w:val="18"/>
                <w:szCs w:val="18"/>
              </w:rPr>
            </w:pPr>
            <w:r w:rsidRPr="004772DE">
              <w:rPr>
                <w:rFonts w:asciiTheme="majorHAnsi" w:hAnsiTheme="majorHAnsi" w:cstheme="majorHAnsi"/>
                <w:color w:val="FF0000"/>
                <w:sz w:val="18"/>
                <w:szCs w:val="18"/>
              </w:rPr>
              <w:t xml:space="preserve">Zapewnienie wysokiej jakości życia mieszkańców poprzez efektywną gospodarkę energetyczną, ochronę </w:t>
            </w:r>
            <w:r w:rsidR="00BB7C86">
              <w:rPr>
                <w:rFonts w:asciiTheme="majorHAnsi" w:hAnsiTheme="majorHAnsi" w:cstheme="majorHAnsi"/>
                <w:color w:val="FF0000"/>
                <w:sz w:val="18"/>
                <w:szCs w:val="18"/>
              </w:rPr>
              <w:t>ziemi</w:t>
            </w:r>
            <w:r w:rsidRPr="004772DE">
              <w:rPr>
                <w:rFonts w:asciiTheme="majorHAnsi" w:hAnsiTheme="majorHAnsi" w:cstheme="majorHAnsi"/>
                <w:color w:val="FF0000"/>
                <w:sz w:val="18"/>
                <w:szCs w:val="18"/>
              </w:rPr>
              <w:t>, powietrza i środowiska naturalnego</w:t>
            </w:r>
          </w:p>
        </w:tc>
      </w:tr>
    </w:tbl>
    <w:p w14:paraId="04239707" w14:textId="77777777" w:rsidR="00991B6C" w:rsidRDefault="00991B6C" w:rsidP="00094ACC">
      <w:pPr>
        <w:pStyle w:val="wyr"/>
        <w:spacing w:line="276" w:lineRule="auto"/>
        <w:rPr>
          <w:rFonts w:asciiTheme="majorHAnsi" w:eastAsiaTheme="minorHAnsi" w:hAnsiTheme="majorHAnsi" w:cstheme="majorHAnsi"/>
          <w:b w:val="0"/>
          <w:color w:val="auto"/>
          <w:szCs w:val="20"/>
        </w:rPr>
      </w:pPr>
    </w:p>
    <w:p w14:paraId="42148DD8" w14:textId="77777777" w:rsidR="00094ACC" w:rsidRDefault="00094ACC" w:rsidP="00094ACC">
      <w:pPr>
        <w:pStyle w:val="wyr"/>
        <w:spacing w:line="276" w:lineRule="auto"/>
        <w:rPr>
          <w:rFonts w:asciiTheme="majorHAnsi" w:hAnsiTheme="majorHAnsi" w:cstheme="majorHAnsi"/>
          <w:color w:val="A5C249"/>
        </w:rPr>
      </w:pPr>
      <w:r>
        <w:rPr>
          <w:rFonts w:asciiTheme="majorHAnsi" w:hAnsiTheme="majorHAnsi" w:cstheme="majorHAnsi"/>
          <w:color w:val="A5C249"/>
        </w:rPr>
        <w:t>Strategia Europa 2020</w:t>
      </w:r>
    </w:p>
    <w:p w14:paraId="2992694B" w14:textId="556919F1" w:rsidR="00094ACC" w:rsidRDefault="00094ACC" w:rsidP="00094ACC">
      <w:pPr>
        <w:spacing w:line="276" w:lineRule="auto"/>
        <w:jc w:val="both"/>
        <w:rPr>
          <w:rFonts w:asciiTheme="majorHAnsi" w:hAnsiTheme="majorHAnsi" w:cstheme="majorHAnsi"/>
          <w:szCs w:val="20"/>
        </w:rPr>
      </w:pPr>
      <w:r>
        <w:rPr>
          <w:rFonts w:asciiTheme="majorHAnsi" w:hAnsiTheme="majorHAnsi" w:cstheme="majorHAnsi"/>
          <w:szCs w:val="20"/>
        </w:rPr>
        <w:t>Kluczowe założenia zawarte w Strategii są zgodne z z</w:t>
      </w:r>
      <w:r w:rsidR="00D64A8E">
        <w:rPr>
          <w:rFonts w:asciiTheme="majorHAnsi" w:hAnsiTheme="majorHAnsi" w:cstheme="majorHAnsi"/>
          <w:szCs w:val="20"/>
        </w:rPr>
        <w:t xml:space="preserve">apisami </w:t>
      </w:r>
      <w:r>
        <w:rPr>
          <w:rFonts w:asciiTheme="majorHAnsi" w:hAnsiTheme="majorHAnsi" w:cstheme="majorHAnsi"/>
          <w:i/>
          <w:szCs w:val="20"/>
        </w:rPr>
        <w:t>Strategii Europa 2020</w:t>
      </w:r>
      <w:r>
        <w:rPr>
          <w:rFonts w:asciiTheme="majorHAnsi" w:hAnsiTheme="majorHAnsi" w:cstheme="majorHAnsi"/>
          <w:szCs w:val="20"/>
        </w:rPr>
        <w:t xml:space="preserve">. Cele strategiczne 1, 2 i 3 są zgodne z priorytetem </w:t>
      </w:r>
      <w:r>
        <w:rPr>
          <w:rFonts w:asciiTheme="majorHAnsi" w:hAnsiTheme="majorHAnsi" w:cstheme="majorHAnsi"/>
          <w:i/>
          <w:szCs w:val="20"/>
        </w:rPr>
        <w:t>Strategii Europa 2020</w:t>
      </w:r>
      <w:r>
        <w:rPr>
          <w:rFonts w:asciiTheme="majorHAnsi" w:hAnsiTheme="majorHAnsi" w:cstheme="majorHAnsi"/>
          <w:szCs w:val="20"/>
        </w:rPr>
        <w:t xml:space="preserve"> jakim jest wzrost zrównoważony: wspieranie efektywnej, korzystającej z zasobów, bardziej przyjaznej środowisku i bardziej konkurencyjnej gospodarki. Cel rozwojowy 5 </w:t>
      </w:r>
      <w:r w:rsidR="007A6236">
        <w:rPr>
          <w:rFonts w:asciiTheme="majorHAnsi" w:hAnsiTheme="majorHAnsi" w:cstheme="majorHAnsi"/>
          <w:szCs w:val="20"/>
        </w:rPr>
        <w:t xml:space="preserve">Strategii </w:t>
      </w:r>
      <w:r>
        <w:rPr>
          <w:rFonts w:asciiTheme="majorHAnsi" w:hAnsiTheme="majorHAnsi" w:cstheme="majorHAnsi"/>
          <w:szCs w:val="20"/>
        </w:rPr>
        <w:t xml:space="preserve">wpisuje się w priorytet: rozwój sprzyjający włączeniu społecznemu: wspieranie gospodarki o wysokim poziomie zatrudnienia, zapewniającej spójność społeczną i terytorialną. </w:t>
      </w:r>
    </w:p>
    <w:tbl>
      <w:tblPr>
        <w:tblStyle w:val="Tabelasiatki5ciemnaakcent51"/>
        <w:tblW w:w="0" w:type="auto"/>
        <w:tblLook w:val="0420" w:firstRow="1" w:lastRow="0" w:firstColumn="0" w:lastColumn="0" w:noHBand="0" w:noVBand="1"/>
      </w:tblPr>
      <w:tblGrid>
        <w:gridCol w:w="854"/>
        <w:gridCol w:w="3664"/>
        <w:gridCol w:w="847"/>
        <w:gridCol w:w="3659"/>
      </w:tblGrid>
      <w:tr w:rsidR="00094ACC" w:rsidRPr="00754765" w14:paraId="45C6A499" w14:textId="77777777" w:rsidTr="00094ACC">
        <w:trPr>
          <w:cnfStyle w:val="100000000000" w:firstRow="1" w:lastRow="0" w:firstColumn="0" w:lastColumn="0" w:oddVBand="0" w:evenVBand="0" w:oddHBand="0" w:evenHBand="0" w:firstRowFirstColumn="0" w:firstRowLastColumn="0" w:lastRowFirstColumn="0" w:lastRowLastColumn="0"/>
          <w:trHeight w:val="340"/>
          <w:tblHeader/>
        </w:trPr>
        <w:tc>
          <w:tcPr>
            <w:tcW w:w="4519"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A5C249"/>
            <w:vAlign w:val="center"/>
            <w:hideMark/>
          </w:tcPr>
          <w:p w14:paraId="70DE2335" w14:textId="77777777" w:rsidR="00094ACC" w:rsidRPr="00754765" w:rsidRDefault="00094ACC">
            <w:pPr>
              <w:pStyle w:val="wyr"/>
              <w:spacing w:before="0" w:line="276" w:lineRule="auto"/>
              <w:jc w:val="center"/>
              <w:rPr>
                <w:rFonts w:asciiTheme="majorHAnsi" w:hAnsiTheme="majorHAnsi" w:cstheme="majorHAnsi"/>
                <w:b/>
                <w:color w:val="FFFFFF" w:themeColor="background1"/>
                <w:sz w:val="18"/>
                <w:szCs w:val="18"/>
              </w:rPr>
            </w:pPr>
            <w:r w:rsidRPr="00754765">
              <w:rPr>
                <w:rFonts w:asciiTheme="majorHAnsi" w:hAnsiTheme="majorHAnsi" w:cstheme="majorHAnsi"/>
                <w:b/>
                <w:color w:val="FFFFFF" w:themeColor="background1"/>
                <w:sz w:val="18"/>
                <w:szCs w:val="18"/>
              </w:rPr>
              <w:lastRenderedPageBreak/>
              <w:t>Strategia Europa 2020</w:t>
            </w:r>
          </w:p>
        </w:tc>
        <w:tc>
          <w:tcPr>
            <w:tcW w:w="4507"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A5C249"/>
            <w:vAlign w:val="center"/>
            <w:hideMark/>
          </w:tcPr>
          <w:p w14:paraId="14F9949A" w14:textId="77777777" w:rsidR="00094ACC" w:rsidRPr="00754765" w:rsidRDefault="00094ACC">
            <w:pPr>
              <w:spacing w:line="276" w:lineRule="auto"/>
              <w:jc w:val="center"/>
              <w:rPr>
                <w:rFonts w:asciiTheme="majorHAnsi" w:hAnsiTheme="majorHAnsi" w:cstheme="majorHAnsi"/>
                <w:sz w:val="18"/>
                <w:szCs w:val="18"/>
              </w:rPr>
            </w:pPr>
            <w:r w:rsidRPr="00754765">
              <w:rPr>
                <w:rFonts w:asciiTheme="majorHAnsi" w:hAnsiTheme="majorHAnsi" w:cstheme="majorHAnsi"/>
                <w:sz w:val="18"/>
                <w:szCs w:val="18"/>
              </w:rPr>
              <w:t>Strategia Rozwoju Obszaru Funkcjonalnego Południowe Mazury 2030 /OF Południowe Mazury 2030/</w:t>
            </w:r>
          </w:p>
        </w:tc>
      </w:tr>
      <w:tr w:rsidR="00094ACC" w14:paraId="32FE1016" w14:textId="77777777" w:rsidTr="00094ACC">
        <w:trPr>
          <w:cnfStyle w:val="000000100000" w:firstRow="0" w:lastRow="0" w:firstColumn="0" w:lastColumn="0" w:oddVBand="0" w:evenVBand="0" w:oddHBand="1" w:evenHBand="0" w:firstRowFirstColumn="0" w:firstRowLastColumn="0" w:lastRowFirstColumn="0" w:lastRowLastColumn="0"/>
          <w:trHeight w:val="1134"/>
        </w:trPr>
        <w:tc>
          <w:tcPr>
            <w:tcW w:w="85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E6EECE"/>
            <w:vAlign w:val="center"/>
            <w:hideMark/>
          </w:tcPr>
          <w:p w14:paraId="70A55473" w14:textId="77777777" w:rsidR="00094ACC" w:rsidRDefault="00094ACC">
            <w:pPr>
              <w:spacing w:line="276" w:lineRule="auto"/>
              <w:jc w:val="center"/>
              <w:rPr>
                <w:rFonts w:asciiTheme="majorHAnsi" w:hAnsiTheme="majorHAnsi" w:cstheme="majorHAnsi"/>
                <w:b/>
                <w:color w:val="538135" w:themeColor="accent6" w:themeShade="BF"/>
                <w:sz w:val="18"/>
                <w:szCs w:val="18"/>
              </w:rPr>
            </w:pPr>
            <w:r>
              <w:rPr>
                <w:rFonts w:asciiTheme="majorHAnsi" w:hAnsiTheme="majorHAnsi" w:cstheme="majorHAnsi"/>
                <w:b/>
                <w:color w:val="538135" w:themeColor="accent6" w:themeShade="BF"/>
                <w:sz w:val="18"/>
                <w:szCs w:val="18"/>
              </w:rPr>
              <w:t>Cel II</w:t>
            </w:r>
          </w:p>
        </w:tc>
        <w:tc>
          <w:tcPr>
            <w:tcW w:w="3665" w:type="dxa"/>
            <w:tcBorders>
              <w:top w:val="dashed" w:sz="4" w:space="0" w:color="5AA2AE"/>
              <w:left w:val="single" w:sz="24" w:space="0" w:color="FFFFFF" w:themeColor="background1"/>
              <w:bottom w:val="dashed" w:sz="4" w:space="0" w:color="5AA2AE"/>
              <w:right w:val="nil"/>
            </w:tcBorders>
            <w:shd w:val="clear" w:color="auto" w:fill="FFFFFF" w:themeFill="background1"/>
            <w:vAlign w:val="center"/>
            <w:hideMark/>
          </w:tcPr>
          <w:p w14:paraId="11A5BBF0" w14:textId="77777777" w:rsidR="00094ACC" w:rsidRDefault="00094ACC">
            <w:pPr>
              <w:spacing w:line="276" w:lineRule="auto"/>
              <w:rPr>
                <w:rFonts w:asciiTheme="majorHAnsi" w:hAnsiTheme="majorHAnsi" w:cstheme="majorHAnsi"/>
                <w:sz w:val="18"/>
                <w:szCs w:val="18"/>
              </w:rPr>
            </w:pPr>
            <w:r>
              <w:rPr>
                <w:rFonts w:asciiTheme="majorHAnsi" w:hAnsiTheme="majorHAnsi" w:cstheme="majorHAnsi"/>
                <w:b/>
                <w:sz w:val="18"/>
                <w:szCs w:val="18"/>
              </w:rPr>
              <w:t>wzrost zrównoważony</w:t>
            </w:r>
            <w:r>
              <w:rPr>
                <w:rFonts w:asciiTheme="majorHAnsi" w:hAnsiTheme="majorHAnsi" w:cstheme="majorHAnsi"/>
                <w:sz w:val="18"/>
                <w:szCs w:val="18"/>
              </w:rPr>
              <w:t>: wspieranie efektywnej korzystającej z zasobów, bardziej przyjaznej środowisku i bardziej konkurencyjnej gospodarki</w:t>
            </w:r>
          </w:p>
        </w:tc>
        <w:tc>
          <w:tcPr>
            <w:tcW w:w="847" w:type="dxa"/>
            <w:tcBorders>
              <w:top w:val="single" w:sz="24" w:space="0" w:color="FFFFFF" w:themeColor="background1"/>
              <w:left w:val="nil"/>
              <w:bottom w:val="single" w:sz="24" w:space="0" w:color="FFFFFF" w:themeColor="background1"/>
              <w:right w:val="single" w:sz="24" w:space="0" w:color="FFFFFF" w:themeColor="background1"/>
            </w:tcBorders>
            <w:shd w:val="clear" w:color="auto" w:fill="E6EECE"/>
            <w:vAlign w:val="center"/>
            <w:hideMark/>
          </w:tcPr>
          <w:p w14:paraId="1E2798EB" w14:textId="77777777" w:rsidR="00094ACC" w:rsidRDefault="00094ACC">
            <w:pPr>
              <w:spacing w:line="276" w:lineRule="auto"/>
              <w:jc w:val="center"/>
              <w:rPr>
                <w:rFonts w:asciiTheme="majorHAnsi" w:hAnsiTheme="majorHAnsi" w:cstheme="majorHAnsi"/>
                <w:b/>
                <w:color w:val="538135" w:themeColor="accent6" w:themeShade="BF"/>
                <w:sz w:val="18"/>
                <w:szCs w:val="18"/>
              </w:rPr>
            </w:pPr>
            <w:r>
              <w:rPr>
                <w:rFonts w:asciiTheme="majorHAnsi" w:hAnsiTheme="majorHAnsi" w:cstheme="majorHAnsi"/>
                <w:b/>
                <w:color w:val="538135" w:themeColor="accent6" w:themeShade="BF"/>
                <w:sz w:val="18"/>
                <w:szCs w:val="18"/>
              </w:rPr>
              <w:t>Cel 1</w:t>
            </w:r>
          </w:p>
          <w:p w14:paraId="702221B8" w14:textId="77777777" w:rsidR="00094ACC" w:rsidRDefault="00094ACC">
            <w:pPr>
              <w:spacing w:line="276" w:lineRule="auto"/>
              <w:jc w:val="center"/>
              <w:rPr>
                <w:rFonts w:asciiTheme="majorHAnsi" w:hAnsiTheme="majorHAnsi" w:cstheme="majorHAnsi"/>
                <w:b/>
                <w:color w:val="538135" w:themeColor="accent6" w:themeShade="BF"/>
                <w:sz w:val="18"/>
                <w:szCs w:val="18"/>
              </w:rPr>
            </w:pPr>
            <w:r>
              <w:rPr>
                <w:rFonts w:asciiTheme="majorHAnsi" w:hAnsiTheme="majorHAnsi" w:cstheme="majorHAnsi"/>
                <w:b/>
                <w:color w:val="538135" w:themeColor="accent6" w:themeShade="BF"/>
                <w:sz w:val="18"/>
                <w:szCs w:val="18"/>
              </w:rPr>
              <w:t>Cel 2</w:t>
            </w:r>
          </w:p>
          <w:p w14:paraId="68749271" w14:textId="77777777" w:rsidR="00094ACC" w:rsidRDefault="00094ACC">
            <w:pPr>
              <w:spacing w:line="276" w:lineRule="auto"/>
              <w:jc w:val="center"/>
              <w:rPr>
                <w:rFonts w:asciiTheme="majorHAnsi" w:hAnsiTheme="majorHAnsi" w:cstheme="majorHAnsi"/>
                <w:b/>
                <w:color w:val="538135" w:themeColor="accent6" w:themeShade="BF"/>
                <w:sz w:val="18"/>
                <w:szCs w:val="18"/>
              </w:rPr>
            </w:pPr>
            <w:r>
              <w:rPr>
                <w:rFonts w:asciiTheme="majorHAnsi" w:hAnsiTheme="majorHAnsi" w:cstheme="majorHAnsi"/>
                <w:b/>
                <w:color w:val="538135" w:themeColor="accent6" w:themeShade="BF"/>
                <w:sz w:val="18"/>
                <w:szCs w:val="18"/>
              </w:rPr>
              <w:t>Cel 3</w:t>
            </w:r>
          </w:p>
        </w:tc>
        <w:tc>
          <w:tcPr>
            <w:tcW w:w="3660" w:type="dxa"/>
            <w:tcBorders>
              <w:top w:val="dashed" w:sz="4" w:space="0" w:color="5AA2AE"/>
              <w:left w:val="single" w:sz="24" w:space="0" w:color="FFFFFF" w:themeColor="background1"/>
              <w:bottom w:val="dashed" w:sz="4" w:space="0" w:color="5AA2AE"/>
              <w:right w:val="single" w:sz="4" w:space="0" w:color="B4C6E7" w:themeColor="accent5" w:themeTint="66"/>
            </w:tcBorders>
            <w:shd w:val="clear" w:color="auto" w:fill="FFFFFF" w:themeFill="background1"/>
            <w:vAlign w:val="center"/>
            <w:hideMark/>
          </w:tcPr>
          <w:p w14:paraId="5B22E9F7" w14:textId="77777777" w:rsidR="00094ACC" w:rsidRDefault="00094ACC">
            <w:pPr>
              <w:spacing w:line="276" w:lineRule="auto"/>
              <w:rPr>
                <w:rFonts w:asciiTheme="majorHAnsi" w:hAnsiTheme="majorHAnsi" w:cstheme="majorHAnsi"/>
                <w:b/>
                <w:sz w:val="18"/>
                <w:szCs w:val="18"/>
              </w:rPr>
            </w:pPr>
            <w:r>
              <w:rPr>
                <w:rFonts w:asciiTheme="majorHAnsi" w:hAnsiTheme="majorHAnsi" w:cstheme="majorHAnsi"/>
                <w:b/>
                <w:sz w:val="18"/>
                <w:szCs w:val="18"/>
              </w:rPr>
              <w:t>Cel strategiczny 1</w:t>
            </w:r>
          </w:p>
          <w:p w14:paraId="65769EAA" w14:textId="77777777" w:rsidR="00094ACC" w:rsidRDefault="00094ACC">
            <w:pPr>
              <w:spacing w:line="276" w:lineRule="auto"/>
              <w:rPr>
                <w:rFonts w:asciiTheme="majorHAnsi" w:hAnsiTheme="majorHAnsi" w:cstheme="majorHAnsi"/>
                <w:sz w:val="18"/>
                <w:szCs w:val="18"/>
              </w:rPr>
            </w:pPr>
            <w:r>
              <w:rPr>
                <w:rFonts w:asciiTheme="majorHAnsi" w:hAnsiTheme="majorHAnsi" w:cstheme="majorHAnsi"/>
                <w:sz w:val="18"/>
                <w:szCs w:val="18"/>
              </w:rPr>
              <w:t>Tworzenie warunków dla dynamicznego wzrostu gospodarczego w oparciu o wydajny układ komunikacyjny i tworzenie atrakcyjnych terenów inwestycyjnych</w:t>
            </w:r>
          </w:p>
          <w:p w14:paraId="12B1DC37" w14:textId="77777777" w:rsidR="00094ACC" w:rsidRDefault="00094ACC">
            <w:pPr>
              <w:spacing w:line="276" w:lineRule="auto"/>
              <w:rPr>
                <w:rFonts w:asciiTheme="majorHAnsi" w:hAnsiTheme="majorHAnsi" w:cstheme="majorHAnsi"/>
                <w:b/>
                <w:sz w:val="18"/>
                <w:szCs w:val="18"/>
              </w:rPr>
            </w:pPr>
            <w:r>
              <w:rPr>
                <w:rFonts w:asciiTheme="majorHAnsi" w:hAnsiTheme="majorHAnsi" w:cstheme="majorHAnsi"/>
                <w:b/>
                <w:sz w:val="18"/>
                <w:szCs w:val="18"/>
              </w:rPr>
              <w:t>Cel strategiczny 2</w:t>
            </w:r>
          </w:p>
          <w:p w14:paraId="4C59F881" w14:textId="49E0BBF0" w:rsidR="00094ACC" w:rsidRDefault="00094ACC">
            <w:pPr>
              <w:spacing w:line="276" w:lineRule="auto"/>
              <w:rPr>
                <w:rFonts w:asciiTheme="majorHAnsi" w:hAnsiTheme="majorHAnsi" w:cstheme="majorHAnsi"/>
                <w:sz w:val="18"/>
                <w:szCs w:val="18"/>
              </w:rPr>
            </w:pPr>
            <w:r>
              <w:rPr>
                <w:rFonts w:asciiTheme="majorHAnsi" w:hAnsiTheme="majorHAnsi" w:cstheme="majorHAnsi"/>
                <w:sz w:val="18"/>
                <w:szCs w:val="18"/>
              </w:rPr>
              <w:t xml:space="preserve">Zapewnienie wysokiej jakości życia mieszkańców poprzez efektywną gospodarkę energetyczną, ochronę </w:t>
            </w:r>
            <w:r w:rsidR="00BB7C86">
              <w:rPr>
                <w:rFonts w:asciiTheme="majorHAnsi" w:hAnsiTheme="majorHAnsi" w:cstheme="majorHAnsi"/>
                <w:color w:val="FF0000"/>
                <w:sz w:val="18"/>
                <w:szCs w:val="18"/>
              </w:rPr>
              <w:t>ziemi</w:t>
            </w:r>
            <w:r>
              <w:rPr>
                <w:rFonts w:asciiTheme="majorHAnsi" w:hAnsiTheme="majorHAnsi" w:cstheme="majorHAnsi"/>
                <w:sz w:val="18"/>
                <w:szCs w:val="18"/>
              </w:rPr>
              <w:t>, powietrza i środowiska naturalnego</w:t>
            </w:r>
          </w:p>
          <w:p w14:paraId="329F547E" w14:textId="77777777" w:rsidR="00094ACC" w:rsidRDefault="00094ACC">
            <w:pPr>
              <w:spacing w:line="276" w:lineRule="auto"/>
              <w:rPr>
                <w:rFonts w:asciiTheme="majorHAnsi" w:hAnsiTheme="majorHAnsi" w:cstheme="majorHAnsi"/>
                <w:b/>
                <w:sz w:val="18"/>
                <w:szCs w:val="18"/>
              </w:rPr>
            </w:pPr>
            <w:r>
              <w:rPr>
                <w:rFonts w:asciiTheme="majorHAnsi" w:hAnsiTheme="majorHAnsi" w:cstheme="majorHAnsi"/>
                <w:b/>
                <w:sz w:val="18"/>
                <w:szCs w:val="18"/>
              </w:rPr>
              <w:t>Cel strategiczny 3</w:t>
            </w:r>
          </w:p>
          <w:p w14:paraId="25792145" w14:textId="77777777" w:rsidR="00094ACC" w:rsidRDefault="00094ACC">
            <w:pPr>
              <w:spacing w:line="276" w:lineRule="auto"/>
              <w:rPr>
                <w:rFonts w:asciiTheme="majorHAnsi" w:hAnsiTheme="majorHAnsi" w:cstheme="majorHAnsi"/>
                <w:sz w:val="18"/>
                <w:szCs w:val="18"/>
              </w:rPr>
            </w:pPr>
            <w:r>
              <w:rPr>
                <w:rFonts w:asciiTheme="majorHAnsi" w:hAnsiTheme="majorHAnsi" w:cstheme="majorHAnsi"/>
                <w:sz w:val="18"/>
                <w:szCs w:val="18"/>
              </w:rPr>
              <w:t>Dywersyfikacja struktury gospodarczej Obszaru Funkcjonalnego przy wykorzystaniu unikatowego potencjału zasobów lokalnych - dziedzictwa przyrody i kultury</w:t>
            </w:r>
          </w:p>
        </w:tc>
      </w:tr>
      <w:tr w:rsidR="00094ACC" w14:paraId="0B3A264D" w14:textId="77777777" w:rsidTr="00094ACC">
        <w:trPr>
          <w:trHeight w:val="1417"/>
        </w:trPr>
        <w:tc>
          <w:tcPr>
            <w:tcW w:w="85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E6EECE"/>
            <w:vAlign w:val="center"/>
            <w:hideMark/>
          </w:tcPr>
          <w:p w14:paraId="57BBE26C" w14:textId="77777777" w:rsidR="00094ACC" w:rsidRDefault="00094ACC">
            <w:pPr>
              <w:spacing w:line="276" w:lineRule="auto"/>
              <w:jc w:val="center"/>
              <w:rPr>
                <w:rFonts w:asciiTheme="majorHAnsi" w:hAnsiTheme="majorHAnsi" w:cstheme="majorHAnsi"/>
                <w:b/>
                <w:color w:val="538135" w:themeColor="accent6" w:themeShade="BF"/>
                <w:sz w:val="18"/>
                <w:szCs w:val="18"/>
              </w:rPr>
            </w:pPr>
            <w:r>
              <w:rPr>
                <w:rFonts w:asciiTheme="majorHAnsi" w:hAnsiTheme="majorHAnsi" w:cstheme="majorHAnsi"/>
                <w:b/>
                <w:color w:val="538135" w:themeColor="accent6" w:themeShade="BF"/>
                <w:sz w:val="18"/>
                <w:szCs w:val="18"/>
              </w:rPr>
              <w:t>Cel II</w:t>
            </w:r>
          </w:p>
        </w:tc>
        <w:tc>
          <w:tcPr>
            <w:tcW w:w="3665" w:type="dxa"/>
            <w:tcBorders>
              <w:top w:val="dashed" w:sz="4" w:space="0" w:color="5AA2AE"/>
              <w:left w:val="single" w:sz="24" w:space="0" w:color="FFFFFF" w:themeColor="background1"/>
              <w:bottom w:val="single" w:sz="4" w:space="0" w:color="B4C6E7" w:themeColor="accent5" w:themeTint="66"/>
              <w:right w:val="nil"/>
            </w:tcBorders>
            <w:shd w:val="clear" w:color="auto" w:fill="FFFFFF" w:themeFill="background1"/>
            <w:vAlign w:val="center"/>
            <w:hideMark/>
          </w:tcPr>
          <w:p w14:paraId="5DEA3F8B" w14:textId="77777777" w:rsidR="00094ACC" w:rsidRDefault="00094ACC">
            <w:pPr>
              <w:spacing w:line="276" w:lineRule="auto"/>
              <w:rPr>
                <w:rFonts w:asciiTheme="majorHAnsi" w:hAnsiTheme="majorHAnsi" w:cstheme="majorHAnsi"/>
                <w:sz w:val="18"/>
                <w:szCs w:val="18"/>
              </w:rPr>
            </w:pPr>
            <w:r>
              <w:rPr>
                <w:rFonts w:asciiTheme="majorHAnsi" w:hAnsiTheme="majorHAnsi" w:cstheme="majorHAnsi"/>
                <w:b/>
                <w:sz w:val="18"/>
                <w:szCs w:val="18"/>
              </w:rPr>
              <w:t xml:space="preserve">rozwój sprzyjający włączeniu społecznemu: </w:t>
            </w:r>
            <w:r>
              <w:rPr>
                <w:rFonts w:asciiTheme="majorHAnsi" w:hAnsiTheme="majorHAnsi" w:cstheme="majorHAnsi"/>
                <w:sz w:val="18"/>
                <w:szCs w:val="18"/>
              </w:rPr>
              <w:t>wspieranie gospodarki o wysokim poziomie zatrudnienia, zapewniającej spójność społeczną i terytorialną.</w:t>
            </w:r>
          </w:p>
        </w:tc>
        <w:tc>
          <w:tcPr>
            <w:tcW w:w="847" w:type="dxa"/>
            <w:tcBorders>
              <w:top w:val="single" w:sz="24" w:space="0" w:color="FFFFFF" w:themeColor="background1"/>
              <w:left w:val="nil"/>
              <w:bottom w:val="single" w:sz="24" w:space="0" w:color="FFFFFF" w:themeColor="background1"/>
              <w:right w:val="single" w:sz="24" w:space="0" w:color="FFFFFF" w:themeColor="background1"/>
            </w:tcBorders>
            <w:shd w:val="clear" w:color="auto" w:fill="E6EECE"/>
            <w:vAlign w:val="center"/>
            <w:hideMark/>
          </w:tcPr>
          <w:p w14:paraId="7E94B06D" w14:textId="77777777" w:rsidR="00094ACC" w:rsidRDefault="00094ACC">
            <w:pPr>
              <w:spacing w:line="276" w:lineRule="auto"/>
              <w:jc w:val="center"/>
              <w:rPr>
                <w:rFonts w:asciiTheme="majorHAnsi" w:hAnsiTheme="majorHAnsi" w:cstheme="majorHAnsi"/>
                <w:b/>
                <w:color w:val="538135" w:themeColor="accent6" w:themeShade="BF"/>
                <w:sz w:val="18"/>
                <w:szCs w:val="18"/>
              </w:rPr>
            </w:pPr>
            <w:r>
              <w:rPr>
                <w:rFonts w:asciiTheme="majorHAnsi" w:hAnsiTheme="majorHAnsi" w:cstheme="majorHAnsi"/>
                <w:b/>
                <w:color w:val="538135" w:themeColor="accent6" w:themeShade="BF"/>
                <w:sz w:val="18"/>
                <w:szCs w:val="18"/>
              </w:rPr>
              <w:t>Cel 5</w:t>
            </w:r>
          </w:p>
        </w:tc>
        <w:tc>
          <w:tcPr>
            <w:tcW w:w="3660" w:type="dxa"/>
            <w:tcBorders>
              <w:top w:val="dashed" w:sz="4" w:space="0" w:color="5AA2AE"/>
              <w:left w:val="single" w:sz="24" w:space="0" w:color="FFFFFF" w:themeColor="background1"/>
              <w:bottom w:val="single" w:sz="4" w:space="0" w:color="B4C6E7" w:themeColor="accent5" w:themeTint="66"/>
              <w:right w:val="single" w:sz="4" w:space="0" w:color="B4C6E7" w:themeColor="accent5" w:themeTint="66"/>
            </w:tcBorders>
            <w:shd w:val="clear" w:color="auto" w:fill="FFFFFF" w:themeFill="background1"/>
            <w:vAlign w:val="center"/>
            <w:hideMark/>
          </w:tcPr>
          <w:p w14:paraId="29414C3F" w14:textId="77777777" w:rsidR="00094ACC" w:rsidRDefault="00094ACC">
            <w:pPr>
              <w:spacing w:line="276" w:lineRule="auto"/>
              <w:rPr>
                <w:rFonts w:asciiTheme="majorHAnsi" w:hAnsiTheme="majorHAnsi" w:cstheme="majorHAnsi"/>
                <w:b/>
                <w:sz w:val="18"/>
                <w:szCs w:val="18"/>
              </w:rPr>
            </w:pPr>
            <w:r>
              <w:rPr>
                <w:rFonts w:asciiTheme="majorHAnsi" w:hAnsiTheme="majorHAnsi" w:cstheme="majorHAnsi"/>
                <w:b/>
                <w:sz w:val="18"/>
                <w:szCs w:val="18"/>
              </w:rPr>
              <w:t>Cel strategiczny 5</w:t>
            </w:r>
          </w:p>
          <w:p w14:paraId="4916D019" w14:textId="77777777" w:rsidR="00094ACC" w:rsidRDefault="00094ACC">
            <w:pPr>
              <w:spacing w:line="276" w:lineRule="auto"/>
              <w:rPr>
                <w:rFonts w:asciiTheme="majorHAnsi" w:hAnsiTheme="majorHAnsi" w:cstheme="majorHAnsi"/>
                <w:sz w:val="18"/>
                <w:szCs w:val="18"/>
              </w:rPr>
            </w:pPr>
            <w:r>
              <w:rPr>
                <w:rFonts w:asciiTheme="majorHAnsi" w:hAnsiTheme="majorHAnsi" w:cstheme="majorHAnsi"/>
                <w:sz w:val="18"/>
                <w:szCs w:val="18"/>
              </w:rPr>
              <w:t>Wzmacnianie potencjału społeczeństwa obywatelskiego poprzez rozwijanie potencjału kapitału ludzkiego i społecznego oraz rozwój instytucjonalny</w:t>
            </w:r>
          </w:p>
        </w:tc>
      </w:tr>
    </w:tbl>
    <w:p w14:paraId="50DC1BEF" w14:textId="77777777" w:rsidR="00094ACC" w:rsidRPr="00957FD7" w:rsidRDefault="00094ACC" w:rsidP="00094ACC">
      <w:pPr>
        <w:pStyle w:val="wyr"/>
        <w:spacing w:line="276" w:lineRule="auto"/>
        <w:rPr>
          <w:rFonts w:asciiTheme="majorHAnsi" w:hAnsiTheme="majorHAnsi" w:cstheme="majorHAnsi"/>
          <w:color w:val="auto"/>
        </w:rPr>
      </w:pPr>
    </w:p>
    <w:p w14:paraId="7B3C0CE2" w14:textId="3CCD0DCF" w:rsidR="00957FD7" w:rsidRPr="00192C8B" w:rsidRDefault="00957FD7" w:rsidP="00094ACC">
      <w:pPr>
        <w:pStyle w:val="wyr"/>
        <w:spacing w:line="276" w:lineRule="auto"/>
        <w:rPr>
          <w:rFonts w:asciiTheme="majorHAnsi" w:hAnsiTheme="majorHAnsi" w:cstheme="majorHAnsi"/>
          <w:color w:val="FF0000"/>
        </w:rPr>
      </w:pPr>
      <w:r w:rsidRPr="00192C8B">
        <w:rPr>
          <w:rFonts w:asciiTheme="majorHAnsi" w:hAnsiTheme="majorHAnsi" w:cstheme="majorHAnsi"/>
          <w:color w:val="FF0000"/>
        </w:rPr>
        <w:t>Strategia na rzecz bioróżnorodności 2030</w:t>
      </w:r>
    </w:p>
    <w:p w14:paraId="49C73B6D" w14:textId="7199B3CF" w:rsidR="00957FD7" w:rsidRPr="00192C8B" w:rsidRDefault="00F60A82" w:rsidP="00F60A82">
      <w:pPr>
        <w:pStyle w:val="wyr"/>
        <w:spacing w:before="0" w:line="276" w:lineRule="auto"/>
        <w:rPr>
          <w:rFonts w:asciiTheme="majorHAnsi" w:hAnsiTheme="majorHAnsi" w:cstheme="majorHAnsi"/>
          <w:b w:val="0"/>
          <w:color w:val="FF0000"/>
        </w:rPr>
      </w:pPr>
      <w:r w:rsidRPr="00192C8B">
        <w:rPr>
          <w:rFonts w:asciiTheme="majorHAnsi" w:hAnsiTheme="majorHAnsi" w:cstheme="majorHAnsi"/>
          <w:b w:val="0"/>
          <w:color w:val="FF0000"/>
        </w:rPr>
        <w:t xml:space="preserve">Kluczowe założenia zawarte w Strategii są zgodne z zapisami </w:t>
      </w:r>
      <w:r w:rsidRPr="00192C8B">
        <w:rPr>
          <w:rFonts w:asciiTheme="majorHAnsi" w:hAnsiTheme="majorHAnsi" w:cstheme="majorHAnsi"/>
          <w:b w:val="0"/>
          <w:i/>
          <w:color w:val="FF0000"/>
        </w:rPr>
        <w:t>Strategii na rzecz bioróżnorodności 2030</w:t>
      </w:r>
      <w:r w:rsidR="0036708D" w:rsidRPr="00192C8B">
        <w:rPr>
          <w:rFonts w:asciiTheme="majorHAnsi" w:hAnsiTheme="majorHAnsi" w:cstheme="majorHAnsi"/>
          <w:b w:val="0"/>
          <w:i/>
          <w:color w:val="FF0000"/>
        </w:rPr>
        <w:t xml:space="preserve">. </w:t>
      </w:r>
      <w:r w:rsidRPr="00192C8B">
        <w:rPr>
          <w:rFonts w:asciiTheme="majorHAnsi" w:hAnsiTheme="majorHAnsi" w:cstheme="majorHAnsi"/>
          <w:b w:val="0"/>
          <w:color w:val="FF0000"/>
        </w:rPr>
        <w:t xml:space="preserve">Celem strategii jest odbudowa bioróżnorodności w Europie do 2030 r. poprzez zastosowanie konkretnych działań i wypełnienie zobowiązań. </w:t>
      </w:r>
    </w:p>
    <w:tbl>
      <w:tblPr>
        <w:tblStyle w:val="Tabelasiatki5ciemnaakcent51"/>
        <w:tblW w:w="0" w:type="auto"/>
        <w:tblLook w:val="0420" w:firstRow="1" w:lastRow="0" w:firstColumn="0" w:lastColumn="0" w:noHBand="0" w:noVBand="1"/>
      </w:tblPr>
      <w:tblGrid>
        <w:gridCol w:w="873"/>
        <w:gridCol w:w="3655"/>
        <w:gridCol w:w="845"/>
        <w:gridCol w:w="3651"/>
      </w:tblGrid>
      <w:tr w:rsidR="00192C8B" w:rsidRPr="00192C8B" w14:paraId="1C4FD109" w14:textId="77777777" w:rsidTr="001D67A7">
        <w:trPr>
          <w:cnfStyle w:val="100000000000" w:firstRow="1" w:lastRow="0" w:firstColumn="0" w:lastColumn="0" w:oddVBand="0" w:evenVBand="0" w:oddHBand="0" w:evenHBand="0" w:firstRowFirstColumn="0" w:firstRowLastColumn="0" w:lastRowFirstColumn="0" w:lastRowLastColumn="0"/>
          <w:trHeight w:val="340"/>
          <w:tblHeader/>
        </w:trPr>
        <w:tc>
          <w:tcPr>
            <w:tcW w:w="4528"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A5C249"/>
            <w:vAlign w:val="center"/>
            <w:hideMark/>
          </w:tcPr>
          <w:p w14:paraId="130A550D" w14:textId="62AC65D4" w:rsidR="0036708D" w:rsidRPr="00192C8B" w:rsidRDefault="00754765" w:rsidP="00754765">
            <w:pPr>
              <w:pStyle w:val="wyr"/>
              <w:spacing w:before="0" w:line="276" w:lineRule="auto"/>
              <w:jc w:val="center"/>
              <w:rPr>
                <w:rFonts w:asciiTheme="majorHAnsi" w:hAnsiTheme="majorHAnsi" w:cstheme="majorHAnsi"/>
                <w:b/>
                <w:color w:val="FF0000"/>
                <w:sz w:val="18"/>
                <w:szCs w:val="18"/>
              </w:rPr>
            </w:pPr>
            <w:r w:rsidRPr="00192C8B">
              <w:rPr>
                <w:rFonts w:asciiTheme="majorHAnsi" w:hAnsiTheme="majorHAnsi" w:cstheme="majorHAnsi"/>
                <w:b/>
                <w:color w:val="FF0000"/>
                <w:sz w:val="18"/>
                <w:szCs w:val="18"/>
              </w:rPr>
              <w:t>Strategia na rzecz bioróżnorodności 2030</w:t>
            </w:r>
          </w:p>
        </w:tc>
        <w:tc>
          <w:tcPr>
            <w:tcW w:w="4496"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A5C249"/>
            <w:vAlign w:val="center"/>
            <w:hideMark/>
          </w:tcPr>
          <w:p w14:paraId="0E6D9091" w14:textId="77777777" w:rsidR="0036708D" w:rsidRPr="00192C8B" w:rsidRDefault="0036708D" w:rsidP="00754765">
            <w:pPr>
              <w:pStyle w:val="wyr"/>
              <w:spacing w:before="0" w:line="276" w:lineRule="auto"/>
              <w:jc w:val="center"/>
              <w:rPr>
                <w:rFonts w:asciiTheme="majorHAnsi" w:hAnsiTheme="majorHAnsi" w:cstheme="majorHAnsi"/>
                <w:b/>
                <w:color w:val="FF0000"/>
                <w:sz w:val="18"/>
                <w:szCs w:val="18"/>
              </w:rPr>
            </w:pPr>
            <w:r w:rsidRPr="00192C8B">
              <w:rPr>
                <w:rFonts w:asciiTheme="majorHAnsi" w:hAnsiTheme="majorHAnsi" w:cstheme="majorHAnsi"/>
                <w:b/>
                <w:color w:val="FF0000"/>
                <w:sz w:val="18"/>
                <w:szCs w:val="18"/>
              </w:rPr>
              <w:t>Strategia Rozwoju Obszaru Funkcjonalnego Południowe Mazury 2030 /OF Południowe Mazury 2030/</w:t>
            </w:r>
          </w:p>
        </w:tc>
      </w:tr>
      <w:tr w:rsidR="00192C8B" w:rsidRPr="00192C8B" w14:paraId="3469BFF0" w14:textId="77777777" w:rsidTr="001D67A7">
        <w:trPr>
          <w:cnfStyle w:val="000000100000" w:firstRow="0" w:lastRow="0" w:firstColumn="0" w:lastColumn="0" w:oddVBand="0" w:evenVBand="0" w:oddHBand="1" w:evenHBand="0" w:firstRowFirstColumn="0" w:firstRowLastColumn="0" w:lastRowFirstColumn="0" w:lastRowLastColumn="0"/>
          <w:trHeight w:val="1134"/>
        </w:trPr>
        <w:tc>
          <w:tcPr>
            <w:tcW w:w="873"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E6EECE"/>
            <w:vAlign w:val="center"/>
          </w:tcPr>
          <w:p w14:paraId="3D130F40" w14:textId="552663D5" w:rsidR="0036708D" w:rsidRPr="00192C8B" w:rsidRDefault="00B74836" w:rsidP="00B74836">
            <w:pPr>
              <w:spacing w:line="276" w:lineRule="auto"/>
              <w:jc w:val="center"/>
              <w:rPr>
                <w:rFonts w:asciiTheme="majorHAnsi" w:hAnsiTheme="majorHAnsi" w:cstheme="majorHAnsi"/>
                <w:b/>
                <w:color w:val="FF0000"/>
                <w:sz w:val="18"/>
                <w:szCs w:val="18"/>
              </w:rPr>
            </w:pPr>
            <w:r w:rsidRPr="00192C8B">
              <w:rPr>
                <w:rFonts w:asciiTheme="majorHAnsi" w:hAnsiTheme="majorHAnsi" w:cstheme="majorHAnsi"/>
                <w:b/>
                <w:color w:val="FF0000"/>
                <w:sz w:val="18"/>
                <w:szCs w:val="18"/>
              </w:rPr>
              <w:t xml:space="preserve">Działanie </w:t>
            </w:r>
            <w:r w:rsidR="0036708D" w:rsidRPr="00192C8B">
              <w:rPr>
                <w:rFonts w:asciiTheme="majorHAnsi" w:hAnsiTheme="majorHAnsi" w:cstheme="majorHAnsi"/>
                <w:b/>
                <w:color w:val="FF0000"/>
                <w:sz w:val="18"/>
                <w:szCs w:val="18"/>
              </w:rPr>
              <w:t>I</w:t>
            </w:r>
          </w:p>
        </w:tc>
        <w:tc>
          <w:tcPr>
            <w:tcW w:w="3655" w:type="dxa"/>
            <w:tcBorders>
              <w:top w:val="dashed" w:sz="4" w:space="0" w:color="5AA2AE"/>
              <w:left w:val="single" w:sz="24" w:space="0" w:color="FFFFFF" w:themeColor="background1"/>
              <w:bottom w:val="dashed" w:sz="4" w:space="0" w:color="5AA2AE"/>
              <w:right w:val="nil"/>
            </w:tcBorders>
            <w:shd w:val="clear" w:color="auto" w:fill="FFFFFF" w:themeFill="background1"/>
            <w:vAlign w:val="center"/>
          </w:tcPr>
          <w:p w14:paraId="1F3CE0F2" w14:textId="43F33877" w:rsidR="0036708D" w:rsidRPr="00192C8B" w:rsidRDefault="00B74836" w:rsidP="006D24CC">
            <w:pPr>
              <w:spacing w:line="276" w:lineRule="auto"/>
              <w:rPr>
                <w:rFonts w:asciiTheme="majorHAnsi" w:hAnsiTheme="majorHAnsi" w:cstheme="majorHAnsi"/>
                <w:color w:val="FF0000"/>
                <w:sz w:val="18"/>
                <w:szCs w:val="18"/>
              </w:rPr>
            </w:pPr>
            <w:r w:rsidRPr="00192C8B">
              <w:rPr>
                <w:rFonts w:asciiTheme="majorHAnsi" w:hAnsiTheme="majorHAnsi" w:cstheme="majorHAnsi"/>
                <w:color w:val="FF0000"/>
                <w:sz w:val="18"/>
                <w:szCs w:val="18"/>
              </w:rPr>
              <w:t>Utworzenie w całej UE większej sieci obszarów chronionych na lądzie i na morzu</w:t>
            </w:r>
          </w:p>
        </w:tc>
        <w:tc>
          <w:tcPr>
            <w:tcW w:w="845" w:type="dxa"/>
            <w:tcBorders>
              <w:top w:val="single" w:sz="24" w:space="0" w:color="FFFFFF" w:themeColor="background1"/>
              <w:left w:val="nil"/>
              <w:bottom w:val="single" w:sz="24" w:space="0" w:color="FFFFFF" w:themeColor="background1"/>
              <w:right w:val="single" w:sz="24" w:space="0" w:color="FFFFFF" w:themeColor="background1"/>
            </w:tcBorders>
            <w:shd w:val="clear" w:color="auto" w:fill="E6EECE"/>
            <w:vAlign w:val="center"/>
          </w:tcPr>
          <w:p w14:paraId="0CFF7F9D" w14:textId="3E0DD9F2" w:rsidR="0036708D" w:rsidRPr="00192C8B" w:rsidRDefault="001D67A7" w:rsidP="001D67A7">
            <w:pPr>
              <w:spacing w:line="276" w:lineRule="auto"/>
              <w:jc w:val="center"/>
              <w:rPr>
                <w:rFonts w:asciiTheme="majorHAnsi" w:hAnsiTheme="majorHAnsi" w:cstheme="majorHAnsi"/>
                <w:b/>
                <w:color w:val="FF0000"/>
                <w:sz w:val="18"/>
                <w:szCs w:val="18"/>
              </w:rPr>
            </w:pPr>
            <w:r w:rsidRPr="00192C8B">
              <w:rPr>
                <w:rFonts w:asciiTheme="majorHAnsi" w:hAnsiTheme="majorHAnsi" w:cstheme="majorHAnsi"/>
                <w:b/>
                <w:color w:val="FF0000"/>
                <w:sz w:val="18"/>
                <w:szCs w:val="18"/>
              </w:rPr>
              <w:t>Cel 2</w:t>
            </w:r>
          </w:p>
        </w:tc>
        <w:tc>
          <w:tcPr>
            <w:tcW w:w="3651" w:type="dxa"/>
            <w:tcBorders>
              <w:top w:val="dashed" w:sz="4" w:space="0" w:color="5AA2AE"/>
              <w:left w:val="single" w:sz="24" w:space="0" w:color="FFFFFF" w:themeColor="background1"/>
              <w:bottom w:val="dashed" w:sz="4" w:space="0" w:color="5AA2AE"/>
              <w:right w:val="single" w:sz="4" w:space="0" w:color="B4C6E7" w:themeColor="accent5" w:themeTint="66"/>
            </w:tcBorders>
            <w:shd w:val="clear" w:color="auto" w:fill="FFFFFF" w:themeFill="background1"/>
            <w:vAlign w:val="center"/>
          </w:tcPr>
          <w:p w14:paraId="57EFC835" w14:textId="77777777" w:rsidR="0036708D" w:rsidRPr="00192C8B" w:rsidRDefault="0036708D" w:rsidP="006D24CC">
            <w:pPr>
              <w:spacing w:line="276" w:lineRule="auto"/>
              <w:rPr>
                <w:rFonts w:asciiTheme="majorHAnsi" w:hAnsiTheme="majorHAnsi" w:cstheme="majorHAnsi"/>
                <w:b/>
                <w:color w:val="FF0000"/>
                <w:sz w:val="18"/>
                <w:szCs w:val="18"/>
              </w:rPr>
            </w:pPr>
            <w:r w:rsidRPr="00192C8B">
              <w:rPr>
                <w:rFonts w:asciiTheme="majorHAnsi" w:hAnsiTheme="majorHAnsi" w:cstheme="majorHAnsi"/>
                <w:b/>
                <w:color w:val="FF0000"/>
                <w:sz w:val="18"/>
                <w:szCs w:val="18"/>
              </w:rPr>
              <w:t>Cel strategiczny 2.</w:t>
            </w:r>
          </w:p>
          <w:p w14:paraId="2C899018" w14:textId="25DAD9A3" w:rsidR="0036708D" w:rsidRPr="00192C8B" w:rsidRDefault="0036708D" w:rsidP="006D24CC">
            <w:pPr>
              <w:spacing w:line="276" w:lineRule="auto"/>
              <w:rPr>
                <w:rFonts w:asciiTheme="majorHAnsi" w:hAnsiTheme="majorHAnsi" w:cstheme="majorHAnsi"/>
                <w:color w:val="FF0000"/>
                <w:sz w:val="18"/>
                <w:szCs w:val="18"/>
              </w:rPr>
            </w:pPr>
            <w:r w:rsidRPr="00192C8B">
              <w:rPr>
                <w:rFonts w:asciiTheme="majorHAnsi" w:hAnsiTheme="majorHAnsi" w:cstheme="majorHAnsi"/>
                <w:color w:val="FF0000"/>
                <w:sz w:val="18"/>
                <w:szCs w:val="18"/>
              </w:rPr>
              <w:t xml:space="preserve">Zapewnienie wysokiej jakości życia mieszkańców poprzez efektywną gospodarkę energetyczną, ochronę </w:t>
            </w:r>
            <w:r w:rsidR="00BB7C86">
              <w:rPr>
                <w:rFonts w:asciiTheme="majorHAnsi" w:hAnsiTheme="majorHAnsi" w:cstheme="majorHAnsi"/>
                <w:color w:val="FF0000"/>
                <w:sz w:val="18"/>
                <w:szCs w:val="18"/>
              </w:rPr>
              <w:t>ziemi</w:t>
            </w:r>
            <w:r w:rsidRPr="00192C8B">
              <w:rPr>
                <w:rFonts w:asciiTheme="majorHAnsi" w:hAnsiTheme="majorHAnsi" w:cstheme="majorHAnsi"/>
                <w:color w:val="FF0000"/>
                <w:sz w:val="18"/>
                <w:szCs w:val="18"/>
              </w:rPr>
              <w:t>, pow</w:t>
            </w:r>
            <w:r w:rsidR="001D67A7" w:rsidRPr="00192C8B">
              <w:rPr>
                <w:rFonts w:asciiTheme="majorHAnsi" w:hAnsiTheme="majorHAnsi" w:cstheme="majorHAnsi"/>
                <w:color w:val="FF0000"/>
                <w:sz w:val="18"/>
                <w:szCs w:val="18"/>
              </w:rPr>
              <w:t>ietrza i środowiska naturalnego</w:t>
            </w:r>
          </w:p>
        </w:tc>
      </w:tr>
      <w:tr w:rsidR="00192C8B" w:rsidRPr="00192C8B" w14:paraId="11058AC5" w14:textId="77777777" w:rsidTr="001D67A7">
        <w:trPr>
          <w:trHeight w:val="1134"/>
        </w:trPr>
        <w:tc>
          <w:tcPr>
            <w:tcW w:w="873"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E6EECE"/>
            <w:vAlign w:val="center"/>
            <w:hideMark/>
          </w:tcPr>
          <w:p w14:paraId="57F51E25" w14:textId="5445D9D7" w:rsidR="001D67A7" w:rsidRPr="00192C8B" w:rsidRDefault="001D67A7" w:rsidP="001D67A7">
            <w:pPr>
              <w:spacing w:line="276" w:lineRule="auto"/>
              <w:jc w:val="center"/>
              <w:rPr>
                <w:rFonts w:asciiTheme="majorHAnsi" w:hAnsiTheme="majorHAnsi" w:cstheme="majorHAnsi"/>
                <w:b/>
                <w:color w:val="FF0000"/>
                <w:sz w:val="18"/>
                <w:szCs w:val="18"/>
              </w:rPr>
            </w:pPr>
            <w:r w:rsidRPr="00192C8B">
              <w:rPr>
                <w:rFonts w:asciiTheme="majorHAnsi" w:hAnsiTheme="majorHAnsi" w:cstheme="majorHAnsi"/>
                <w:b/>
                <w:color w:val="FF0000"/>
                <w:sz w:val="18"/>
                <w:szCs w:val="18"/>
              </w:rPr>
              <w:t>Działanie II</w:t>
            </w:r>
          </w:p>
        </w:tc>
        <w:tc>
          <w:tcPr>
            <w:tcW w:w="3655" w:type="dxa"/>
            <w:tcBorders>
              <w:top w:val="dashed" w:sz="4" w:space="0" w:color="5AA2AE"/>
              <w:left w:val="single" w:sz="24" w:space="0" w:color="FFFFFF" w:themeColor="background1"/>
              <w:bottom w:val="dashed" w:sz="4" w:space="0" w:color="5AA2AE"/>
              <w:right w:val="nil"/>
            </w:tcBorders>
            <w:shd w:val="clear" w:color="auto" w:fill="FFFFFF" w:themeFill="background1"/>
            <w:vAlign w:val="center"/>
            <w:hideMark/>
          </w:tcPr>
          <w:p w14:paraId="719267FA" w14:textId="04DD598C" w:rsidR="001D67A7" w:rsidRPr="00192C8B" w:rsidRDefault="001D67A7" w:rsidP="001D67A7">
            <w:pPr>
              <w:spacing w:line="276" w:lineRule="auto"/>
              <w:rPr>
                <w:rFonts w:asciiTheme="majorHAnsi" w:hAnsiTheme="majorHAnsi" w:cstheme="majorHAnsi"/>
                <w:color w:val="FF0000"/>
                <w:sz w:val="18"/>
                <w:szCs w:val="18"/>
              </w:rPr>
            </w:pPr>
            <w:r w:rsidRPr="00192C8B">
              <w:rPr>
                <w:rFonts w:asciiTheme="majorHAnsi" w:hAnsiTheme="majorHAnsi" w:cstheme="majorHAnsi"/>
                <w:iCs/>
                <w:color w:val="FF0000"/>
                <w:sz w:val="18"/>
                <w:szCs w:val="18"/>
              </w:rPr>
              <w:t>Rozpoczęcie planu odbudowy zasobów przyrodniczych</w:t>
            </w:r>
          </w:p>
        </w:tc>
        <w:tc>
          <w:tcPr>
            <w:tcW w:w="845" w:type="dxa"/>
            <w:tcBorders>
              <w:top w:val="single" w:sz="24" w:space="0" w:color="FFFFFF" w:themeColor="background1"/>
              <w:left w:val="nil"/>
              <w:bottom w:val="single" w:sz="24" w:space="0" w:color="FFFFFF" w:themeColor="background1"/>
              <w:right w:val="single" w:sz="24" w:space="0" w:color="FFFFFF" w:themeColor="background1"/>
            </w:tcBorders>
            <w:shd w:val="clear" w:color="auto" w:fill="E6EECE"/>
            <w:vAlign w:val="center"/>
            <w:hideMark/>
          </w:tcPr>
          <w:p w14:paraId="11563C9B" w14:textId="108A14CA" w:rsidR="001D67A7" w:rsidRPr="00192C8B" w:rsidRDefault="001D67A7" w:rsidP="001D67A7">
            <w:pPr>
              <w:spacing w:line="276" w:lineRule="auto"/>
              <w:jc w:val="center"/>
              <w:rPr>
                <w:rFonts w:asciiTheme="majorHAnsi" w:hAnsiTheme="majorHAnsi" w:cstheme="majorHAnsi"/>
                <w:b/>
                <w:color w:val="FF0000"/>
                <w:sz w:val="18"/>
                <w:szCs w:val="18"/>
              </w:rPr>
            </w:pPr>
            <w:r w:rsidRPr="00192C8B">
              <w:rPr>
                <w:rFonts w:asciiTheme="majorHAnsi" w:hAnsiTheme="majorHAnsi" w:cstheme="majorHAnsi"/>
                <w:b/>
                <w:color w:val="FF0000"/>
                <w:sz w:val="18"/>
                <w:szCs w:val="18"/>
              </w:rPr>
              <w:t>Cel 2</w:t>
            </w:r>
          </w:p>
        </w:tc>
        <w:tc>
          <w:tcPr>
            <w:tcW w:w="3651" w:type="dxa"/>
            <w:tcBorders>
              <w:top w:val="dashed" w:sz="4" w:space="0" w:color="5AA2AE"/>
              <w:left w:val="single" w:sz="24" w:space="0" w:color="FFFFFF" w:themeColor="background1"/>
              <w:bottom w:val="dashed" w:sz="4" w:space="0" w:color="5AA2AE"/>
              <w:right w:val="single" w:sz="4" w:space="0" w:color="B4C6E7" w:themeColor="accent5" w:themeTint="66"/>
            </w:tcBorders>
            <w:shd w:val="clear" w:color="auto" w:fill="FFFFFF" w:themeFill="background1"/>
            <w:vAlign w:val="center"/>
            <w:hideMark/>
          </w:tcPr>
          <w:p w14:paraId="377C2AEB" w14:textId="77777777" w:rsidR="001D67A7" w:rsidRPr="00192C8B" w:rsidRDefault="001D67A7" w:rsidP="001D67A7">
            <w:pPr>
              <w:spacing w:line="276" w:lineRule="auto"/>
              <w:rPr>
                <w:rFonts w:asciiTheme="majorHAnsi" w:hAnsiTheme="majorHAnsi" w:cstheme="majorHAnsi"/>
                <w:b/>
                <w:color w:val="FF0000"/>
                <w:sz w:val="18"/>
                <w:szCs w:val="18"/>
              </w:rPr>
            </w:pPr>
            <w:r w:rsidRPr="00192C8B">
              <w:rPr>
                <w:rFonts w:asciiTheme="majorHAnsi" w:hAnsiTheme="majorHAnsi" w:cstheme="majorHAnsi"/>
                <w:b/>
                <w:color w:val="FF0000"/>
                <w:sz w:val="18"/>
                <w:szCs w:val="18"/>
              </w:rPr>
              <w:t>Cel strategiczny 2.</w:t>
            </w:r>
          </w:p>
          <w:p w14:paraId="475B34CE" w14:textId="30194EAF" w:rsidR="001D67A7" w:rsidRPr="00192C8B" w:rsidRDefault="001D67A7" w:rsidP="001D67A7">
            <w:pPr>
              <w:spacing w:line="276" w:lineRule="auto"/>
              <w:rPr>
                <w:rFonts w:asciiTheme="majorHAnsi" w:hAnsiTheme="majorHAnsi" w:cstheme="majorHAnsi"/>
                <w:color w:val="FF0000"/>
                <w:sz w:val="18"/>
                <w:szCs w:val="18"/>
              </w:rPr>
            </w:pPr>
            <w:r w:rsidRPr="00192C8B">
              <w:rPr>
                <w:rFonts w:asciiTheme="majorHAnsi" w:hAnsiTheme="majorHAnsi" w:cstheme="majorHAnsi"/>
                <w:color w:val="FF0000"/>
                <w:sz w:val="18"/>
                <w:szCs w:val="18"/>
              </w:rPr>
              <w:t xml:space="preserve">Zapewnienie wysokiej jakości życia mieszkańców poprzez efektywną gospodarkę energetyczną, ochronę </w:t>
            </w:r>
            <w:r w:rsidR="00BB7C86">
              <w:rPr>
                <w:rFonts w:asciiTheme="majorHAnsi" w:hAnsiTheme="majorHAnsi" w:cstheme="majorHAnsi"/>
                <w:color w:val="FF0000"/>
                <w:sz w:val="18"/>
                <w:szCs w:val="18"/>
              </w:rPr>
              <w:t>ziemi</w:t>
            </w:r>
            <w:r w:rsidRPr="00192C8B">
              <w:rPr>
                <w:rFonts w:asciiTheme="majorHAnsi" w:hAnsiTheme="majorHAnsi" w:cstheme="majorHAnsi"/>
                <w:color w:val="FF0000"/>
                <w:sz w:val="18"/>
                <w:szCs w:val="18"/>
              </w:rPr>
              <w:t>, powietrza i środowiska naturalnego</w:t>
            </w:r>
          </w:p>
        </w:tc>
      </w:tr>
      <w:tr w:rsidR="00192C8B" w:rsidRPr="00192C8B" w14:paraId="3E2D803A" w14:textId="77777777" w:rsidTr="001D67A7">
        <w:trPr>
          <w:cnfStyle w:val="000000100000" w:firstRow="0" w:lastRow="0" w:firstColumn="0" w:lastColumn="0" w:oddVBand="0" w:evenVBand="0" w:oddHBand="1" w:evenHBand="0" w:firstRowFirstColumn="0" w:firstRowLastColumn="0" w:lastRowFirstColumn="0" w:lastRowLastColumn="0"/>
          <w:trHeight w:val="1417"/>
        </w:trPr>
        <w:tc>
          <w:tcPr>
            <w:tcW w:w="873"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E6EECE"/>
            <w:vAlign w:val="center"/>
            <w:hideMark/>
          </w:tcPr>
          <w:p w14:paraId="1CA9696E" w14:textId="6BDE871B" w:rsidR="001D67A7" w:rsidRPr="00192C8B" w:rsidRDefault="001D67A7" w:rsidP="001D67A7">
            <w:pPr>
              <w:spacing w:line="276" w:lineRule="auto"/>
              <w:jc w:val="center"/>
              <w:rPr>
                <w:rFonts w:asciiTheme="majorHAnsi" w:hAnsiTheme="majorHAnsi" w:cstheme="majorHAnsi"/>
                <w:b/>
                <w:color w:val="FF0000"/>
                <w:sz w:val="18"/>
                <w:szCs w:val="18"/>
              </w:rPr>
            </w:pPr>
            <w:r w:rsidRPr="00192C8B">
              <w:rPr>
                <w:rFonts w:asciiTheme="majorHAnsi" w:hAnsiTheme="majorHAnsi" w:cstheme="majorHAnsi"/>
                <w:b/>
                <w:color w:val="FF0000"/>
                <w:sz w:val="18"/>
                <w:szCs w:val="18"/>
              </w:rPr>
              <w:t>Działanie III</w:t>
            </w:r>
          </w:p>
        </w:tc>
        <w:tc>
          <w:tcPr>
            <w:tcW w:w="3655" w:type="dxa"/>
            <w:tcBorders>
              <w:top w:val="dashed" w:sz="4" w:space="0" w:color="5AA2AE"/>
              <w:left w:val="single" w:sz="24" w:space="0" w:color="FFFFFF" w:themeColor="background1"/>
              <w:bottom w:val="dashed" w:sz="4" w:space="0" w:color="5AA2AE"/>
              <w:right w:val="nil"/>
            </w:tcBorders>
            <w:shd w:val="clear" w:color="auto" w:fill="FFFFFF" w:themeFill="background1"/>
            <w:vAlign w:val="center"/>
            <w:hideMark/>
          </w:tcPr>
          <w:p w14:paraId="2A3E6DD7" w14:textId="68F7F41D" w:rsidR="001D67A7" w:rsidRPr="00192C8B" w:rsidRDefault="001D67A7" w:rsidP="001D67A7">
            <w:pPr>
              <w:spacing w:line="276" w:lineRule="auto"/>
              <w:rPr>
                <w:rFonts w:asciiTheme="majorHAnsi" w:hAnsiTheme="majorHAnsi" w:cstheme="majorHAnsi"/>
                <w:color w:val="FF0000"/>
                <w:sz w:val="18"/>
                <w:szCs w:val="18"/>
              </w:rPr>
            </w:pPr>
            <w:r w:rsidRPr="00192C8B">
              <w:rPr>
                <w:rFonts w:asciiTheme="majorHAnsi" w:hAnsiTheme="majorHAnsi" w:cstheme="majorHAnsi"/>
                <w:iCs/>
                <w:color w:val="FF0000"/>
                <w:sz w:val="18"/>
                <w:szCs w:val="18"/>
              </w:rPr>
              <w:t xml:space="preserve">Wprowadzenie środków umożliwiających niezbędną zmianę transformacyjną </w:t>
            </w:r>
          </w:p>
        </w:tc>
        <w:tc>
          <w:tcPr>
            <w:tcW w:w="845" w:type="dxa"/>
            <w:tcBorders>
              <w:top w:val="single" w:sz="24" w:space="0" w:color="FFFFFF" w:themeColor="background1"/>
              <w:left w:val="nil"/>
              <w:bottom w:val="single" w:sz="24" w:space="0" w:color="FFFFFF" w:themeColor="background1"/>
              <w:right w:val="single" w:sz="24" w:space="0" w:color="FFFFFF" w:themeColor="background1"/>
            </w:tcBorders>
            <w:shd w:val="clear" w:color="auto" w:fill="E6EECE"/>
            <w:vAlign w:val="center"/>
            <w:hideMark/>
          </w:tcPr>
          <w:p w14:paraId="38089285" w14:textId="121A0B19" w:rsidR="001D67A7" w:rsidRPr="00192C8B" w:rsidRDefault="001D67A7" w:rsidP="001D67A7">
            <w:pPr>
              <w:spacing w:line="276" w:lineRule="auto"/>
              <w:jc w:val="center"/>
              <w:rPr>
                <w:rFonts w:asciiTheme="majorHAnsi" w:hAnsiTheme="majorHAnsi" w:cstheme="majorHAnsi"/>
                <w:b/>
                <w:color w:val="FF0000"/>
                <w:sz w:val="18"/>
                <w:szCs w:val="18"/>
              </w:rPr>
            </w:pPr>
            <w:r w:rsidRPr="00192C8B">
              <w:rPr>
                <w:rFonts w:asciiTheme="majorHAnsi" w:hAnsiTheme="majorHAnsi" w:cstheme="majorHAnsi"/>
                <w:b/>
                <w:color w:val="FF0000"/>
                <w:sz w:val="18"/>
                <w:szCs w:val="18"/>
              </w:rPr>
              <w:t>Cel 2</w:t>
            </w:r>
          </w:p>
        </w:tc>
        <w:tc>
          <w:tcPr>
            <w:tcW w:w="3651" w:type="dxa"/>
            <w:tcBorders>
              <w:top w:val="dashed" w:sz="4" w:space="0" w:color="5AA2AE"/>
              <w:left w:val="single" w:sz="24" w:space="0" w:color="FFFFFF" w:themeColor="background1"/>
              <w:bottom w:val="dashed" w:sz="4" w:space="0" w:color="5AA2AE"/>
              <w:right w:val="single" w:sz="4" w:space="0" w:color="B4C6E7" w:themeColor="accent5" w:themeTint="66"/>
            </w:tcBorders>
            <w:shd w:val="clear" w:color="auto" w:fill="FFFFFF" w:themeFill="background1"/>
            <w:vAlign w:val="center"/>
            <w:hideMark/>
          </w:tcPr>
          <w:p w14:paraId="055D1ADA" w14:textId="77777777" w:rsidR="001D67A7" w:rsidRPr="00192C8B" w:rsidRDefault="001D67A7" w:rsidP="001D67A7">
            <w:pPr>
              <w:spacing w:line="276" w:lineRule="auto"/>
              <w:rPr>
                <w:rFonts w:asciiTheme="majorHAnsi" w:hAnsiTheme="majorHAnsi" w:cstheme="majorHAnsi"/>
                <w:b/>
                <w:color w:val="FF0000"/>
                <w:sz w:val="18"/>
                <w:szCs w:val="18"/>
              </w:rPr>
            </w:pPr>
            <w:r w:rsidRPr="00192C8B">
              <w:rPr>
                <w:rFonts w:asciiTheme="majorHAnsi" w:hAnsiTheme="majorHAnsi" w:cstheme="majorHAnsi"/>
                <w:b/>
                <w:color w:val="FF0000"/>
                <w:sz w:val="18"/>
                <w:szCs w:val="18"/>
              </w:rPr>
              <w:t>Cel strategiczny 2.</w:t>
            </w:r>
          </w:p>
          <w:p w14:paraId="11BA9687" w14:textId="68C8C25C" w:rsidR="001D67A7" w:rsidRPr="00192C8B" w:rsidRDefault="001D67A7" w:rsidP="001D67A7">
            <w:pPr>
              <w:spacing w:line="276" w:lineRule="auto"/>
              <w:rPr>
                <w:rFonts w:asciiTheme="majorHAnsi" w:hAnsiTheme="majorHAnsi" w:cstheme="majorHAnsi"/>
                <w:color w:val="FF0000"/>
                <w:sz w:val="18"/>
                <w:szCs w:val="18"/>
              </w:rPr>
            </w:pPr>
            <w:r w:rsidRPr="00192C8B">
              <w:rPr>
                <w:rFonts w:asciiTheme="majorHAnsi" w:hAnsiTheme="majorHAnsi" w:cstheme="majorHAnsi"/>
                <w:color w:val="FF0000"/>
                <w:sz w:val="18"/>
                <w:szCs w:val="18"/>
              </w:rPr>
              <w:t xml:space="preserve">Zapewnienie wysokiej jakości życia mieszkańców poprzez efektywną gospodarkę energetyczną, ochronę </w:t>
            </w:r>
            <w:r w:rsidR="00BB7C86">
              <w:rPr>
                <w:rFonts w:asciiTheme="majorHAnsi" w:hAnsiTheme="majorHAnsi" w:cstheme="majorHAnsi"/>
                <w:color w:val="FF0000"/>
                <w:sz w:val="18"/>
                <w:szCs w:val="18"/>
              </w:rPr>
              <w:t>ziemi</w:t>
            </w:r>
            <w:r w:rsidRPr="00192C8B">
              <w:rPr>
                <w:rFonts w:asciiTheme="majorHAnsi" w:hAnsiTheme="majorHAnsi" w:cstheme="majorHAnsi"/>
                <w:color w:val="FF0000"/>
                <w:sz w:val="18"/>
                <w:szCs w:val="18"/>
              </w:rPr>
              <w:t>, powietrza i środowiska naturalnego</w:t>
            </w:r>
          </w:p>
        </w:tc>
      </w:tr>
      <w:tr w:rsidR="00192C8B" w:rsidRPr="00192C8B" w14:paraId="07B673A5" w14:textId="77777777" w:rsidTr="001D67A7">
        <w:trPr>
          <w:trHeight w:val="1417"/>
        </w:trPr>
        <w:tc>
          <w:tcPr>
            <w:tcW w:w="873"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E6EECE"/>
            <w:vAlign w:val="center"/>
          </w:tcPr>
          <w:p w14:paraId="2872F4CD" w14:textId="29F6FC08" w:rsidR="001D67A7" w:rsidRPr="00192C8B" w:rsidRDefault="001D67A7" w:rsidP="001D67A7">
            <w:pPr>
              <w:spacing w:line="276" w:lineRule="auto"/>
              <w:jc w:val="center"/>
              <w:rPr>
                <w:rFonts w:asciiTheme="majorHAnsi" w:hAnsiTheme="majorHAnsi" w:cstheme="majorHAnsi"/>
                <w:b/>
                <w:color w:val="FF0000"/>
                <w:sz w:val="18"/>
                <w:szCs w:val="18"/>
              </w:rPr>
            </w:pPr>
            <w:r w:rsidRPr="00192C8B">
              <w:rPr>
                <w:rFonts w:asciiTheme="majorHAnsi" w:hAnsiTheme="majorHAnsi" w:cstheme="majorHAnsi"/>
                <w:b/>
                <w:color w:val="FF0000"/>
                <w:sz w:val="18"/>
                <w:szCs w:val="18"/>
              </w:rPr>
              <w:t>Działanie IV</w:t>
            </w:r>
          </w:p>
        </w:tc>
        <w:tc>
          <w:tcPr>
            <w:tcW w:w="3655" w:type="dxa"/>
            <w:tcBorders>
              <w:top w:val="dashed" w:sz="4" w:space="0" w:color="5AA2AE"/>
              <w:left w:val="single" w:sz="24" w:space="0" w:color="FFFFFF" w:themeColor="background1"/>
              <w:bottom w:val="single" w:sz="4" w:space="0" w:color="B4C6E7" w:themeColor="accent5" w:themeTint="66"/>
              <w:right w:val="nil"/>
            </w:tcBorders>
            <w:shd w:val="clear" w:color="auto" w:fill="FFFFFF" w:themeFill="background1"/>
            <w:vAlign w:val="center"/>
          </w:tcPr>
          <w:p w14:paraId="5D262D9E" w14:textId="03DBBEC9" w:rsidR="001D67A7" w:rsidRPr="00192C8B" w:rsidRDefault="001D67A7" w:rsidP="001D67A7">
            <w:pPr>
              <w:spacing w:line="276" w:lineRule="auto"/>
              <w:rPr>
                <w:rFonts w:asciiTheme="majorHAnsi" w:hAnsiTheme="majorHAnsi" w:cstheme="majorHAnsi"/>
                <w:iCs/>
                <w:color w:val="FF0000"/>
                <w:sz w:val="18"/>
                <w:szCs w:val="18"/>
              </w:rPr>
            </w:pPr>
            <w:r w:rsidRPr="00192C8B">
              <w:rPr>
                <w:rFonts w:asciiTheme="majorHAnsi" w:hAnsiTheme="majorHAnsi" w:cstheme="majorHAnsi"/>
                <w:iCs/>
                <w:color w:val="FF0000"/>
                <w:sz w:val="18"/>
                <w:szCs w:val="18"/>
              </w:rPr>
              <w:t>Wprowadzenie środków mających na celu sprostanie globalnemu wyzwaniu, jakim jest zachowanie bioróżnorodności</w:t>
            </w:r>
          </w:p>
        </w:tc>
        <w:tc>
          <w:tcPr>
            <w:tcW w:w="845" w:type="dxa"/>
            <w:tcBorders>
              <w:top w:val="single" w:sz="24" w:space="0" w:color="FFFFFF" w:themeColor="background1"/>
              <w:left w:val="nil"/>
              <w:bottom w:val="single" w:sz="24" w:space="0" w:color="FFFFFF" w:themeColor="background1"/>
              <w:right w:val="single" w:sz="24" w:space="0" w:color="FFFFFF" w:themeColor="background1"/>
            </w:tcBorders>
            <w:shd w:val="clear" w:color="auto" w:fill="E6EECE"/>
            <w:vAlign w:val="center"/>
          </w:tcPr>
          <w:p w14:paraId="1CB0FBBD" w14:textId="42105198" w:rsidR="001D67A7" w:rsidRPr="00192C8B" w:rsidRDefault="001D67A7" w:rsidP="001D67A7">
            <w:pPr>
              <w:spacing w:line="276" w:lineRule="auto"/>
              <w:jc w:val="center"/>
              <w:rPr>
                <w:rFonts w:asciiTheme="majorHAnsi" w:hAnsiTheme="majorHAnsi" w:cstheme="majorHAnsi"/>
                <w:b/>
                <w:color w:val="FF0000"/>
                <w:sz w:val="18"/>
                <w:szCs w:val="18"/>
              </w:rPr>
            </w:pPr>
            <w:r w:rsidRPr="00192C8B">
              <w:rPr>
                <w:rFonts w:asciiTheme="majorHAnsi" w:hAnsiTheme="majorHAnsi" w:cstheme="majorHAnsi"/>
                <w:b/>
                <w:color w:val="FF0000"/>
                <w:sz w:val="18"/>
                <w:szCs w:val="18"/>
              </w:rPr>
              <w:t>Cel 2</w:t>
            </w:r>
          </w:p>
        </w:tc>
        <w:tc>
          <w:tcPr>
            <w:tcW w:w="3651" w:type="dxa"/>
            <w:tcBorders>
              <w:top w:val="dashed" w:sz="4" w:space="0" w:color="5AA2AE"/>
              <w:left w:val="single" w:sz="24" w:space="0" w:color="FFFFFF" w:themeColor="background1"/>
              <w:bottom w:val="single" w:sz="4" w:space="0" w:color="B4C6E7" w:themeColor="accent5" w:themeTint="66"/>
              <w:right w:val="single" w:sz="4" w:space="0" w:color="B4C6E7" w:themeColor="accent5" w:themeTint="66"/>
            </w:tcBorders>
            <w:shd w:val="clear" w:color="auto" w:fill="FFFFFF" w:themeFill="background1"/>
            <w:vAlign w:val="center"/>
          </w:tcPr>
          <w:p w14:paraId="0717199A" w14:textId="77777777" w:rsidR="001D67A7" w:rsidRPr="00192C8B" w:rsidRDefault="001D67A7" w:rsidP="001D67A7">
            <w:pPr>
              <w:spacing w:line="276" w:lineRule="auto"/>
              <w:rPr>
                <w:rFonts w:asciiTheme="majorHAnsi" w:hAnsiTheme="majorHAnsi" w:cstheme="majorHAnsi"/>
                <w:b/>
                <w:color w:val="FF0000"/>
                <w:sz w:val="18"/>
                <w:szCs w:val="18"/>
              </w:rPr>
            </w:pPr>
            <w:r w:rsidRPr="00192C8B">
              <w:rPr>
                <w:rFonts w:asciiTheme="majorHAnsi" w:hAnsiTheme="majorHAnsi" w:cstheme="majorHAnsi"/>
                <w:b/>
                <w:color w:val="FF0000"/>
                <w:sz w:val="18"/>
                <w:szCs w:val="18"/>
              </w:rPr>
              <w:t>Cel strategiczny 2.</w:t>
            </w:r>
          </w:p>
          <w:p w14:paraId="4CB6465E" w14:textId="2659DC47" w:rsidR="001D67A7" w:rsidRPr="00192C8B" w:rsidRDefault="001D67A7" w:rsidP="001D67A7">
            <w:pPr>
              <w:spacing w:line="276" w:lineRule="auto"/>
              <w:rPr>
                <w:rFonts w:asciiTheme="majorHAnsi" w:hAnsiTheme="majorHAnsi" w:cstheme="majorHAnsi"/>
                <w:b/>
                <w:color w:val="FF0000"/>
                <w:sz w:val="18"/>
                <w:szCs w:val="18"/>
              </w:rPr>
            </w:pPr>
            <w:r w:rsidRPr="00192C8B">
              <w:rPr>
                <w:rFonts w:asciiTheme="majorHAnsi" w:hAnsiTheme="majorHAnsi" w:cstheme="majorHAnsi"/>
                <w:color w:val="FF0000"/>
                <w:sz w:val="18"/>
                <w:szCs w:val="18"/>
              </w:rPr>
              <w:t xml:space="preserve">Zapewnienie wysokiej jakości życia mieszkańców poprzez efektywną gospodarkę energetyczną, ochronę </w:t>
            </w:r>
            <w:r w:rsidR="00BB7C86">
              <w:rPr>
                <w:rFonts w:asciiTheme="majorHAnsi" w:hAnsiTheme="majorHAnsi" w:cstheme="majorHAnsi"/>
                <w:color w:val="FF0000"/>
                <w:sz w:val="18"/>
                <w:szCs w:val="18"/>
              </w:rPr>
              <w:t>ziemi</w:t>
            </w:r>
            <w:r w:rsidRPr="00192C8B">
              <w:rPr>
                <w:rFonts w:asciiTheme="majorHAnsi" w:hAnsiTheme="majorHAnsi" w:cstheme="majorHAnsi"/>
                <w:color w:val="FF0000"/>
                <w:sz w:val="18"/>
                <w:szCs w:val="18"/>
              </w:rPr>
              <w:t>, powietrza i środowiska naturalnego</w:t>
            </w:r>
          </w:p>
        </w:tc>
      </w:tr>
    </w:tbl>
    <w:p w14:paraId="3093FCD1" w14:textId="77777777" w:rsidR="0036708D" w:rsidRPr="0036708D" w:rsidRDefault="0036708D" w:rsidP="00F60A82">
      <w:pPr>
        <w:pStyle w:val="wyr"/>
        <w:spacing w:before="0" w:line="276" w:lineRule="auto"/>
        <w:rPr>
          <w:rFonts w:asciiTheme="majorHAnsi" w:hAnsiTheme="majorHAnsi" w:cstheme="majorHAnsi"/>
          <w:b w:val="0"/>
          <w:i/>
          <w:color w:val="auto"/>
        </w:rPr>
      </w:pPr>
    </w:p>
    <w:p w14:paraId="3B3E7226" w14:textId="77777777" w:rsidR="002472F2" w:rsidRPr="00453EB1" w:rsidRDefault="002472F2" w:rsidP="00F60A82">
      <w:pPr>
        <w:spacing w:after="0" w:line="276" w:lineRule="auto"/>
        <w:jc w:val="both"/>
        <w:rPr>
          <w:rFonts w:asciiTheme="majorHAnsi" w:eastAsia="Calibri" w:hAnsiTheme="majorHAnsi" w:cstheme="majorHAnsi"/>
          <w:b/>
          <w:bCs/>
          <w:szCs w:val="24"/>
        </w:rPr>
      </w:pPr>
      <w:r w:rsidRPr="00453EB1">
        <w:rPr>
          <w:rFonts w:asciiTheme="majorHAnsi" w:eastAsia="Calibri" w:hAnsiTheme="majorHAnsi" w:cstheme="majorHAnsi"/>
          <w:b/>
          <w:bCs/>
          <w:szCs w:val="24"/>
        </w:rPr>
        <w:t>Krajowa Strategia Rozwoju Regionalnego 2030</w:t>
      </w:r>
    </w:p>
    <w:p w14:paraId="65ADF98A" w14:textId="77777777" w:rsidR="002472F2" w:rsidRPr="00453EB1" w:rsidRDefault="002472F2" w:rsidP="002472F2">
      <w:pPr>
        <w:spacing w:line="276" w:lineRule="auto"/>
        <w:jc w:val="both"/>
        <w:rPr>
          <w:rFonts w:cstheme="majorHAnsi"/>
          <w:b/>
          <w:bCs/>
          <w:i/>
          <w:szCs w:val="20"/>
        </w:rPr>
      </w:pPr>
      <w:r w:rsidRPr="00453EB1">
        <w:rPr>
          <w:rFonts w:asciiTheme="majorHAnsi" w:hAnsiTheme="majorHAnsi" w:cstheme="majorHAnsi"/>
          <w:szCs w:val="20"/>
        </w:rPr>
        <w:t xml:space="preserve">Kluczowe założenia zawarte w Strategii są zgodne z założeniami </w:t>
      </w:r>
      <w:r w:rsidRPr="00453EB1">
        <w:rPr>
          <w:rFonts w:asciiTheme="majorHAnsi" w:hAnsiTheme="majorHAnsi" w:cstheme="majorHAnsi"/>
          <w:bCs/>
          <w:i/>
          <w:szCs w:val="20"/>
        </w:rPr>
        <w:t>Krajowej Strategii Rozwoju Regionalnego 2030</w:t>
      </w:r>
      <w:r w:rsidRPr="00453EB1">
        <w:rPr>
          <w:rFonts w:asciiTheme="majorHAnsi" w:hAnsiTheme="majorHAnsi" w:cstheme="majorHAnsi"/>
          <w:szCs w:val="20"/>
        </w:rPr>
        <w:t>. Rolą KSRR jest powiązanie i koordynacja działań realizujących cele o charakterze horyzontalnym, jakimi jest wzmacnianie konkurencyjności wszystkich regionów, miast i obszarów wiejskich (cele 2 i 3) z celem 1 zapewniającym większą spójność rozwoju kraju, poprzez wsparcie obszarów słabszych gospodarczo.</w:t>
      </w:r>
    </w:p>
    <w:tbl>
      <w:tblPr>
        <w:tblStyle w:val="Tabelasiatki5ciemnaakcent51"/>
        <w:tblW w:w="0" w:type="auto"/>
        <w:tblLook w:val="0420" w:firstRow="1" w:lastRow="0" w:firstColumn="0" w:lastColumn="0" w:noHBand="0" w:noVBand="1"/>
      </w:tblPr>
      <w:tblGrid>
        <w:gridCol w:w="854"/>
        <w:gridCol w:w="3664"/>
        <w:gridCol w:w="847"/>
        <w:gridCol w:w="3659"/>
      </w:tblGrid>
      <w:tr w:rsidR="00453EB1" w:rsidRPr="00754765" w14:paraId="18FB3A5F" w14:textId="77777777" w:rsidTr="006B264B">
        <w:trPr>
          <w:cnfStyle w:val="100000000000" w:firstRow="1" w:lastRow="0" w:firstColumn="0" w:lastColumn="0" w:oddVBand="0" w:evenVBand="0" w:oddHBand="0" w:evenHBand="0" w:firstRowFirstColumn="0" w:firstRowLastColumn="0" w:lastRowFirstColumn="0" w:lastRowLastColumn="0"/>
          <w:trHeight w:val="340"/>
          <w:tblHeader/>
        </w:trPr>
        <w:tc>
          <w:tcPr>
            <w:tcW w:w="4519"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A5C249"/>
            <w:vAlign w:val="center"/>
            <w:hideMark/>
          </w:tcPr>
          <w:p w14:paraId="5E4B05E3" w14:textId="77777777" w:rsidR="002472F2" w:rsidRPr="00754765" w:rsidRDefault="002472F2" w:rsidP="006B264B">
            <w:pPr>
              <w:pStyle w:val="wyr"/>
              <w:spacing w:before="0" w:line="276" w:lineRule="auto"/>
              <w:jc w:val="center"/>
              <w:rPr>
                <w:rFonts w:asciiTheme="majorHAnsi" w:hAnsiTheme="majorHAnsi" w:cstheme="majorHAnsi"/>
                <w:b/>
                <w:color w:val="FFFFFF" w:themeColor="background1"/>
                <w:sz w:val="18"/>
                <w:szCs w:val="18"/>
              </w:rPr>
            </w:pPr>
            <w:r w:rsidRPr="00754765">
              <w:rPr>
                <w:rFonts w:asciiTheme="majorHAnsi" w:hAnsiTheme="majorHAnsi" w:cstheme="majorHAnsi"/>
                <w:b/>
                <w:color w:val="FFFFFF" w:themeColor="background1"/>
                <w:sz w:val="18"/>
                <w:szCs w:val="18"/>
              </w:rPr>
              <w:t>Krajowa Strategia Rozwoju Regionalnego 2030</w:t>
            </w:r>
          </w:p>
        </w:tc>
        <w:tc>
          <w:tcPr>
            <w:tcW w:w="4507"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A5C249"/>
            <w:vAlign w:val="center"/>
            <w:hideMark/>
          </w:tcPr>
          <w:p w14:paraId="7F2DBEBC" w14:textId="77777777" w:rsidR="002472F2" w:rsidRPr="00754765" w:rsidRDefault="002472F2" w:rsidP="00754765">
            <w:pPr>
              <w:pStyle w:val="wyr"/>
              <w:spacing w:before="0" w:line="276" w:lineRule="auto"/>
              <w:jc w:val="center"/>
              <w:rPr>
                <w:rFonts w:asciiTheme="majorHAnsi" w:hAnsiTheme="majorHAnsi" w:cstheme="majorHAnsi"/>
                <w:b/>
                <w:color w:val="FFFFFF" w:themeColor="background1"/>
                <w:sz w:val="18"/>
                <w:szCs w:val="18"/>
              </w:rPr>
            </w:pPr>
            <w:r w:rsidRPr="00754765">
              <w:rPr>
                <w:rFonts w:asciiTheme="majorHAnsi" w:hAnsiTheme="majorHAnsi" w:cstheme="majorHAnsi"/>
                <w:b/>
                <w:color w:val="FFFFFF" w:themeColor="background1"/>
                <w:sz w:val="18"/>
                <w:szCs w:val="18"/>
              </w:rPr>
              <w:t>Strategia Rozwoju Obszaru Funkcjonalnego Południowe Mazury 2030 /OF Południowe Mazury 2030/</w:t>
            </w:r>
          </w:p>
        </w:tc>
      </w:tr>
      <w:tr w:rsidR="00453EB1" w:rsidRPr="00453EB1" w14:paraId="0B2AA1D5" w14:textId="77777777" w:rsidTr="006B264B">
        <w:trPr>
          <w:cnfStyle w:val="000000100000" w:firstRow="0" w:lastRow="0" w:firstColumn="0" w:lastColumn="0" w:oddVBand="0" w:evenVBand="0" w:oddHBand="1" w:evenHBand="0" w:firstRowFirstColumn="0" w:firstRowLastColumn="0" w:lastRowFirstColumn="0" w:lastRowLastColumn="0"/>
          <w:trHeight w:val="1134"/>
        </w:trPr>
        <w:tc>
          <w:tcPr>
            <w:tcW w:w="85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E6EECE"/>
            <w:vAlign w:val="center"/>
          </w:tcPr>
          <w:p w14:paraId="78FAFC97" w14:textId="77777777" w:rsidR="002472F2" w:rsidRPr="0054382A" w:rsidRDefault="002472F2" w:rsidP="006B264B">
            <w:pPr>
              <w:spacing w:line="276" w:lineRule="auto"/>
              <w:jc w:val="center"/>
              <w:rPr>
                <w:rFonts w:asciiTheme="majorHAnsi" w:hAnsiTheme="majorHAnsi" w:cstheme="majorHAnsi"/>
                <w:b/>
                <w:color w:val="538135" w:themeColor="accent6" w:themeShade="BF"/>
                <w:sz w:val="18"/>
                <w:szCs w:val="18"/>
              </w:rPr>
            </w:pPr>
            <w:r w:rsidRPr="0054382A">
              <w:rPr>
                <w:rFonts w:asciiTheme="majorHAnsi" w:hAnsiTheme="majorHAnsi" w:cstheme="majorHAnsi"/>
                <w:b/>
                <w:color w:val="538135" w:themeColor="accent6" w:themeShade="BF"/>
                <w:sz w:val="18"/>
                <w:szCs w:val="18"/>
              </w:rPr>
              <w:t>Cel I</w:t>
            </w:r>
          </w:p>
        </w:tc>
        <w:tc>
          <w:tcPr>
            <w:tcW w:w="3665" w:type="dxa"/>
            <w:tcBorders>
              <w:top w:val="dashed" w:sz="4" w:space="0" w:color="5AA2AE"/>
              <w:left w:val="single" w:sz="24" w:space="0" w:color="FFFFFF" w:themeColor="background1"/>
              <w:bottom w:val="dashed" w:sz="4" w:space="0" w:color="5AA2AE"/>
              <w:right w:val="nil"/>
            </w:tcBorders>
            <w:shd w:val="clear" w:color="auto" w:fill="FFFFFF" w:themeFill="background1"/>
            <w:vAlign w:val="center"/>
          </w:tcPr>
          <w:p w14:paraId="4FB921E5" w14:textId="77777777" w:rsidR="002472F2" w:rsidRPr="00453EB1" w:rsidRDefault="002472F2" w:rsidP="006B264B">
            <w:pPr>
              <w:spacing w:line="276" w:lineRule="auto"/>
              <w:rPr>
                <w:rFonts w:asciiTheme="majorHAnsi" w:hAnsiTheme="majorHAnsi" w:cstheme="majorHAnsi"/>
                <w:sz w:val="18"/>
                <w:szCs w:val="18"/>
              </w:rPr>
            </w:pPr>
            <w:r w:rsidRPr="00453EB1">
              <w:rPr>
                <w:rFonts w:asciiTheme="majorHAnsi" w:hAnsiTheme="majorHAnsi" w:cstheme="majorHAnsi"/>
                <w:sz w:val="18"/>
                <w:szCs w:val="18"/>
              </w:rPr>
              <w:t>Zwiększenie spójności rozwoju kraju w wymiarze społecznym, gospodarczym, środowiskowym i przestrzennym</w:t>
            </w:r>
          </w:p>
        </w:tc>
        <w:tc>
          <w:tcPr>
            <w:tcW w:w="847" w:type="dxa"/>
            <w:tcBorders>
              <w:top w:val="single" w:sz="24" w:space="0" w:color="FFFFFF" w:themeColor="background1"/>
              <w:left w:val="nil"/>
              <w:bottom w:val="single" w:sz="24" w:space="0" w:color="FFFFFF" w:themeColor="background1"/>
              <w:right w:val="single" w:sz="24" w:space="0" w:color="FFFFFF" w:themeColor="background1"/>
            </w:tcBorders>
            <w:shd w:val="clear" w:color="auto" w:fill="E6EECE"/>
            <w:vAlign w:val="center"/>
          </w:tcPr>
          <w:p w14:paraId="0C561D8B" w14:textId="77777777" w:rsidR="002472F2" w:rsidRPr="0054382A" w:rsidRDefault="002472F2" w:rsidP="006B264B">
            <w:pPr>
              <w:spacing w:line="276" w:lineRule="auto"/>
              <w:jc w:val="center"/>
              <w:rPr>
                <w:rFonts w:asciiTheme="majorHAnsi" w:hAnsiTheme="majorHAnsi" w:cstheme="majorHAnsi"/>
                <w:b/>
                <w:color w:val="538135" w:themeColor="accent6" w:themeShade="BF"/>
                <w:sz w:val="18"/>
                <w:szCs w:val="18"/>
              </w:rPr>
            </w:pPr>
            <w:r w:rsidRPr="0054382A">
              <w:rPr>
                <w:rFonts w:asciiTheme="majorHAnsi" w:hAnsiTheme="majorHAnsi" w:cstheme="majorHAnsi"/>
                <w:b/>
                <w:color w:val="538135" w:themeColor="accent6" w:themeShade="BF"/>
                <w:sz w:val="18"/>
                <w:szCs w:val="18"/>
              </w:rPr>
              <w:t>Cel 1</w:t>
            </w:r>
          </w:p>
          <w:p w14:paraId="5EB81EAF" w14:textId="77777777" w:rsidR="002472F2" w:rsidRPr="0054382A" w:rsidRDefault="002472F2" w:rsidP="006B264B">
            <w:pPr>
              <w:spacing w:line="276" w:lineRule="auto"/>
              <w:jc w:val="center"/>
              <w:rPr>
                <w:rFonts w:asciiTheme="majorHAnsi" w:hAnsiTheme="majorHAnsi" w:cstheme="majorHAnsi"/>
                <w:b/>
                <w:color w:val="538135" w:themeColor="accent6" w:themeShade="BF"/>
                <w:sz w:val="18"/>
                <w:szCs w:val="18"/>
              </w:rPr>
            </w:pPr>
            <w:r w:rsidRPr="0054382A">
              <w:rPr>
                <w:rFonts w:asciiTheme="majorHAnsi" w:hAnsiTheme="majorHAnsi" w:cstheme="majorHAnsi"/>
                <w:b/>
                <w:color w:val="538135" w:themeColor="accent6" w:themeShade="BF"/>
                <w:sz w:val="18"/>
                <w:szCs w:val="18"/>
              </w:rPr>
              <w:t>Cel 2</w:t>
            </w:r>
          </w:p>
          <w:p w14:paraId="587DFA76" w14:textId="77777777" w:rsidR="002472F2" w:rsidRPr="0054382A" w:rsidRDefault="002472F2" w:rsidP="006B264B">
            <w:pPr>
              <w:spacing w:line="276" w:lineRule="auto"/>
              <w:jc w:val="center"/>
              <w:rPr>
                <w:rFonts w:asciiTheme="majorHAnsi" w:hAnsiTheme="majorHAnsi" w:cstheme="majorHAnsi"/>
                <w:b/>
                <w:color w:val="538135" w:themeColor="accent6" w:themeShade="BF"/>
                <w:sz w:val="18"/>
                <w:szCs w:val="18"/>
              </w:rPr>
            </w:pPr>
            <w:r w:rsidRPr="0054382A">
              <w:rPr>
                <w:rFonts w:asciiTheme="majorHAnsi" w:hAnsiTheme="majorHAnsi" w:cstheme="majorHAnsi"/>
                <w:b/>
                <w:color w:val="538135" w:themeColor="accent6" w:themeShade="BF"/>
                <w:sz w:val="18"/>
                <w:szCs w:val="18"/>
              </w:rPr>
              <w:t>Cel 4</w:t>
            </w:r>
          </w:p>
        </w:tc>
        <w:tc>
          <w:tcPr>
            <w:tcW w:w="3660" w:type="dxa"/>
            <w:tcBorders>
              <w:top w:val="dashed" w:sz="4" w:space="0" w:color="5AA2AE"/>
              <w:left w:val="single" w:sz="24" w:space="0" w:color="FFFFFF" w:themeColor="background1"/>
              <w:bottom w:val="dashed" w:sz="4" w:space="0" w:color="5AA2AE"/>
              <w:right w:val="single" w:sz="4" w:space="0" w:color="B4C6E7" w:themeColor="accent5" w:themeTint="66"/>
            </w:tcBorders>
            <w:shd w:val="clear" w:color="auto" w:fill="FFFFFF" w:themeFill="background1"/>
            <w:vAlign w:val="center"/>
          </w:tcPr>
          <w:p w14:paraId="73FE675E" w14:textId="77777777" w:rsidR="002472F2" w:rsidRPr="00453EB1" w:rsidRDefault="002472F2" w:rsidP="006B264B">
            <w:pPr>
              <w:spacing w:line="276" w:lineRule="auto"/>
              <w:rPr>
                <w:rFonts w:asciiTheme="majorHAnsi" w:hAnsiTheme="majorHAnsi" w:cstheme="majorHAnsi"/>
                <w:b/>
                <w:sz w:val="18"/>
                <w:szCs w:val="18"/>
              </w:rPr>
            </w:pPr>
            <w:r w:rsidRPr="00453EB1">
              <w:rPr>
                <w:rFonts w:asciiTheme="majorHAnsi" w:hAnsiTheme="majorHAnsi" w:cstheme="majorHAnsi"/>
                <w:b/>
                <w:sz w:val="18"/>
                <w:szCs w:val="18"/>
              </w:rPr>
              <w:t>Cel strategiczny 1</w:t>
            </w:r>
          </w:p>
          <w:p w14:paraId="01D06D93" w14:textId="77777777" w:rsidR="002472F2" w:rsidRPr="00453EB1" w:rsidRDefault="002472F2" w:rsidP="006B264B">
            <w:pPr>
              <w:spacing w:line="276" w:lineRule="auto"/>
              <w:rPr>
                <w:rFonts w:asciiTheme="majorHAnsi" w:hAnsiTheme="majorHAnsi" w:cstheme="majorHAnsi"/>
                <w:sz w:val="18"/>
                <w:szCs w:val="18"/>
              </w:rPr>
            </w:pPr>
            <w:r w:rsidRPr="00453EB1">
              <w:rPr>
                <w:rFonts w:asciiTheme="majorHAnsi" w:hAnsiTheme="majorHAnsi" w:cstheme="majorHAnsi"/>
                <w:sz w:val="18"/>
                <w:szCs w:val="18"/>
              </w:rPr>
              <w:t>Tworzenie warunków dla dynamicznego wzrostu gospodarczego w oparciu o wydajny układ komunikacyjny i tworzenie atrakcyjnych terenów inwestycyjnych</w:t>
            </w:r>
          </w:p>
          <w:p w14:paraId="34084D96" w14:textId="77777777" w:rsidR="002472F2" w:rsidRPr="00453EB1" w:rsidRDefault="002472F2" w:rsidP="006B264B">
            <w:pPr>
              <w:spacing w:line="276" w:lineRule="auto"/>
              <w:rPr>
                <w:rFonts w:asciiTheme="majorHAnsi" w:hAnsiTheme="majorHAnsi" w:cstheme="majorHAnsi"/>
                <w:b/>
                <w:sz w:val="18"/>
                <w:szCs w:val="18"/>
              </w:rPr>
            </w:pPr>
            <w:r w:rsidRPr="00453EB1">
              <w:rPr>
                <w:rFonts w:asciiTheme="majorHAnsi" w:hAnsiTheme="majorHAnsi" w:cstheme="majorHAnsi"/>
                <w:b/>
                <w:sz w:val="18"/>
                <w:szCs w:val="18"/>
              </w:rPr>
              <w:t>Cel strategiczny 2.</w:t>
            </w:r>
          </w:p>
          <w:p w14:paraId="3D953B47" w14:textId="0255B5A8" w:rsidR="002472F2" w:rsidRPr="00453EB1" w:rsidRDefault="002472F2" w:rsidP="006B264B">
            <w:pPr>
              <w:spacing w:line="276" w:lineRule="auto"/>
              <w:rPr>
                <w:rFonts w:asciiTheme="majorHAnsi" w:hAnsiTheme="majorHAnsi" w:cstheme="majorHAnsi"/>
                <w:sz w:val="18"/>
                <w:szCs w:val="18"/>
              </w:rPr>
            </w:pPr>
            <w:r w:rsidRPr="00453EB1">
              <w:rPr>
                <w:rFonts w:asciiTheme="majorHAnsi" w:hAnsiTheme="majorHAnsi" w:cstheme="majorHAnsi"/>
                <w:sz w:val="18"/>
                <w:szCs w:val="18"/>
              </w:rPr>
              <w:t xml:space="preserve">Zapewnienie wysokiej jakości życia mieszkańców poprzez efektywną gospodarkę energetyczną, ochronę </w:t>
            </w:r>
            <w:r w:rsidR="00BB7C86">
              <w:rPr>
                <w:rFonts w:asciiTheme="majorHAnsi" w:hAnsiTheme="majorHAnsi" w:cstheme="majorHAnsi"/>
                <w:color w:val="FF0000"/>
                <w:sz w:val="18"/>
                <w:szCs w:val="18"/>
              </w:rPr>
              <w:t>ziemi</w:t>
            </w:r>
            <w:r w:rsidRPr="00453EB1">
              <w:rPr>
                <w:rFonts w:asciiTheme="majorHAnsi" w:hAnsiTheme="majorHAnsi" w:cstheme="majorHAnsi"/>
                <w:sz w:val="18"/>
                <w:szCs w:val="18"/>
              </w:rPr>
              <w:t>, powietrza i środowiska naturalnego</w:t>
            </w:r>
          </w:p>
          <w:p w14:paraId="210FDDB9" w14:textId="77777777" w:rsidR="002472F2" w:rsidRPr="00453EB1" w:rsidRDefault="002472F2" w:rsidP="006B264B">
            <w:pPr>
              <w:spacing w:line="276" w:lineRule="auto"/>
              <w:rPr>
                <w:rFonts w:asciiTheme="majorHAnsi" w:hAnsiTheme="majorHAnsi" w:cstheme="majorHAnsi"/>
                <w:b/>
                <w:sz w:val="18"/>
                <w:szCs w:val="18"/>
              </w:rPr>
            </w:pPr>
            <w:r w:rsidRPr="00453EB1">
              <w:rPr>
                <w:rFonts w:asciiTheme="majorHAnsi" w:hAnsiTheme="majorHAnsi" w:cstheme="majorHAnsi"/>
                <w:b/>
                <w:sz w:val="18"/>
                <w:szCs w:val="18"/>
              </w:rPr>
              <w:t>Cel strategiczny 4.</w:t>
            </w:r>
          </w:p>
          <w:p w14:paraId="78B9CE42" w14:textId="77777777" w:rsidR="002472F2" w:rsidRPr="00453EB1" w:rsidRDefault="002472F2" w:rsidP="006B264B">
            <w:pPr>
              <w:spacing w:line="276" w:lineRule="auto"/>
              <w:rPr>
                <w:rFonts w:asciiTheme="majorHAnsi" w:hAnsiTheme="majorHAnsi" w:cstheme="majorHAnsi"/>
                <w:sz w:val="18"/>
                <w:szCs w:val="18"/>
              </w:rPr>
            </w:pPr>
            <w:r w:rsidRPr="00453EB1">
              <w:rPr>
                <w:rFonts w:asciiTheme="majorHAnsi" w:hAnsiTheme="majorHAnsi" w:cstheme="majorHAnsi"/>
                <w:sz w:val="18"/>
                <w:szCs w:val="18"/>
              </w:rPr>
              <w:t>Budowa zintegrowanego systemu wyspecjalizowanych usług publicznych w obszarach zabezpieczenia społecznego, opieki senioralnej, ochrony zdrowia</w:t>
            </w:r>
          </w:p>
        </w:tc>
      </w:tr>
      <w:tr w:rsidR="00453EB1" w:rsidRPr="00453EB1" w14:paraId="4A3F8570" w14:textId="77777777" w:rsidTr="006B264B">
        <w:trPr>
          <w:trHeight w:val="1134"/>
        </w:trPr>
        <w:tc>
          <w:tcPr>
            <w:tcW w:w="85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E6EECE"/>
            <w:vAlign w:val="center"/>
            <w:hideMark/>
          </w:tcPr>
          <w:p w14:paraId="7D8F128F" w14:textId="77777777" w:rsidR="002472F2" w:rsidRPr="0054382A" w:rsidRDefault="002472F2" w:rsidP="006B264B">
            <w:pPr>
              <w:spacing w:line="276" w:lineRule="auto"/>
              <w:jc w:val="center"/>
              <w:rPr>
                <w:rFonts w:asciiTheme="majorHAnsi" w:hAnsiTheme="majorHAnsi" w:cstheme="majorHAnsi"/>
                <w:b/>
                <w:color w:val="538135" w:themeColor="accent6" w:themeShade="BF"/>
                <w:sz w:val="18"/>
                <w:szCs w:val="18"/>
              </w:rPr>
            </w:pPr>
            <w:r w:rsidRPr="0054382A">
              <w:rPr>
                <w:rFonts w:asciiTheme="majorHAnsi" w:hAnsiTheme="majorHAnsi" w:cstheme="majorHAnsi"/>
                <w:b/>
                <w:color w:val="538135" w:themeColor="accent6" w:themeShade="BF"/>
                <w:sz w:val="18"/>
                <w:szCs w:val="18"/>
              </w:rPr>
              <w:t>Cel II</w:t>
            </w:r>
          </w:p>
        </w:tc>
        <w:tc>
          <w:tcPr>
            <w:tcW w:w="3665" w:type="dxa"/>
            <w:tcBorders>
              <w:top w:val="dashed" w:sz="4" w:space="0" w:color="5AA2AE"/>
              <w:left w:val="single" w:sz="24" w:space="0" w:color="FFFFFF" w:themeColor="background1"/>
              <w:bottom w:val="dashed" w:sz="4" w:space="0" w:color="5AA2AE"/>
              <w:right w:val="nil"/>
            </w:tcBorders>
            <w:shd w:val="clear" w:color="auto" w:fill="FFFFFF" w:themeFill="background1"/>
            <w:vAlign w:val="center"/>
            <w:hideMark/>
          </w:tcPr>
          <w:p w14:paraId="74C80244" w14:textId="77777777" w:rsidR="002472F2" w:rsidRPr="00453EB1" w:rsidRDefault="002472F2" w:rsidP="006B264B">
            <w:pPr>
              <w:spacing w:line="276" w:lineRule="auto"/>
              <w:rPr>
                <w:rFonts w:asciiTheme="majorHAnsi" w:hAnsiTheme="majorHAnsi" w:cstheme="majorHAnsi"/>
                <w:sz w:val="18"/>
                <w:szCs w:val="18"/>
              </w:rPr>
            </w:pPr>
            <w:r w:rsidRPr="00453EB1">
              <w:rPr>
                <w:rFonts w:asciiTheme="majorHAnsi" w:hAnsiTheme="majorHAnsi" w:cstheme="majorHAnsi"/>
                <w:iCs/>
                <w:sz w:val="18"/>
                <w:szCs w:val="18"/>
              </w:rPr>
              <w:t>Wzmacnianie regionalnych przewag konkurencyjnych</w:t>
            </w:r>
          </w:p>
        </w:tc>
        <w:tc>
          <w:tcPr>
            <w:tcW w:w="847" w:type="dxa"/>
            <w:tcBorders>
              <w:top w:val="single" w:sz="24" w:space="0" w:color="FFFFFF" w:themeColor="background1"/>
              <w:left w:val="nil"/>
              <w:bottom w:val="single" w:sz="24" w:space="0" w:color="FFFFFF" w:themeColor="background1"/>
              <w:right w:val="single" w:sz="24" w:space="0" w:color="FFFFFF" w:themeColor="background1"/>
            </w:tcBorders>
            <w:shd w:val="clear" w:color="auto" w:fill="E6EECE"/>
            <w:vAlign w:val="center"/>
            <w:hideMark/>
          </w:tcPr>
          <w:p w14:paraId="380BD088" w14:textId="77777777" w:rsidR="002472F2" w:rsidRPr="0054382A" w:rsidRDefault="002472F2" w:rsidP="006B264B">
            <w:pPr>
              <w:spacing w:line="276" w:lineRule="auto"/>
              <w:jc w:val="center"/>
              <w:rPr>
                <w:rFonts w:asciiTheme="majorHAnsi" w:hAnsiTheme="majorHAnsi" w:cstheme="majorHAnsi"/>
                <w:b/>
                <w:color w:val="538135" w:themeColor="accent6" w:themeShade="BF"/>
                <w:sz w:val="18"/>
                <w:szCs w:val="18"/>
              </w:rPr>
            </w:pPr>
            <w:r w:rsidRPr="0054382A">
              <w:rPr>
                <w:rFonts w:asciiTheme="majorHAnsi" w:hAnsiTheme="majorHAnsi" w:cstheme="majorHAnsi"/>
                <w:b/>
                <w:color w:val="538135" w:themeColor="accent6" w:themeShade="BF"/>
                <w:sz w:val="18"/>
                <w:szCs w:val="18"/>
              </w:rPr>
              <w:t>Cel 3</w:t>
            </w:r>
          </w:p>
          <w:p w14:paraId="384BC58D" w14:textId="77777777" w:rsidR="002472F2" w:rsidRPr="0054382A" w:rsidRDefault="002472F2" w:rsidP="006B264B">
            <w:pPr>
              <w:spacing w:line="276" w:lineRule="auto"/>
              <w:jc w:val="center"/>
              <w:rPr>
                <w:rFonts w:asciiTheme="majorHAnsi" w:hAnsiTheme="majorHAnsi" w:cstheme="majorHAnsi"/>
                <w:b/>
                <w:color w:val="538135" w:themeColor="accent6" w:themeShade="BF"/>
                <w:sz w:val="18"/>
                <w:szCs w:val="18"/>
              </w:rPr>
            </w:pPr>
            <w:r w:rsidRPr="0054382A">
              <w:rPr>
                <w:rFonts w:asciiTheme="majorHAnsi" w:hAnsiTheme="majorHAnsi" w:cstheme="majorHAnsi"/>
                <w:b/>
                <w:color w:val="538135" w:themeColor="accent6" w:themeShade="BF"/>
                <w:sz w:val="18"/>
                <w:szCs w:val="18"/>
              </w:rPr>
              <w:t>Cel 5</w:t>
            </w:r>
          </w:p>
        </w:tc>
        <w:tc>
          <w:tcPr>
            <w:tcW w:w="3660" w:type="dxa"/>
            <w:tcBorders>
              <w:top w:val="dashed" w:sz="4" w:space="0" w:color="5AA2AE"/>
              <w:left w:val="single" w:sz="24" w:space="0" w:color="FFFFFF" w:themeColor="background1"/>
              <w:bottom w:val="dashed" w:sz="4" w:space="0" w:color="5AA2AE"/>
              <w:right w:val="single" w:sz="4" w:space="0" w:color="B4C6E7" w:themeColor="accent5" w:themeTint="66"/>
            </w:tcBorders>
            <w:shd w:val="clear" w:color="auto" w:fill="FFFFFF" w:themeFill="background1"/>
            <w:vAlign w:val="center"/>
            <w:hideMark/>
          </w:tcPr>
          <w:p w14:paraId="4DE68B63" w14:textId="77777777" w:rsidR="002472F2" w:rsidRPr="00453EB1" w:rsidRDefault="002472F2" w:rsidP="006B264B">
            <w:pPr>
              <w:spacing w:line="276" w:lineRule="auto"/>
              <w:rPr>
                <w:rFonts w:asciiTheme="majorHAnsi" w:hAnsiTheme="majorHAnsi" w:cstheme="majorHAnsi"/>
                <w:b/>
                <w:sz w:val="18"/>
                <w:szCs w:val="18"/>
              </w:rPr>
            </w:pPr>
            <w:r w:rsidRPr="00453EB1">
              <w:rPr>
                <w:rFonts w:asciiTheme="majorHAnsi" w:hAnsiTheme="majorHAnsi" w:cstheme="majorHAnsi"/>
                <w:b/>
                <w:sz w:val="18"/>
                <w:szCs w:val="18"/>
              </w:rPr>
              <w:t>Cel strategiczny 3.</w:t>
            </w:r>
          </w:p>
          <w:p w14:paraId="207E34A7" w14:textId="77777777" w:rsidR="002472F2" w:rsidRPr="00453EB1" w:rsidRDefault="002472F2" w:rsidP="006B264B">
            <w:pPr>
              <w:spacing w:line="276" w:lineRule="auto"/>
              <w:rPr>
                <w:rFonts w:asciiTheme="majorHAnsi" w:hAnsiTheme="majorHAnsi" w:cstheme="majorHAnsi"/>
                <w:sz w:val="18"/>
                <w:szCs w:val="18"/>
              </w:rPr>
            </w:pPr>
            <w:r w:rsidRPr="00453EB1">
              <w:rPr>
                <w:rFonts w:asciiTheme="majorHAnsi" w:hAnsiTheme="majorHAnsi" w:cstheme="majorHAnsi"/>
                <w:sz w:val="18"/>
                <w:szCs w:val="18"/>
              </w:rPr>
              <w:t>Dywersyfikacja struktury gospodarczej Obszaru Funkcjonalnego przy wykorzystaniu unikatowego potencjału zasobów lokalnych - dziedzictwa przyrody i kultury</w:t>
            </w:r>
          </w:p>
          <w:p w14:paraId="24B69C6C" w14:textId="77777777" w:rsidR="002472F2" w:rsidRPr="00453EB1" w:rsidRDefault="002472F2" w:rsidP="006B264B">
            <w:pPr>
              <w:spacing w:line="276" w:lineRule="auto"/>
              <w:rPr>
                <w:rFonts w:asciiTheme="majorHAnsi" w:hAnsiTheme="majorHAnsi" w:cstheme="majorHAnsi"/>
                <w:b/>
                <w:sz w:val="18"/>
                <w:szCs w:val="18"/>
              </w:rPr>
            </w:pPr>
            <w:r w:rsidRPr="00453EB1">
              <w:rPr>
                <w:rFonts w:asciiTheme="majorHAnsi" w:hAnsiTheme="majorHAnsi" w:cstheme="majorHAnsi"/>
                <w:b/>
                <w:sz w:val="18"/>
                <w:szCs w:val="18"/>
              </w:rPr>
              <w:t>Cel strategiczny 5.</w:t>
            </w:r>
          </w:p>
          <w:p w14:paraId="0C9BA617" w14:textId="77777777" w:rsidR="002472F2" w:rsidRPr="00453EB1" w:rsidRDefault="002472F2" w:rsidP="006B264B">
            <w:pPr>
              <w:spacing w:line="276" w:lineRule="auto"/>
              <w:rPr>
                <w:rFonts w:asciiTheme="majorHAnsi" w:hAnsiTheme="majorHAnsi" w:cstheme="majorHAnsi"/>
                <w:sz w:val="18"/>
                <w:szCs w:val="18"/>
              </w:rPr>
            </w:pPr>
            <w:r w:rsidRPr="00453EB1">
              <w:rPr>
                <w:rFonts w:asciiTheme="majorHAnsi" w:hAnsiTheme="majorHAnsi" w:cstheme="majorHAnsi"/>
                <w:sz w:val="18"/>
                <w:szCs w:val="18"/>
              </w:rPr>
              <w:t>Wzmacnianie potencjału społeczeństwa obywatelskiego poprzez rozwijanie potencjału kapitału ludzkiego i społecznego oraz rozwój instytucjonalny</w:t>
            </w:r>
          </w:p>
        </w:tc>
      </w:tr>
      <w:tr w:rsidR="00453EB1" w:rsidRPr="00453EB1" w14:paraId="1E48C8C8" w14:textId="77777777" w:rsidTr="006B264B">
        <w:trPr>
          <w:cnfStyle w:val="000000100000" w:firstRow="0" w:lastRow="0" w:firstColumn="0" w:lastColumn="0" w:oddVBand="0" w:evenVBand="0" w:oddHBand="1" w:evenHBand="0" w:firstRowFirstColumn="0" w:firstRowLastColumn="0" w:lastRowFirstColumn="0" w:lastRowLastColumn="0"/>
          <w:trHeight w:val="1417"/>
        </w:trPr>
        <w:tc>
          <w:tcPr>
            <w:tcW w:w="85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E6EECE"/>
            <w:vAlign w:val="center"/>
            <w:hideMark/>
          </w:tcPr>
          <w:p w14:paraId="01EF05AA" w14:textId="77777777" w:rsidR="002472F2" w:rsidRPr="0054382A" w:rsidRDefault="002472F2" w:rsidP="006B264B">
            <w:pPr>
              <w:spacing w:line="276" w:lineRule="auto"/>
              <w:jc w:val="center"/>
              <w:rPr>
                <w:rFonts w:asciiTheme="majorHAnsi" w:hAnsiTheme="majorHAnsi" w:cstheme="majorHAnsi"/>
                <w:b/>
                <w:color w:val="538135" w:themeColor="accent6" w:themeShade="BF"/>
                <w:sz w:val="18"/>
                <w:szCs w:val="18"/>
              </w:rPr>
            </w:pPr>
            <w:r w:rsidRPr="0054382A">
              <w:rPr>
                <w:rFonts w:asciiTheme="majorHAnsi" w:hAnsiTheme="majorHAnsi" w:cstheme="majorHAnsi"/>
                <w:b/>
                <w:color w:val="538135" w:themeColor="accent6" w:themeShade="BF"/>
                <w:sz w:val="18"/>
                <w:szCs w:val="18"/>
              </w:rPr>
              <w:t>Cel III</w:t>
            </w:r>
          </w:p>
        </w:tc>
        <w:tc>
          <w:tcPr>
            <w:tcW w:w="3665" w:type="dxa"/>
            <w:tcBorders>
              <w:top w:val="dashed" w:sz="4" w:space="0" w:color="5AA2AE"/>
              <w:left w:val="single" w:sz="24" w:space="0" w:color="FFFFFF" w:themeColor="background1"/>
              <w:bottom w:val="single" w:sz="4" w:space="0" w:color="B4C6E7" w:themeColor="accent5" w:themeTint="66"/>
              <w:right w:val="nil"/>
            </w:tcBorders>
            <w:shd w:val="clear" w:color="auto" w:fill="FFFFFF" w:themeFill="background1"/>
            <w:vAlign w:val="center"/>
            <w:hideMark/>
          </w:tcPr>
          <w:p w14:paraId="49B8F46B" w14:textId="77777777" w:rsidR="002472F2" w:rsidRPr="00453EB1" w:rsidRDefault="002472F2" w:rsidP="006B264B">
            <w:pPr>
              <w:spacing w:line="276" w:lineRule="auto"/>
              <w:rPr>
                <w:rFonts w:asciiTheme="majorHAnsi" w:hAnsiTheme="majorHAnsi" w:cstheme="majorHAnsi"/>
                <w:sz w:val="18"/>
                <w:szCs w:val="18"/>
              </w:rPr>
            </w:pPr>
            <w:r w:rsidRPr="00453EB1">
              <w:rPr>
                <w:rFonts w:asciiTheme="majorHAnsi" w:hAnsiTheme="majorHAnsi" w:cstheme="majorHAnsi"/>
                <w:iCs/>
                <w:sz w:val="18"/>
                <w:szCs w:val="18"/>
              </w:rPr>
              <w:t>Podniesienie jakości zarządzania i wdrażania polityk ukierunkowanych terytorialnie</w:t>
            </w:r>
          </w:p>
        </w:tc>
        <w:tc>
          <w:tcPr>
            <w:tcW w:w="847" w:type="dxa"/>
            <w:tcBorders>
              <w:top w:val="single" w:sz="24" w:space="0" w:color="FFFFFF" w:themeColor="background1"/>
              <w:left w:val="nil"/>
              <w:bottom w:val="single" w:sz="24" w:space="0" w:color="FFFFFF" w:themeColor="background1"/>
              <w:right w:val="single" w:sz="24" w:space="0" w:color="FFFFFF" w:themeColor="background1"/>
            </w:tcBorders>
            <w:shd w:val="clear" w:color="auto" w:fill="E6EECE"/>
            <w:vAlign w:val="center"/>
            <w:hideMark/>
          </w:tcPr>
          <w:p w14:paraId="57858669" w14:textId="77777777" w:rsidR="002472F2" w:rsidRPr="0054382A" w:rsidRDefault="002472F2" w:rsidP="006B264B">
            <w:pPr>
              <w:spacing w:line="276" w:lineRule="auto"/>
              <w:jc w:val="center"/>
              <w:rPr>
                <w:rFonts w:asciiTheme="majorHAnsi" w:hAnsiTheme="majorHAnsi" w:cstheme="majorHAnsi"/>
                <w:b/>
                <w:color w:val="538135" w:themeColor="accent6" w:themeShade="BF"/>
                <w:sz w:val="18"/>
                <w:szCs w:val="18"/>
              </w:rPr>
            </w:pPr>
            <w:r w:rsidRPr="0054382A">
              <w:rPr>
                <w:rFonts w:asciiTheme="majorHAnsi" w:hAnsiTheme="majorHAnsi" w:cstheme="majorHAnsi"/>
                <w:b/>
                <w:color w:val="538135" w:themeColor="accent6" w:themeShade="BF"/>
                <w:sz w:val="18"/>
                <w:szCs w:val="18"/>
              </w:rPr>
              <w:t>Cel 4</w:t>
            </w:r>
          </w:p>
        </w:tc>
        <w:tc>
          <w:tcPr>
            <w:tcW w:w="3660" w:type="dxa"/>
            <w:tcBorders>
              <w:top w:val="dashed" w:sz="4" w:space="0" w:color="5AA2AE"/>
              <w:left w:val="single" w:sz="24" w:space="0" w:color="FFFFFF" w:themeColor="background1"/>
              <w:bottom w:val="single" w:sz="4" w:space="0" w:color="B4C6E7" w:themeColor="accent5" w:themeTint="66"/>
              <w:right w:val="single" w:sz="4" w:space="0" w:color="B4C6E7" w:themeColor="accent5" w:themeTint="66"/>
            </w:tcBorders>
            <w:shd w:val="clear" w:color="auto" w:fill="FFFFFF" w:themeFill="background1"/>
            <w:vAlign w:val="center"/>
            <w:hideMark/>
          </w:tcPr>
          <w:p w14:paraId="38825D4F" w14:textId="77777777" w:rsidR="002472F2" w:rsidRPr="00453EB1" w:rsidRDefault="002472F2" w:rsidP="006B264B">
            <w:pPr>
              <w:spacing w:line="276" w:lineRule="auto"/>
              <w:rPr>
                <w:rFonts w:asciiTheme="majorHAnsi" w:hAnsiTheme="majorHAnsi" w:cstheme="majorHAnsi"/>
                <w:b/>
                <w:sz w:val="18"/>
                <w:szCs w:val="18"/>
              </w:rPr>
            </w:pPr>
            <w:r w:rsidRPr="00453EB1">
              <w:rPr>
                <w:rFonts w:asciiTheme="majorHAnsi" w:hAnsiTheme="majorHAnsi" w:cstheme="majorHAnsi"/>
                <w:b/>
                <w:sz w:val="18"/>
                <w:szCs w:val="18"/>
              </w:rPr>
              <w:t>Cel strategiczny 4.</w:t>
            </w:r>
          </w:p>
          <w:p w14:paraId="7C428081" w14:textId="77777777" w:rsidR="002472F2" w:rsidRPr="00453EB1" w:rsidRDefault="002472F2" w:rsidP="006B264B">
            <w:pPr>
              <w:spacing w:line="276" w:lineRule="auto"/>
              <w:rPr>
                <w:rFonts w:asciiTheme="majorHAnsi" w:hAnsiTheme="majorHAnsi" w:cstheme="majorHAnsi"/>
                <w:sz w:val="18"/>
                <w:szCs w:val="18"/>
              </w:rPr>
            </w:pPr>
            <w:r w:rsidRPr="00453EB1">
              <w:rPr>
                <w:rFonts w:asciiTheme="majorHAnsi" w:hAnsiTheme="majorHAnsi" w:cstheme="majorHAnsi"/>
                <w:sz w:val="18"/>
                <w:szCs w:val="18"/>
              </w:rPr>
              <w:t>Budowa zintegrowanego systemu wyspecjalizowanych usług publicznych w obszarach zabezpieczenia społecznego, opieki senioralnej, ochrony zdrowia</w:t>
            </w:r>
          </w:p>
        </w:tc>
      </w:tr>
    </w:tbl>
    <w:p w14:paraId="246C4BCC" w14:textId="321C6152" w:rsidR="00094ACC" w:rsidRDefault="00094ACC" w:rsidP="00094ACC">
      <w:pPr>
        <w:pStyle w:val="wyr"/>
        <w:spacing w:line="276" w:lineRule="auto"/>
        <w:rPr>
          <w:rFonts w:asciiTheme="majorHAnsi" w:hAnsiTheme="majorHAnsi" w:cstheme="majorHAnsi"/>
          <w:color w:val="A5C249"/>
        </w:rPr>
      </w:pPr>
      <w:r>
        <w:rPr>
          <w:rFonts w:asciiTheme="majorHAnsi" w:hAnsiTheme="majorHAnsi" w:cstheme="majorHAnsi"/>
          <w:color w:val="A5C249"/>
        </w:rPr>
        <w:t>Strategia na rzecz Odpowiedzialnego Rozwoju do roku 2020 (z perspektywą do 2030</w:t>
      </w:r>
      <w:r w:rsidR="00F7062F">
        <w:rPr>
          <w:rFonts w:asciiTheme="majorHAnsi" w:hAnsiTheme="majorHAnsi" w:cstheme="majorHAnsi"/>
          <w:color w:val="A5C249"/>
        </w:rPr>
        <w:t>r.</w:t>
      </w:r>
      <w:r>
        <w:rPr>
          <w:rFonts w:asciiTheme="majorHAnsi" w:hAnsiTheme="majorHAnsi" w:cstheme="majorHAnsi"/>
          <w:color w:val="A5C249"/>
        </w:rPr>
        <w:t>)</w:t>
      </w:r>
    </w:p>
    <w:p w14:paraId="69A492AB" w14:textId="77777777" w:rsidR="00094ACC" w:rsidRDefault="00094ACC" w:rsidP="00094ACC">
      <w:pPr>
        <w:spacing w:line="276" w:lineRule="auto"/>
        <w:jc w:val="both"/>
        <w:rPr>
          <w:rFonts w:asciiTheme="majorHAnsi" w:hAnsiTheme="majorHAnsi" w:cstheme="majorHAnsi"/>
          <w:szCs w:val="20"/>
        </w:rPr>
      </w:pPr>
      <w:r>
        <w:rPr>
          <w:rFonts w:asciiTheme="majorHAnsi" w:hAnsiTheme="majorHAnsi" w:cstheme="majorHAnsi"/>
          <w:szCs w:val="20"/>
        </w:rPr>
        <w:t xml:space="preserve">Cele rozwojowe wskazane w Strategii w pełni korespondują z obszarami strategicznymi oraz celami zawartymi w </w:t>
      </w:r>
      <w:r>
        <w:rPr>
          <w:rFonts w:asciiTheme="majorHAnsi" w:hAnsiTheme="majorHAnsi" w:cstheme="majorHAnsi"/>
          <w:i/>
          <w:szCs w:val="20"/>
        </w:rPr>
        <w:t>SOR.</w:t>
      </w:r>
      <w:r>
        <w:rPr>
          <w:rFonts w:asciiTheme="majorHAnsi" w:hAnsiTheme="majorHAnsi" w:cstheme="majorHAnsi"/>
          <w:szCs w:val="20"/>
        </w:rPr>
        <w:t xml:space="preserve"> W szczególności Cel nr 1 i 3 koresponduje z Celem szczegółowym nr I.: Trwały wzrost gospodarczy oparty coraz silniej o wiedzę, dane i doskonałość organizacyjną, Cel 2 i 5 z Celem nr II Rozwój społecznie wrażliwy i terytorialnie zrównoważony, natomiast Cel strategiczny 4. z Celem nr III: Skuteczne państwo i instytucje służące wzrostowi oraz włączeniu społecznemu i gospodarczemu</w:t>
      </w:r>
    </w:p>
    <w:tbl>
      <w:tblPr>
        <w:tblStyle w:val="Tabelasiatki5ciemnaakcent51"/>
        <w:tblW w:w="0" w:type="auto"/>
        <w:tblLook w:val="0420" w:firstRow="1" w:lastRow="0" w:firstColumn="0" w:lastColumn="0" w:noHBand="0" w:noVBand="1"/>
      </w:tblPr>
      <w:tblGrid>
        <w:gridCol w:w="1537"/>
        <w:gridCol w:w="3042"/>
        <w:gridCol w:w="838"/>
        <w:gridCol w:w="3607"/>
      </w:tblGrid>
      <w:tr w:rsidR="00094ACC" w:rsidRPr="00754765" w14:paraId="5CDB1087" w14:textId="77777777" w:rsidTr="00094ACC">
        <w:trPr>
          <w:cnfStyle w:val="100000000000" w:firstRow="1" w:lastRow="0" w:firstColumn="0" w:lastColumn="0" w:oddVBand="0" w:evenVBand="0" w:oddHBand="0" w:evenHBand="0" w:firstRowFirstColumn="0" w:firstRowLastColumn="0" w:lastRowFirstColumn="0" w:lastRowLastColumn="0"/>
          <w:trHeight w:val="340"/>
          <w:tblHeader/>
        </w:trPr>
        <w:tc>
          <w:tcPr>
            <w:tcW w:w="4580"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A5C249"/>
            <w:vAlign w:val="center"/>
            <w:hideMark/>
          </w:tcPr>
          <w:p w14:paraId="699BA7D9" w14:textId="77777777" w:rsidR="00094ACC" w:rsidRPr="00754765" w:rsidRDefault="00094ACC">
            <w:pPr>
              <w:pStyle w:val="wyr"/>
              <w:spacing w:before="0" w:line="276" w:lineRule="auto"/>
              <w:jc w:val="center"/>
              <w:rPr>
                <w:rFonts w:asciiTheme="majorHAnsi" w:hAnsiTheme="majorHAnsi" w:cstheme="majorHAnsi"/>
                <w:b/>
                <w:color w:val="FFFFFF" w:themeColor="background1"/>
                <w:sz w:val="18"/>
                <w:szCs w:val="18"/>
              </w:rPr>
            </w:pPr>
            <w:r w:rsidRPr="00754765">
              <w:rPr>
                <w:rFonts w:asciiTheme="majorHAnsi" w:hAnsiTheme="majorHAnsi" w:cstheme="majorHAnsi"/>
                <w:b/>
                <w:color w:val="FFFFFF" w:themeColor="background1"/>
                <w:sz w:val="18"/>
                <w:szCs w:val="18"/>
              </w:rPr>
              <w:lastRenderedPageBreak/>
              <w:t xml:space="preserve">Strategia na rzecz Odpowiedzialnego Rozwoju </w:t>
            </w:r>
          </w:p>
          <w:p w14:paraId="13832818" w14:textId="597D70BC" w:rsidR="00094ACC" w:rsidRPr="00754765" w:rsidRDefault="00094ACC">
            <w:pPr>
              <w:pStyle w:val="wyr"/>
              <w:spacing w:before="0" w:line="276" w:lineRule="auto"/>
              <w:jc w:val="center"/>
              <w:rPr>
                <w:rFonts w:asciiTheme="majorHAnsi" w:hAnsiTheme="majorHAnsi" w:cstheme="majorHAnsi"/>
                <w:b/>
                <w:color w:val="FFFFFF" w:themeColor="background1"/>
                <w:sz w:val="18"/>
                <w:szCs w:val="18"/>
              </w:rPr>
            </w:pPr>
            <w:r w:rsidRPr="00754765">
              <w:rPr>
                <w:rFonts w:asciiTheme="majorHAnsi" w:hAnsiTheme="majorHAnsi" w:cstheme="majorHAnsi"/>
                <w:b/>
                <w:color w:val="FFFFFF" w:themeColor="background1"/>
                <w:sz w:val="18"/>
                <w:szCs w:val="18"/>
              </w:rPr>
              <w:t>do roku 2020 (z perspektywą do 2030</w:t>
            </w:r>
            <w:r w:rsidR="00F7062F" w:rsidRPr="00754765">
              <w:rPr>
                <w:rFonts w:asciiTheme="majorHAnsi" w:hAnsiTheme="majorHAnsi" w:cstheme="majorHAnsi"/>
                <w:b/>
                <w:color w:val="FFFFFF" w:themeColor="background1"/>
                <w:sz w:val="18"/>
                <w:szCs w:val="18"/>
              </w:rPr>
              <w:t>r.</w:t>
            </w:r>
            <w:r w:rsidRPr="00754765">
              <w:rPr>
                <w:rFonts w:asciiTheme="majorHAnsi" w:hAnsiTheme="majorHAnsi" w:cstheme="majorHAnsi"/>
                <w:b/>
                <w:color w:val="FFFFFF" w:themeColor="background1"/>
                <w:sz w:val="18"/>
                <w:szCs w:val="18"/>
              </w:rPr>
              <w:t>)</w:t>
            </w:r>
          </w:p>
        </w:tc>
        <w:tc>
          <w:tcPr>
            <w:tcW w:w="4446"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A5C249"/>
            <w:vAlign w:val="center"/>
            <w:hideMark/>
          </w:tcPr>
          <w:p w14:paraId="29A5E8A7" w14:textId="77777777" w:rsidR="00094ACC" w:rsidRPr="00754765" w:rsidRDefault="00094ACC">
            <w:pPr>
              <w:spacing w:line="276" w:lineRule="auto"/>
              <w:jc w:val="center"/>
              <w:rPr>
                <w:rFonts w:asciiTheme="majorHAnsi" w:hAnsiTheme="majorHAnsi" w:cstheme="majorHAnsi"/>
                <w:sz w:val="18"/>
                <w:szCs w:val="18"/>
              </w:rPr>
            </w:pPr>
            <w:r w:rsidRPr="00754765">
              <w:rPr>
                <w:rFonts w:asciiTheme="majorHAnsi" w:hAnsiTheme="majorHAnsi" w:cstheme="majorHAnsi"/>
                <w:sz w:val="18"/>
                <w:szCs w:val="18"/>
              </w:rPr>
              <w:t>Strategia Rozwoju Obszaru Funkcjonalnego Południowe Mazury 2030 /OF Południowe Mazury 2030/</w:t>
            </w:r>
          </w:p>
        </w:tc>
      </w:tr>
      <w:tr w:rsidR="00094ACC" w14:paraId="6C2F3270" w14:textId="77777777" w:rsidTr="00094ACC">
        <w:trPr>
          <w:cnfStyle w:val="000000100000" w:firstRow="0" w:lastRow="0" w:firstColumn="0" w:lastColumn="0" w:oddVBand="0" w:evenVBand="0" w:oddHBand="1" w:evenHBand="0" w:firstRowFirstColumn="0" w:firstRowLastColumn="0" w:lastRowFirstColumn="0" w:lastRowLastColumn="0"/>
          <w:trHeight w:val="1247"/>
        </w:trPr>
        <w:tc>
          <w:tcPr>
            <w:tcW w:w="1537" w:type="dxa"/>
            <w:tcBorders>
              <w:top w:val="single" w:sz="18" w:space="0" w:color="FFFFFF" w:themeColor="background1"/>
              <w:left w:val="single" w:sz="24" w:space="0" w:color="FFFFFF" w:themeColor="background1"/>
              <w:bottom w:val="single" w:sz="18" w:space="0" w:color="FFFFFF" w:themeColor="background1"/>
              <w:right w:val="single" w:sz="24" w:space="0" w:color="FFFFFF" w:themeColor="background1"/>
            </w:tcBorders>
            <w:shd w:val="clear" w:color="auto" w:fill="E6EECE"/>
            <w:vAlign w:val="center"/>
            <w:hideMark/>
          </w:tcPr>
          <w:p w14:paraId="5B15FE48" w14:textId="77777777" w:rsidR="00094ACC" w:rsidRDefault="00094ACC">
            <w:pPr>
              <w:spacing w:line="276" w:lineRule="auto"/>
              <w:jc w:val="center"/>
              <w:rPr>
                <w:rFonts w:asciiTheme="majorHAnsi" w:hAnsiTheme="majorHAnsi" w:cstheme="majorHAnsi"/>
                <w:b/>
                <w:color w:val="538135" w:themeColor="accent6" w:themeShade="BF"/>
                <w:sz w:val="18"/>
                <w:szCs w:val="18"/>
              </w:rPr>
            </w:pPr>
            <w:r>
              <w:rPr>
                <w:rFonts w:asciiTheme="majorHAnsi" w:hAnsiTheme="majorHAnsi" w:cstheme="majorHAnsi"/>
                <w:b/>
                <w:color w:val="538135" w:themeColor="accent6" w:themeShade="BF"/>
                <w:sz w:val="18"/>
                <w:szCs w:val="18"/>
              </w:rPr>
              <w:t>Cel nr I</w:t>
            </w:r>
          </w:p>
        </w:tc>
        <w:tc>
          <w:tcPr>
            <w:tcW w:w="3043" w:type="dxa"/>
            <w:tcBorders>
              <w:top w:val="single" w:sz="18" w:space="0" w:color="FFFFFF" w:themeColor="background1"/>
              <w:left w:val="single" w:sz="24" w:space="0" w:color="FFFFFF" w:themeColor="background1"/>
              <w:bottom w:val="single" w:sz="18" w:space="0" w:color="FFFFFF" w:themeColor="background1"/>
              <w:right w:val="nil"/>
            </w:tcBorders>
            <w:shd w:val="clear" w:color="auto" w:fill="FFFFFF" w:themeFill="background1"/>
            <w:vAlign w:val="center"/>
            <w:hideMark/>
          </w:tcPr>
          <w:p w14:paraId="75C8F7EE" w14:textId="77777777" w:rsidR="00094ACC" w:rsidRDefault="00094ACC">
            <w:pPr>
              <w:spacing w:line="276" w:lineRule="auto"/>
              <w:rPr>
                <w:rFonts w:asciiTheme="majorHAnsi" w:hAnsiTheme="majorHAnsi" w:cstheme="majorHAnsi"/>
                <w:sz w:val="18"/>
                <w:szCs w:val="18"/>
              </w:rPr>
            </w:pPr>
            <w:r>
              <w:rPr>
                <w:rFonts w:asciiTheme="majorHAnsi" w:hAnsiTheme="majorHAnsi" w:cstheme="majorHAnsi"/>
                <w:sz w:val="18"/>
                <w:szCs w:val="18"/>
              </w:rPr>
              <w:t>Trwały wzrost gospodarczy oparty coraz silniej o wiedzę, dane i doskonałość organizacyjną</w:t>
            </w:r>
          </w:p>
          <w:p w14:paraId="39DC5541" w14:textId="77777777" w:rsidR="00094ACC" w:rsidRDefault="00094ACC">
            <w:pPr>
              <w:spacing w:line="276" w:lineRule="auto"/>
              <w:rPr>
                <w:rFonts w:asciiTheme="majorHAnsi" w:hAnsiTheme="majorHAnsi" w:cstheme="majorHAnsi"/>
                <w:sz w:val="18"/>
                <w:szCs w:val="18"/>
              </w:rPr>
            </w:pPr>
            <w:r>
              <w:rPr>
                <w:rFonts w:asciiTheme="majorHAnsi" w:hAnsiTheme="majorHAnsi" w:cstheme="majorHAnsi"/>
                <w:sz w:val="18"/>
                <w:szCs w:val="18"/>
              </w:rPr>
              <w:t>Obszar: Reindustrializacja</w:t>
            </w:r>
          </w:p>
          <w:p w14:paraId="54BF78C0" w14:textId="77777777" w:rsidR="00094ACC" w:rsidRDefault="00094ACC">
            <w:pPr>
              <w:spacing w:line="276" w:lineRule="auto"/>
              <w:rPr>
                <w:rFonts w:asciiTheme="majorHAnsi" w:hAnsiTheme="majorHAnsi" w:cstheme="majorHAnsi"/>
                <w:sz w:val="18"/>
                <w:szCs w:val="18"/>
              </w:rPr>
            </w:pPr>
            <w:r>
              <w:rPr>
                <w:rFonts w:asciiTheme="majorHAnsi" w:hAnsiTheme="majorHAnsi" w:cstheme="majorHAnsi"/>
                <w:sz w:val="18"/>
                <w:szCs w:val="18"/>
              </w:rPr>
              <w:t>Obszar: Rozwój innowacyjnych firm</w:t>
            </w:r>
          </w:p>
          <w:p w14:paraId="50884B4B" w14:textId="77777777" w:rsidR="00094ACC" w:rsidRDefault="00094ACC">
            <w:pPr>
              <w:spacing w:line="276" w:lineRule="auto"/>
              <w:rPr>
                <w:rFonts w:asciiTheme="majorHAnsi" w:hAnsiTheme="majorHAnsi" w:cstheme="majorHAnsi"/>
                <w:sz w:val="18"/>
                <w:szCs w:val="18"/>
              </w:rPr>
            </w:pPr>
            <w:r>
              <w:rPr>
                <w:rFonts w:asciiTheme="majorHAnsi" w:hAnsiTheme="majorHAnsi" w:cstheme="majorHAnsi"/>
                <w:sz w:val="18"/>
                <w:szCs w:val="18"/>
              </w:rPr>
              <w:t>Obszar: Małe i średnie przedsiębiorstwa</w:t>
            </w:r>
          </w:p>
          <w:p w14:paraId="17BD6B84" w14:textId="77777777" w:rsidR="00094ACC" w:rsidRDefault="00094ACC">
            <w:pPr>
              <w:spacing w:line="276" w:lineRule="auto"/>
              <w:rPr>
                <w:rFonts w:asciiTheme="majorHAnsi" w:hAnsiTheme="majorHAnsi" w:cstheme="majorHAnsi"/>
                <w:sz w:val="18"/>
                <w:szCs w:val="18"/>
              </w:rPr>
            </w:pPr>
            <w:r>
              <w:rPr>
                <w:rFonts w:asciiTheme="majorHAnsi" w:hAnsiTheme="majorHAnsi" w:cstheme="majorHAnsi"/>
                <w:sz w:val="18"/>
                <w:szCs w:val="18"/>
              </w:rPr>
              <w:t>Obszar: Kapitał dla rozwoju</w:t>
            </w:r>
          </w:p>
          <w:p w14:paraId="58D276AD" w14:textId="77777777" w:rsidR="00094ACC" w:rsidRDefault="00094ACC">
            <w:pPr>
              <w:spacing w:line="276" w:lineRule="auto"/>
              <w:rPr>
                <w:rFonts w:asciiTheme="majorHAnsi" w:hAnsiTheme="majorHAnsi" w:cstheme="majorHAnsi"/>
                <w:sz w:val="18"/>
                <w:szCs w:val="18"/>
              </w:rPr>
            </w:pPr>
            <w:r>
              <w:rPr>
                <w:rFonts w:asciiTheme="majorHAnsi" w:hAnsiTheme="majorHAnsi" w:cstheme="majorHAnsi"/>
                <w:sz w:val="18"/>
                <w:szCs w:val="18"/>
              </w:rPr>
              <w:t>Obszar: Ekspansja zagraniczna</w:t>
            </w:r>
          </w:p>
        </w:tc>
        <w:tc>
          <w:tcPr>
            <w:tcW w:w="838" w:type="dxa"/>
            <w:tcBorders>
              <w:top w:val="single" w:sz="18" w:space="0" w:color="FFFFFF" w:themeColor="background1"/>
              <w:left w:val="nil"/>
              <w:bottom w:val="single" w:sz="18" w:space="0" w:color="FFFFFF" w:themeColor="background1"/>
              <w:right w:val="single" w:sz="24" w:space="0" w:color="FFFFFF" w:themeColor="background1"/>
            </w:tcBorders>
            <w:shd w:val="clear" w:color="auto" w:fill="E6EECE"/>
            <w:vAlign w:val="center"/>
            <w:hideMark/>
          </w:tcPr>
          <w:p w14:paraId="1D1FAEE1" w14:textId="77777777" w:rsidR="00094ACC" w:rsidRDefault="00094ACC">
            <w:pPr>
              <w:spacing w:line="276" w:lineRule="auto"/>
              <w:jc w:val="center"/>
              <w:rPr>
                <w:rFonts w:asciiTheme="majorHAnsi" w:hAnsiTheme="majorHAnsi" w:cstheme="majorHAnsi"/>
                <w:b/>
                <w:color w:val="538135" w:themeColor="accent6" w:themeShade="BF"/>
                <w:sz w:val="18"/>
                <w:szCs w:val="18"/>
              </w:rPr>
            </w:pPr>
            <w:r>
              <w:rPr>
                <w:rFonts w:asciiTheme="majorHAnsi" w:hAnsiTheme="majorHAnsi" w:cstheme="majorHAnsi"/>
                <w:b/>
                <w:color w:val="538135" w:themeColor="accent6" w:themeShade="BF"/>
                <w:sz w:val="18"/>
                <w:szCs w:val="18"/>
              </w:rPr>
              <w:t>Cel 1</w:t>
            </w:r>
          </w:p>
          <w:p w14:paraId="6384B405" w14:textId="77777777" w:rsidR="00094ACC" w:rsidRDefault="00094ACC">
            <w:pPr>
              <w:spacing w:line="276" w:lineRule="auto"/>
              <w:jc w:val="center"/>
              <w:rPr>
                <w:rFonts w:asciiTheme="majorHAnsi" w:hAnsiTheme="majorHAnsi" w:cstheme="majorHAnsi"/>
                <w:b/>
                <w:color w:val="538135" w:themeColor="accent6" w:themeShade="BF"/>
                <w:sz w:val="18"/>
                <w:szCs w:val="18"/>
              </w:rPr>
            </w:pPr>
            <w:r>
              <w:rPr>
                <w:rFonts w:asciiTheme="majorHAnsi" w:hAnsiTheme="majorHAnsi" w:cstheme="majorHAnsi"/>
                <w:b/>
                <w:color w:val="538135" w:themeColor="accent6" w:themeShade="BF"/>
                <w:sz w:val="18"/>
                <w:szCs w:val="18"/>
              </w:rPr>
              <w:t>Cel 3</w:t>
            </w:r>
          </w:p>
        </w:tc>
        <w:tc>
          <w:tcPr>
            <w:tcW w:w="3608" w:type="dxa"/>
            <w:tcBorders>
              <w:top w:val="single" w:sz="18" w:space="0" w:color="FFFFFF" w:themeColor="background1"/>
              <w:left w:val="single" w:sz="24" w:space="0" w:color="FFFFFF" w:themeColor="background1"/>
              <w:bottom w:val="single" w:sz="18" w:space="0" w:color="FFFFFF" w:themeColor="background1"/>
              <w:right w:val="single" w:sz="4" w:space="0" w:color="B4C6E7" w:themeColor="accent5" w:themeTint="66"/>
            </w:tcBorders>
            <w:shd w:val="clear" w:color="auto" w:fill="FFFFFF" w:themeFill="background1"/>
            <w:vAlign w:val="center"/>
            <w:hideMark/>
          </w:tcPr>
          <w:p w14:paraId="74FB0C30" w14:textId="77777777" w:rsidR="00094ACC" w:rsidRDefault="00094ACC">
            <w:pPr>
              <w:spacing w:line="276" w:lineRule="auto"/>
              <w:rPr>
                <w:rFonts w:asciiTheme="majorHAnsi" w:hAnsiTheme="majorHAnsi" w:cstheme="majorHAnsi"/>
                <w:b/>
                <w:sz w:val="18"/>
                <w:szCs w:val="18"/>
              </w:rPr>
            </w:pPr>
            <w:r>
              <w:rPr>
                <w:rFonts w:asciiTheme="majorHAnsi" w:hAnsiTheme="majorHAnsi" w:cstheme="majorHAnsi"/>
                <w:b/>
                <w:sz w:val="18"/>
                <w:szCs w:val="18"/>
              </w:rPr>
              <w:t>Cel strategiczny 1.</w:t>
            </w:r>
          </w:p>
          <w:p w14:paraId="5E0F8E9D" w14:textId="77777777" w:rsidR="00094ACC" w:rsidRDefault="00094ACC">
            <w:pPr>
              <w:spacing w:line="276" w:lineRule="auto"/>
              <w:rPr>
                <w:rFonts w:asciiTheme="majorHAnsi" w:hAnsiTheme="majorHAnsi" w:cstheme="majorHAnsi"/>
                <w:sz w:val="18"/>
                <w:szCs w:val="18"/>
              </w:rPr>
            </w:pPr>
            <w:r>
              <w:rPr>
                <w:rFonts w:asciiTheme="majorHAnsi" w:hAnsiTheme="majorHAnsi" w:cstheme="majorHAnsi"/>
                <w:sz w:val="18"/>
                <w:szCs w:val="18"/>
              </w:rPr>
              <w:t>Tworzenie warunków dla dynamicznego wzrostu gospodarczego w oparciu o wydajny układ komunikacyjny i tworzenie atrakcyjnych terenów inwestycyjnych</w:t>
            </w:r>
          </w:p>
          <w:p w14:paraId="15DEFC92" w14:textId="77777777" w:rsidR="00094ACC" w:rsidRDefault="00094ACC">
            <w:pPr>
              <w:spacing w:line="276" w:lineRule="auto"/>
              <w:rPr>
                <w:rFonts w:asciiTheme="majorHAnsi" w:hAnsiTheme="majorHAnsi" w:cstheme="majorHAnsi"/>
                <w:b/>
                <w:sz w:val="18"/>
                <w:szCs w:val="18"/>
              </w:rPr>
            </w:pPr>
            <w:r>
              <w:rPr>
                <w:rFonts w:asciiTheme="majorHAnsi" w:hAnsiTheme="majorHAnsi" w:cstheme="majorHAnsi"/>
                <w:b/>
                <w:sz w:val="18"/>
                <w:szCs w:val="18"/>
              </w:rPr>
              <w:t>Cel strategiczny 3.</w:t>
            </w:r>
          </w:p>
          <w:p w14:paraId="268C3738" w14:textId="77777777" w:rsidR="00094ACC" w:rsidRDefault="00094ACC">
            <w:pPr>
              <w:spacing w:line="276" w:lineRule="auto"/>
              <w:rPr>
                <w:rFonts w:asciiTheme="majorHAnsi" w:hAnsiTheme="majorHAnsi" w:cstheme="majorHAnsi"/>
                <w:sz w:val="18"/>
                <w:szCs w:val="18"/>
              </w:rPr>
            </w:pPr>
            <w:r>
              <w:rPr>
                <w:rFonts w:asciiTheme="majorHAnsi" w:hAnsiTheme="majorHAnsi" w:cstheme="majorHAnsi"/>
                <w:sz w:val="18"/>
                <w:szCs w:val="18"/>
              </w:rPr>
              <w:t>Dywersyfikacja struktury gospodarczej Obszaru Funkcjonalnego przy wykorzystaniu unikatowego potencjału zasobów lokalnych - dziedzictwa przyrody i kultury</w:t>
            </w:r>
          </w:p>
        </w:tc>
      </w:tr>
      <w:tr w:rsidR="00094ACC" w14:paraId="1CE1E770" w14:textId="77777777" w:rsidTr="00094ACC">
        <w:trPr>
          <w:trHeight w:val="1247"/>
        </w:trPr>
        <w:tc>
          <w:tcPr>
            <w:tcW w:w="1537" w:type="dxa"/>
            <w:tcBorders>
              <w:top w:val="single" w:sz="18"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E6EECE"/>
            <w:vAlign w:val="center"/>
            <w:hideMark/>
          </w:tcPr>
          <w:p w14:paraId="69AEDD62" w14:textId="77777777" w:rsidR="00094ACC" w:rsidRDefault="00094ACC">
            <w:pPr>
              <w:spacing w:line="276" w:lineRule="auto"/>
              <w:jc w:val="center"/>
              <w:rPr>
                <w:rFonts w:asciiTheme="majorHAnsi" w:hAnsiTheme="majorHAnsi" w:cstheme="majorHAnsi"/>
                <w:b/>
                <w:color w:val="538135" w:themeColor="accent6" w:themeShade="BF"/>
                <w:sz w:val="18"/>
                <w:szCs w:val="18"/>
              </w:rPr>
            </w:pPr>
            <w:r>
              <w:rPr>
                <w:rFonts w:asciiTheme="majorHAnsi" w:hAnsiTheme="majorHAnsi" w:cstheme="majorHAnsi"/>
                <w:b/>
                <w:color w:val="538135" w:themeColor="accent6" w:themeShade="BF"/>
                <w:sz w:val="18"/>
                <w:szCs w:val="18"/>
              </w:rPr>
              <w:t>Cel nr II</w:t>
            </w:r>
          </w:p>
        </w:tc>
        <w:tc>
          <w:tcPr>
            <w:tcW w:w="3043" w:type="dxa"/>
            <w:tcBorders>
              <w:top w:val="single" w:sz="18" w:space="0" w:color="FFFFFF" w:themeColor="background1"/>
              <w:left w:val="single" w:sz="24" w:space="0" w:color="FFFFFF" w:themeColor="background1"/>
              <w:bottom w:val="dashed" w:sz="4" w:space="0" w:color="5AA2AE"/>
              <w:right w:val="nil"/>
            </w:tcBorders>
            <w:shd w:val="clear" w:color="auto" w:fill="FFFFFF" w:themeFill="background1"/>
            <w:vAlign w:val="center"/>
            <w:hideMark/>
          </w:tcPr>
          <w:p w14:paraId="746FEB9D" w14:textId="77777777" w:rsidR="00094ACC" w:rsidRDefault="00094ACC">
            <w:pPr>
              <w:spacing w:line="276" w:lineRule="auto"/>
              <w:rPr>
                <w:rFonts w:asciiTheme="majorHAnsi" w:hAnsiTheme="majorHAnsi" w:cstheme="majorHAnsi"/>
                <w:sz w:val="18"/>
                <w:szCs w:val="18"/>
              </w:rPr>
            </w:pPr>
            <w:r>
              <w:rPr>
                <w:rFonts w:asciiTheme="majorHAnsi" w:hAnsiTheme="majorHAnsi" w:cstheme="majorHAnsi"/>
                <w:sz w:val="18"/>
                <w:szCs w:val="18"/>
              </w:rPr>
              <w:t xml:space="preserve">Rozwój społecznie wrażliwy </w:t>
            </w:r>
            <w:r>
              <w:rPr>
                <w:rFonts w:asciiTheme="majorHAnsi" w:hAnsiTheme="majorHAnsi" w:cstheme="majorHAnsi"/>
                <w:sz w:val="18"/>
                <w:szCs w:val="18"/>
              </w:rPr>
              <w:br/>
              <w:t xml:space="preserve">i terytorialnie zrównoważony </w:t>
            </w:r>
          </w:p>
          <w:p w14:paraId="04AEDF46" w14:textId="77777777" w:rsidR="00094ACC" w:rsidRDefault="00094ACC">
            <w:pPr>
              <w:spacing w:line="276" w:lineRule="auto"/>
              <w:rPr>
                <w:rFonts w:asciiTheme="majorHAnsi" w:hAnsiTheme="majorHAnsi" w:cstheme="majorHAnsi"/>
                <w:sz w:val="18"/>
                <w:szCs w:val="18"/>
              </w:rPr>
            </w:pPr>
            <w:r>
              <w:rPr>
                <w:rFonts w:asciiTheme="majorHAnsi" w:hAnsiTheme="majorHAnsi" w:cstheme="majorHAnsi"/>
                <w:sz w:val="18"/>
                <w:szCs w:val="18"/>
              </w:rPr>
              <w:t>Obszar: Spójność społeczna</w:t>
            </w:r>
          </w:p>
          <w:p w14:paraId="43B83002" w14:textId="77777777" w:rsidR="00094ACC" w:rsidRDefault="00094ACC">
            <w:pPr>
              <w:spacing w:line="276" w:lineRule="auto"/>
              <w:rPr>
                <w:rFonts w:asciiTheme="majorHAnsi" w:hAnsiTheme="majorHAnsi" w:cstheme="majorHAnsi"/>
                <w:sz w:val="18"/>
                <w:szCs w:val="18"/>
              </w:rPr>
            </w:pPr>
            <w:r>
              <w:rPr>
                <w:rFonts w:asciiTheme="majorHAnsi" w:hAnsiTheme="majorHAnsi" w:cstheme="majorHAnsi"/>
                <w:sz w:val="18"/>
                <w:szCs w:val="18"/>
              </w:rPr>
              <w:t>Obszar: Rozwój zrównoważony terytorialnie</w:t>
            </w:r>
          </w:p>
        </w:tc>
        <w:tc>
          <w:tcPr>
            <w:tcW w:w="838" w:type="dxa"/>
            <w:tcBorders>
              <w:top w:val="single" w:sz="18" w:space="0" w:color="FFFFFF" w:themeColor="background1"/>
              <w:left w:val="nil"/>
              <w:bottom w:val="single" w:sz="24" w:space="0" w:color="FFFFFF" w:themeColor="background1"/>
              <w:right w:val="single" w:sz="24" w:space="0" w:color="FFFFFF" w:themeColor="background1"/>
            </w:tcBorders>
            <w:shd w:val="clear" w:color="auto" w:fill="E6EECE"/>
            <w:vAlign w:val="center"/>
            <w:hideMark/>
          </w:tcPr>
          <w:p w14:paraId="0C16A3AE" w14:textId="77777777" w:rsidR="00094ACC" w:rsidRDefault="00094ACC">
            <w:pPr>
              <w:spacing w:line="276" w:lineRule="auto"/>
              <w:jc w:val="center"/>
              <w:rPr>
                <w:rFonts w:asciiTheme="majorHAnsi" w:hAnsiTheme="majorHAnsi" w:cstheme="majorHAnsi"/>
                <w:b/>
                <w:color w:val="538135" w:themeColor="accent6" w:themeShade="BF"/>
                <w:sz w:val="18"/>
                <w:szCs w:val="18"/>
              </w:rPr>
            </w:pPr>
            <w:r>
              <w:rPr>
                <w:rFonts w:asciiTheme="majorHAnsi" w:hAnsiTheme="majorHAnsi" w:cstheme="majorHAnsi"/>
                <w:b/>
                <w:color w:val="538135" w:themeColor="accent6" w:themeShade="BF"/>
                <w:sz w:val="18"/>
                <w:szCs w:val="18"/>
              </w:rPr>
              <w:t>Cel 2</w:t>
            </w:r>
          </w:p>
          <w:p w14:paraId="5B9213B7" w14:textId="77777777" w:rsidR="00094ACC" w:rsidRDefault="00094ACC">
            <w:pPr>
              <w:spacing w:line="276" w:lineRule="auto"/>
              <w:jc w:val="center"/>
              <w:rPr>
                <w:rFonts w:asciiTheme="majorHAnsi" w:hAnsiTheme="majorHAnsi" w:cstheme="majorHAnsi"/>
                <w:b/>
                <w:color w:val="538135" w:themeColor="accent6" w:themeShade="BF"/>
                <w:sz w:val="18"/>
                <w:szCs w:val="18"/>
              </w:rPr>
            </w:pPr>
            <w:r>
              <w:rPr>
                <w:rFonts w:asciiTheme="majorHAnsi" w:hAnsiTheme="majorHAnsi" w:cstheme="majorHAnsi"/>
                <w:b/>
                <w:color w:val="538135" w:themeColor="accent6" w:themeShade="BF"/>
                <w:sz w:val="18"/>
                <w:szCs w:val="18"/>
              </w:rPr>
              <w:t>Cel 5</w:t>
            </w:r>
          </w:p>
        </w:tc>
        <w:tc>
          <w:tcPr>
            <w:tcW w:w="3608" w:type="dxa"/>
            <w:tcBorders>
              <w:top w:val="single" w:sz="18" w:space="0" w:color="FFFFFF" w:themeColor="background1"/>
              <w:left w:val="single" w:sz="24" w:space="0" w:color="FFFFFF" w:themeColor="background1"/>
              <w:bottom w:val="dashed" w:sz="4" w:space="0" w:color="5AA2AE"/>
              <w:right w:val="single" w:sz="4" w:space="0" w:color="B4C6E7" w:themeColor="accent5" w:themeTint="66"/>
            </w:tcBorders>
            <w:shd w:val="clear" w:color="auto" w:fill="FFFFFF" w:themeFill="background1"/>
            <w:vAlign w:val="center"/>
            <w:hideMark/>
          </w:tcPr>
          <w:p w14:paraId="0E0B3497" w14:textId="77777777" w:rsidR="00094ACC" w:rsidRDefault="00094ACC">
            <w:pPr>
              <w:spacing w:line="276" w:lineRule="auto"/>
              <w:rPr>
                <w:rFonts w:asciiTheme="majorHAnsi" w:hAnsiTheme="majorHAnsi" w:cstheme="majorHAnsi"/>
                <w:b/>
                <w:sz w:val="18"/>
                <w:szCs w:val="18"/>
              </w:rPr>
            </w:pPr>
            <w:r>
              <w:rPr>
                <w:rFonts w:asciiTheme="majorHAnsi" w:hAnsiTheme="majorHAnsi" w:cstheme="majorHAnsi"/>
                <w:sz w:val="18"/>
                <w:szCs w:val="18"/>
              </w:rPr>
              <w:t xml:space="preserve"> </w:t>
            </w:r>
            <w:r>
              <w:rPr>
                <w:rFonts w:asciiTheme="majorHAnsi" w:hAnsiTheme="majorHAnsi" w:cstheme="majorHAnsi"/>
                <w:b/>
                <w:sz w:val="18"/>
                <w:szCs w:val="18"/>
              </w:rPr>
              <w:t>Cel strategiczny 2.</w:t>
            </w:r>
          </w:p>
          <w:p w14:paraId="5EED47EA" w14:textId="3BCFE3C4" w:rsidR="00094ACC" w:rsidRDefault="00094ACC">
            <w:pPr>
              <w:spacing w:line="276" w:lineRule="auto"/>
              <w:rPr>
                <w:rFonts w:asciiTheme="majorHAnsi" w:hAnsiTheme="majorHAnsi" w:cstheme="majorHAnsi"/>
                <w:sz w:val="18"/>
                <w:szCs w:val="18"/>
              </w:rPr>
            </w:pPr>
            <w:r>
              <w:rPr>
                <w:rFonts w:asciiTheme="majorHAnsi" w:hAnsiTheme="majorHAnsi" w:cstheme="majorHAnsi"/>
                <w:sz w:val="18"/>
                <w:szCs w:val="18"/>
              </w:rPr>
              <w:t xml:space="preserve">Zapewnienie wysokiej jakości życia mieszkańców poprzez efektywną gospodarkę energetyczną, ochronę </w:t>
            </w:r>
            <w:r w:rsidR="00BB7C86">
              <w:rPr>
                <w:rFonts w:asciiTheme="majorHAnsi" w:hAnsiTheme="majorHAnsi" w:cstheme="majorHAnsi"/>
                <w:color w:val="FF0000"/>
                <w:sz w:val="18"/>
                <w:szCs w:val="18"/>
              </w:rPr>
              <w:t>ziemi</w:t>
            </w:r>
            <w:r>
              <w:rPr>
                <w:rFonts w:asciiTheme="majorHAnsi" w:hAnsiTheme="majorHAnsi" w:cstheme="majorHAnsi"/>
                <w:sz w:val="18"/>
                <w:szCs w:val="18"/>
              </w:rPr>
              <w:t>, powietrza i środowiska naturalnego</w:t>
            </w:r>
          </w:p>
          <w:p w14:paraId="4FECCBA6" w14:textId="77777777" w:rsidR="00094ACC" w:rsidRDefault="00094ACC">
            <w:pPr>
              <w:spacing w:line="276" w:lineRule="auto"/>
              <w:rPr>
                <w:rFonts w:asciiTheme="majorHAnsi" w:hAnsiTheme="majorHAnsi" w:cstheme="majorHAnsi"/>
                <w:b/>
                <w:sz w:val="18"/>
                <w:szCs w:val="18"/>
              </w:rPr>
            </w:pPr>
            <w:r>
              <w:rPr>
                <w:rFonts w:asciiTheme="majorHAnsi" w:hAnsiTheme="majorHAnsi" w:cstheme="majorHAnsi"/>
                <w:b/>
                <w:sz w:val="18"/>
                <w:szCs w:val="18"/>
              </w:rPr>
              <w:t>Cel strategiczny 5.</w:t>
            </w:r>
          </w:p>
          <w:p w14:paraId="4A4D91DF" w14:textId="77777777" w:rsidR="00094ACC" w:rsidRDefault="00094ACC">
            <w:pPr>
              <w:spacing w:line="276" w:lineRule="auto"/>
              <w:rPr>
                <w:rFonts w:asciiTheme="majorHAnsi" w:hAnsiTheme="majorHAnsi" w:cstheme="majorHAnsi"/>
                <w:sz w:val="18"/>
                <w:szCs w:val="18"/>
              </w:rPr>
            </w:pPr>
            <w:r>
              <w:rPr>
                <w:rFonts w:asciiTheme="majorHAnsi" w:hAnsiTheme="majorHAnsi" w:cstheme="majorHAnsi"/>
                <w:sz w:val="18"/>
                <w:szCs w:val="18"/>
              </w:rPr>
              <w:t>Wzmacnianie potencjału społeczeństwa obywatelskiego poprzez rozwijanie potencjału kapitału ludzkiego i społecznego oraz rozwój instytucjonalny</w:t>
            </w:r>
          </w:p>
        </w:tc>
      </w:tr>
      <w:tr w:rsidR="00094ACC" w14:paraId="7882FD5D" w14:textId="77777777" w:rsidTr="00094ACC">
        <w:trPr>
          <w:cnfStyle w:val="000000100000" w:firstRow="0" w:lastRow="0" w:firstColumn="0" w:lastColumn="0" w:oddVBand="0" w:evenVBand="0" w:oddHBand="1" w:evenHBand="0" w:firstRowFirstColumn="0" w:firstRowLastColumn="0" w:lastRowFirstColumn="0" w:lastRowLastColumn="0"/>
          <w:trHeight w:val="1247"/>
        </w:trPr>
        <w:tc>
          <w:tcPr>
            <w:tcW w:w="1537" w:type="dxa"/>
            <w:tcBorders>
              <w:top w:val="single" w:sz="18"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E6EECE"/>
            <w:vAlign w:val="center"/>
            <w:hideMark/>
          </w:tcPr>
          <w:p w14:paraId="21787BD8" w14:textId="77777777" w:rsidR="00094ACC" w:rsidRDefault="00094ACC">
            <w:pPr>
              <w:spacing w:line="276" w:lineRule="auto"/>
              <w:jc w:val="center"/>
              <w:rPr>
                <w:rFonts w:asciiTheme="majorHAnsi" w:hAnsiTheme="majorHAnsi" w:cstheme="majorHAnsi"/>
                <w:b/>
                <w:color w:val="538135" w:themeColor="accent6" w:themeShade="BF"/>
                <w:sz w:val="18"/>
                <w:szCs w:val="18"/>
              </w:rPr>
            </w:pPr>
            <w:r>
              <w:rPr>
                <w:rFonts w:asciiTheme="majorHAnsi" w:hAnsiTheme="majorHAnsi" w:cstheme="majorHAnsi"/>
                <w:b/>
                <w:color w:val="538135" w:themeColor="accent6" w:themeShade="BF"/>
                <w:sz w:val="18"/>
                <w:szCs w:val="18"/>
              </w:rPr>
              <w:t>Cel nr III</w:t>
            </w:r>
          </w:p>
        </w:tc>
        <w:tc>
          <w:tcPr>
            <w:tcW w:w="3043" w:type="dxa"/>
            <w:tcBorders>
              <w:top w:val="single" w:sz="18" w:space="0" w:color="FFFFFF" w:themeColor="background1"/>
              <w:left w:val="single" w:sz="24" w:space="0" w:color="FFFFFF" w:themeColor="background1"/>
              <w:bottom w:val="dashed" w:sz="4" w:space="0" w:color="5AA2AE"/>
              <w:right w:val="nil"/>
            </w:tcBorders>
            <w:shd w:val="clear" w:color="auto" w:fill="FFFFFF" w:themeFill="background1"/>
            <w:vAlign w:val="center"/>
            <w:hideMark/>
          </w:tcPr>
          <w:p w14:paraId="2633E43D" w14:textId="77777777" w:rsidR="00094ACC" w:rsidRDefault="00094ACC">
            <w:pPr>
              <w:spacing w:line="276" w:lineRule="auto"/>
              <w:rPr>
                <w:rFonts w:asciiTheme="majorHAnsi" w:hAnsiTheme="majorHAnsi" w:cstheme="majorHAnsi"/>
                <w:sz w:val="18"/>
                <w:szCs w:val="18"/>
              </w:rPr>
            </w:pPr>
            <w:r>
              <w:rPr>
                <w:rFonts w:asciiTheme="majorHAnsi" w:hAnsiTheme="majorHAnsi" w:cstheme="majorHAnsi"/>
                <w:sz w:val="18"/>
                <w:szCs w:val="18"/>
              </w:rPr>
              <w:t xml:space="preserve">Skuteczne państwo i instytucje służące wzrostowi oraz włączeniu społecznemu i gospodarczemu </w:t>
            </w:r>
          </w:p>
          <w:p w14:paraId="2FC7B8AD" w14:textId="77777777" w:rsidR="00094ACC" w:rsidRDefault="00094ACC">
            <w:pPr>
              <w:spacing w:line="276" w:lineRule="auto"/>
              <w:rPr>
                <w:rFonts w:asciiTheme="majorHAnsi" w:hAnsiTheme="majorHAnsi" w:cstheme="majorHAnsi"/>
                <w:sz w:val="18"/>
                <w:szCs w:val="18"/>
              </w:rPr>
            </w:pPr>
            <w:r>
              <w:rPr>
                <w:rFonts w:asciiTheme="majorHAnsi" w:hAnsiTheme="majorHAnsi" w:cstheme="majorHAnsi"/>
                <w:sz w:val="18"/>
                <w:szCs w:val="18"/>
              </w:rPr>
              <w:t>Obszar: Prawo w służbie obywatelom i gospodarce</w:t>
            </w:r>
          </w:p>
          <w:p w14:paraId="1C048763" w14:textId="77777777" w:rsidR="00094ACC" w:rsidRDefault="00094ACC">
            <w:pPr>
              <w:spacing w:line="276" w:lineRule="auto"/>
              <w:rPr>
                <w:rFonts w:asciiTheme="majorHAnsi" w:hAnsiTheme="majorHAnsi" w:cstheme="majorHAnsi"/>
                <w:sz w:val="18"/>
                <w:szCs w:val="18"/>
              </w:rPr>
            </w:pPr>
            <w:r>
              <w:rPr>
                <w:rFonts w:asciiTheme="majorHAnsi" w:hAnsiTheme="majorHAnsi" w:cstheme="majorHAnsi"/>
                <w:sz w:val="18"/>
                <w:szCs w:val="18"/>
              </w:rPr>
              <w:t>Obszar: Instytucje prorozwojowe i strategiczne zarządzanie rozwojem</w:t>
            </w:r>
          </w:p>
          <w:p w14:paraId="74CA9FD4" w14:textId="77777777" w:rsidR="00094ACC" w:rsidRDefault="00094ACC">
            <w:pPr>
              <w:spacing w:line="276" w:lineRule="auto"/>
              <w:rPr>
                <w:rFonts w:asciiTheme="majorHAnsi" w:hAnsiTheme="majorHAnsi" w:cstheme="majorHAnsi"/>
                <w:sz w:val="18"/>
                <w:szCs w:val="18"/>
              </w:rPr>
            </w:pPr>
            <w:r>
              <w:rPr>
                <w:rFonts w:asciiTheme="majorHAnsi" w:hAnsiTheme="majorHAnsi" w:cstheme="majorHAnsi"/>
                <w:sz w:val="18"/>
                <w:szCs w:val="18"/>
              </w:rPr>
              <w:t>Obszar: E-państwo</w:t>
            </w:r>
          </w:p>
          <w:p w14:paraId="1C627111" w14:textId="77777777" w:rsidR="00094ACC" w:rsidRDefault="00094ACC">
            <w:pPr>
              <w:spacing w:line="276" w:lineRule="auto"/>
              <w:rPr>
                <w:rFonts w:asciiTheme="majorHAnsi" w:hAnsiTheme="majorHAnsi" w:cstheme="majorHAnsi"/>
                <w:sz w:val="18"/>
                <w:szCs w:val="18"/>
              </w:rPr>
            </w:pPr>
            <w:r>
              <w:rPr>
                <w:rFonts w:asciiTheme="majorHAnsi" w:hAnsiTheme="majorHAnsi" w:cstheme="majorHAnsi"/>
                <w:sz w:val="18"/>
                <w:szCs w:val="18"/>
              </w:rPr>
              <w:t>Obszar: Finanse publiczne</w:t>
            </w:r>
          </w:p>
          <w:p w14:paraId="07986622" w14:textId="77777777" w:rsidR="00094ACC" w:rsidRDefault="00094ACC">
            <w:pPr>
              <w:spacing w:line="276" w:lineRule="auto"/>
              <w:rPr>
                <w:rFonts w:asciiTheme="majorHAnsi" w:hAnsiTheme="majorHAnsi" w:cstheme="majorHAnsi"/>
                <w:sz w:val="18"/>
                <w:szCs w:val="18"/>
              </w:rPr>
            </w:pPr>
            <w:r>
              <w:rPr>
                <w:rFonts w:asciiTheme="majorHAnsi" w:hAnsiTheme="majorHAnsi" w:cstheme="majorHAnsi"/>
                <w:sz w:val="18"/>
                <w:szCs w:val="18"/>
              </w:rPr>
              <w:t>Obszar: Efektywność wykorzystania środków UE</w:t>
            </w:r>
          </w:p>
        </w:tc>
        <w:tc>
          <w:tcPr>
            <w:tcW w:w="838" w:type="dxa"/>
            <w:tcBorders>
              <w:top w:val="single" w:sz="18" w:space="0" w:color="FFFFFF" w:themeColor="background1"/>
              <w:left w:val="nil"/>
              <w:bottom w:val="single" w:sz="24" w:space="0" w:color="FFFFFF" w:themeColor="background1"/>
              <w:right w:val="single" w:sz="24" w:space="0" w:color="FFFFFF" w:themeColor="background1"/>
            </w:tcBorders>
            <w:shd w:val="clear" w:color="auto" w:fill="E6EECE"/>
            <w:vAlign w:val="center"/>
            <w:hideMark/>
          </w:tcPr>
          <w:p w14:paraId="7C92C85E" w14:textId="77777777" w:rsidR="00094ACC" w:rsidRDefault="00094ACC">
            <w:pPr>
              <w:spacing w:line="276" w:lineRule="auto"/>
              <w:jc w:val="center"/>
              <w:rPr>
                <w:rFonts w:asciiTheme="majorHAnsi" w:hAnsiTheme="majorHAnsi" w:cstheme="majorHAnsi"/>
                <w:b/>
                <w:color w:val="538135" w:themeColor="accent6" w:themeShade="BF"/>
                <w:sz w:val="18"/>
                <w:szCs w:val="18"/>
              </w:rPr>
            </w:pPr>
            <w:r>
              <w:rPr>
                <w:rFonts w:asciiTheme="majorHAnsi" w:hAnsiTheme="majorHAnsi" w:cstheme="majorHAnsi"/>
                <w:b/>
                <w:color w:val="538135" w:themeColor="accent6" w:themeShade="BF"/>
                <w:sz w:val="18"/>
                <w:szCs w:val="18"/>
              </w:rPr>
              <w:t>Cel 4</w:t>
            </w:r>
          </w:p>
        </w:tc>
        <w:tc>
          <w:tcPr>
            <w:tcW w:w="3608" w:type="dxa"/>
            <w:tcBorders>
              <w:top w:val="single" w:sz="18" w:space="0" w:color="FFFFFF" w:themeColor="background1"/>
              <w:left w:val="single" w:sz="24" w:space="0" w:color="FFFFFF" w:themeColor="background1"/>
              <w:bottom w:val="dashed" w:sz="4" w:space="0" w:color="5AA2AE"/>
              <w:right w:val="single" w:sz="4" w:space="0" w:color="B4C6E7" w:themeColor="accent5" w:themeTint="66"/>
            </w:tcBorders>
            <w:shd w:val="clear" w:color="auto" w:fill="FFFFFF" w:themeFill="background1"/>
            <w:vAlign w:val="center"/>
            <w:hideMark/>
          </w:tcPr>
          <w:p w14:paraId="261DA9D3" w14:textId="77777777" w:rsidR="00094ACC" w:rsidRDefault="00094ACC">
            <w:pPr>
              <w:spacing w:line="276" w:lineRule="auto"/>
              <w:rPr>
                <w:rFonts w:asciiTheme="majorHAnsi" w:hAnsiTheme="majorHAnsi" w:cstheme="majorHAnsi"/>
                <w:b/>
                <w:sz w:val="18"/>
                <w:szCs w:val="18"/>
              </w:rPr>
            </w:pPr>
            <w:r>
              <w:rPr>
                <w:rFonts w:asciiTheme="majorHAnsi" w:hAnsiTheme="majorHAnsi" w:cstheme="majorHAnsi"/>
                <w:b/>
                <w:sz w:val="18"/>
                <w:szCs w:val="18"/>
              </w:rPr>
              <w:t>Cel strategiczny 4.</w:t>
            </w:r>
          </w:p>
          <w:p w14:paraId="5B08B7E0" w14:textId="77777777" w:rsidR="00094ACC" w:rsidRDefault="00094ACC">
            <w:pPr>
              <w:spacing w:line="276" w:lineRule="auto"/>
              <w:rPr>
                <w:rFonts w:asciiTheme="majorHAnsi" w:hAnsiTheme="majorHAnsi" w:cstheme="majorHAnsi"/>
                <w:sz w:val="18"/>
                <w:szCs w:val="18"/>
              </w:rPr>
            </w:pPr>
            <w:r>
              <w:rPr>
                <w:rFonts w:asciiTheme="majorHAnsi" w:hAnsiTheme="majorHAnsi" w:cstheme="majorHAnsi"/>
                <w:sz w:val="18"/>
                <w:szCs w:val="18"/>
              </w:rPr>
              <w:t>Budowa zintegrowanego systemu wyspecjalizowanych usług publicznych w obszarach zabezpieczenia społecznego, opieki senioralnej, ochrony zdrowia</w:t>
            </w:r>
          </w:p>
        </w:tc>
      </w:tr>
    </w:tbl>
    <w:p w14:paraId="44378813" w14:textId="77777777" w:rsidR="00F83118" w:rsidRDefault="00F83118" w:rsidP="00094ACC">
      <w:pPr>
        <w:pStyle w:val="wyr"/>
        <w:spacing w:line="276" w:lineRule="auto"/>
        <w:rPr>
          <w:rFonts w:asciiTheme="majorHAnsi" w:hAnsiTheme="majorHAnsi" w:cstheme="majorHAnsi"/>
          <w:color w:val="A5C249"/>
        </w:rPr>
      </w:pPr>
    </w:p>
    <w:p w14:paraId="543ED5B1" w14:textId="77777777" w:rsidR="00094ACC" w:rsidRDefault="00094ACC" w:rsidP="00094ACC">
      <w:pPr>
        <w:pStyle w:val="wyr"/>
        <w:spacing w:line="276" w:lineRule="auto"/>
        <w:rPr>
          <w:rFonts w:asciiTheme="majorHAnsi" w:hAnsiTheme="majorHAnsi" w:cstheme="majorHAnsi"/>
        </w:rPr>
      </w:pPr>
      <w:r>
        <w:rPr>
          <w:rFonts w:asciiTheme="majorHAnsi" w:hAnsiTheme="majorHAnsi" w:cstheme="majorHAnsi"/>
          <w:color w:val="A5C249"/>
        </w:rPr>
        <w:t>Długookresowa Strategia Rozwoju Kraju - Polska 2030. Trzecia fala nowoczesności</w:t>
      </w:r>
    </w:p>
    <w:p w14:paraId="0998B95A" w14:textId="475F143A" w:rsidR="00094ACC" w:rsidRDefault="00094ACC" w:rsidP="00094ACC">
      <w:pPr>
        <w:spacing w:line="276" w:lineRule="auto"/>
        <w:jc w:val="both"/>
        <w:rPr>
          <w:rFonts w:asciiTheme="majorHAnsi" w:hAnsiTheme="majorHAnsi" w:cstheme="majorHAnsi"/>
          <w:szCs w:val="20"/>
        </w:rPr>
      </w:pPr>
      <w:r>
        <w:rPr>
          <w:rFonts w:asciiTheme="majorHAnsi" w:hAnsiTheme="majorHAnsi" w:cstheme="majorHAnsi"/>
          <w:i/>
          <w:iCs/>
          <w:szCs w:val="20"/>
        </w:rPr>
        <w:t xml:space="preserve">DSRK </w:t>
      </w:r>
      <w:r>
        <w:rPr>
          <w:rFonts w:asciiTheme="majorHAnsi" w:hAnsiTheme="majorHAnsi" w:cstheme="majorHAnsi"/>
          <w:szCs w:val="20"/>
        </w:rPr>
        <w:t xml:space="preserve">jest dokumentem określającym główne trendy, wyzwania i scenariusze rozwoju społeczno-gospodarczego kraju oraz kierunki przestrzennego zagospodarowania kraju, z uwzględnieniem zasady zrównoważonego rozwoju, obejmującym okres co najmniej 15 lat. Celem głównym </w:t>
      </w:r>
      <w:r>
        <w:rPr>
          <w:rFonts w:asciiTheme="majorHAnsi" w:hAnsiTheme="majorHAnsi" w:cstheme="majorHAnsi"/>
          <w:i/>
          <w:iCs/>
          <w:szCs w:val="20"/>
        </w:rPr>
        <w:t xml:space="preserve">DSRK </w:t>
      </w:r>
      <w:r>
        <w:rPr>
          <w:rFonts w:asciiTheme="majorHAnsi" w:hAnsiTheme="majorHAnsi" w:cstheme="majorHAnsi"/>
          <w:szCs w:val="20"/>
        </w:rPr>
        <w:t xml:space="preserve">jest poprawa jakości życia Polaków dzięki stabilnemu, wysokiemu wzrostowi gospodarczemu, co pozwala na modernizację kraju. Osiągnięcie tego celu będzie efektem działań podejmowanych </w:t>
      </w:r>
      <w:r w:rsidR="00126182">
        <w:rPr>
          <w:rFonts w:asciiTheme="majorHAnsi" w:hAnsiTheme="majorHAnsi" w:cstheme="majorHAnsi"/>
          <w:szCs w:val="20"/>
        </w:rPr>
        <w:t xml:space="preserve">w </w:t>
      </w:r>
      <w:r>
        <w:rPr>
          <w:rFonts w:asciiTheme="majorHAnsi" w:hAnsiTheme="majorHAnsi" w:cstheme="majorHAnsi"/>
          <w:szCs w:val="20"/>
        </w:rPr>
        <w:t xml:space="preserve">obszarach strategicznych, które są spójne z Celami Strategicznymi Strategia </w:t>
      </w:r>
      <w:r w:rsidR="00126182">
        <w:rPr>
          <w:rFonts w:asciiTheme="majorHAnsi" w:hAnsiTheme="majorHAnsi" w:cstheme="majorHAnsi"/>
          <w:szCs w:val="20"/>
        </w:rPr>
        <w:t>Południowych</w:t>
      </w:r>
      <w:r w:rsidR="00040917">
        <w:rPr>
          <w:rFonts w:asciiTheme="majorHAnsi" w:hAnsiTheme="majorHAnsi" w:cstheme="majorHAnsi"/>
          <w:szCs w:val="20"/>
        </w:rPr>
        <w:t xml:space="preserve"> Mazur</w:t>
      </w:r>
      <w:r>
        <w:rPr>
          <w:rFonts w:asciiTheme="majorHAnsi" w:hAnsiTheme="majorHAnsi" w:cstheme="majorHAnsi"/>
          <w:szCs w:val="20"/>
        </w:rPr>
        <w:t>. Obszar konkurencyjności i innowacyjności gospodarki (zbudowanie nowych przewag konkurencyjnych dla Polski opartych o wzrost kapitału ludzkiego, społecznego, relacyjnego i strukturalnego oraz wykorzystanie impetu cyfrowego) pokrywa się z Celem nr 1 i nr 3. Obszar równoważenia potencjału rozwojowego regionów (rozbudzeni</w:t>
      </w:r>
      <w:r w:rsidR="00E312DA">
        <w:rPr>
          <w:rFonts w:asciiTheme="majorHAnsi" w:hAnsiTheme="majorHAnsi" w:cstheme="majorHAnsi"/>
          <w:szCs w:val="20"/>
        </w:rPr>
        <w:t>e</w:t>
      </w:r>
      <w:r>
        <w:rPr>
          <w:rFonts w:asciiTheme="majorHAnsi" w:hAnsiTheme="majorHAnsi" w:cstheme="majorHAnsi"/>
          <w:szCs w:val="20"/>
        </w:rPr>
        <w:t xml:space="preserve"> potencjału rozwojowego odpowiednich obszarów poprzez wykorzystanie mechanizmów dyfuzji i absorbcji oraz polityki spójności społecznej) zazębia się z Celem nr 2 i 5. Obszar efektywności i sprawności państwa (działania usprawniające funkcje przyjaznego i pomocnego państwa działającego efektywnie w kluczowych obszarach interwencji) pokrywa się z Celem nr 4.</w:t>
      </w:r>
    </w:p>
    <w:tbl>
      <w:tblPr>
        <w:tblStyle w:val="Tabelasiatki5ciemnaakcent51"/>
        <w:tblW w:w="0" w:type="auto"/>
        <w:tblLook w:val="0420" w:firstRow="1" w:lastRow="0" w:firstColumn="0" w:lastColumn="0" w:noHBand="0" w:noVBand="1"/>
      </w:tblPr>
      <w:tblGrid>
        <w:gridCol w:w="1537"/>
        <w:gridCol w:w="3042"/>
        <w:gridCol w:w="838"/>
        <w:gridCol w:w="3607"/>
      </w:tblGrid>
      <w:tr w:rsidR="00094ACC" w:rsidRPr="00754765" w14:paraId="66B88C37" w14:textId="77777777" w:rsidTr="00094ACC">
        <w:trPr>
          <w:cnfStyle w:val="100000000000" w:firstRow="1" w:lastRow="0" w:firstColumn="0" w:lastColumn="0" w:oddVBand="0" w:evenVBand="0" w:oddHBand="0" w:evenHBand="0" w:firstRowFirstColumn="0" w:firstRowLastColumn="0" w:lastRowFirstColumn="0" w:lastRowLastColumn="0"/>
          <w:trHeight w:val="340"/>
          <w:tblHeader/>
        </w:trPr>
        <w:tc>
          <w:tcPr>
            <w:tcW w:w="4580"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A5C249"/>
            <w:vAlign w:val="center"/>
            <w:hideMark/>
          </w:tcPr>
          <w:p w14:paraId="430B6133" w14:textId="77777777" w:rsidR="00094ACC" w:rsidRPr="00754765" w:rsidRDefault="00094ACC">
            <w:pPr>
              <w:pStyle w:val="wyr"/>
              <w:spacing w:before="0" w:line="276" w:lineRule="auto"/>
              <w:jc w:val="center"/>
              <w:rPr>
                <w:rFonts w:asciiTheme="majorHAnsi" w:hAnsiTheme="majorHAnsi" w:cstheme="majorHAnsi"/>
                <w:b/>
                <w:color w:val="FFFFFF" w:themeColor="background1"/>
                <w:sz w:val="18"/>
                <w:szCs w:val="18"/>
              </w:rPr>
            </w:pPr>
            <w:r w:rsidRPr="00754765">
              <w:rPr>
                <w:rFonts w:asciiTheme="majorHAnsi" w:hAnsiTheme="majorHAnsi" w:cstheme="majorHAnsi"/>
                <w:b/>
                <w:color w:val="FFFFFF" w:themeColor="background1"/>
                <w:sz w:val="18"/>
                <w:szCs w:val="18"/>
              </w:rPr>
              <w:lastRenderedPageBreak/>
              <w:t>Długookresowa Strategia Rozwoju Kraju - Polska 2030. Trzecia fala nowoczesności</w:t>
            </w:r>
          </w:p>
        </w:tc>
        <w:tc>
          <w:tcPr>
            <w:tcW w:w="4446"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A5C249"/>
            <w:vAlign w:val="center"/>
            <w:hideMark/>
          </w:tcPr>
          <w:p w14:paraId="269CC183" w14:textId="77777777" w:rsidR="00094ACC" w:rsidRPr="00754765" w:rsidRDefault="00094ACC">
            <w:pPr>
              <w:spacing w:line="276" w:lineRule="auto"/>
              <w:jc w:val="center"/>
              <w:rPr>
                <w:rFonts w:asciiTheme="majorHAnsi" w:hAnsiTheme="majorHAnsi" w:cstheme="majorHAnsi"/>
                <w:bCs w:val="0"/>
                <w:sz w:val="18"/>
                <w:szCs w:val="18"/>
              </w:rPr>
            </w:pPr>
            <w:r w:rsidRPr="00754765">
              <w:rPr>
                <w:rFonts w:asciiTheme="majorHAnsi" w:hAnsiTheme="majorHAnsi" w:cstheme="majorHAnsi"/>
                <w:sz w:val="18"/>
                <w:szCs w:val="18"/>
              </w:rPr>
              <w:t>Strategia Rozwoju Obszaru Funkcjonalnego Południowe Mazury 2030 /OF Południowe Mazury 2030/</w:t>
            </w:r>
          </w:p>
        </w:tc>
      </w:tr>
      <w:tr w:rsidR="00094ACC" w14:paraId="5D43E898" w14:textId="77777777" w:rsidTr="00094ACC">
        <w:trPr>
          <w:cnfStyle w:val="000000100000" w:firstRow="0" w:lastRow="0" w:firstColumn="0" w:lastColumn="0" w:oddVBand="0" w:evenVBand="0" w:oddHBand="1" w:evenHBand="0" w:firstRowFirstColumn="0" w:firstRowLastColumn="0" w:lastRowFirstColumn="0" w:lastRowLastColumn="0"/>
          <w:trHeight w:val="1134"/>
        </w:trPr>
        <w:tc>
          <w:tcPr>
            <w:tcW w:w="1537" w:type="dxa"/>
            <w:tcBorders>
              <w:top w:val="single" w:sz="18" w:space="0" w:color="FFFFFF" w:themeColor="background1"/>
              <w:left w:val="single" w:sz="24" w:space="0" w:color="FFFFFF" w:themeColor="background1"/>
              <w:bottom w:val="single" w:sz="18" w:space="0" w:color="FFFFFF" w:themeColor="background1"/>
              <w:right w:val="single" w:sz="24" w:space="0" w:color="FFFFFF" w:themeColor="background1"/>
            </w:tcBorders>
            <w:shd w:val="clear" w:color="auto" w:fill="E6EECE"/>
            <w:vAlign w:val="center"/>
            <w:hideMark/>
          </w:tcPr>
          <w:p w14:paraId="50E7FAB6" w14:textId="77777777" w:rsidR="00094ACC" w:rsidRDefault="00094ACC">
            <w:pPr>
              <w:spacing w:line="276" w:lineRule="auto"/>
              <w:jc w:val="center"/>
              <w:rPr>
                <w:rFonts w:asciiTheme="majorHAnsi" w:hAnsiTheme="majorHAnsi" w:cstheme="majorHAnsi"/>
                <w:b/>
                <w:color w:val="538135" w:themeColor="accent6" w:themeShade="BF"/>
                <w:sz w:val="18"/>
                <w:szCs w:val="18"/>
              </w:rPr>
            </w:pPr>
            <w:r>
              <w:rPr>
                <w:rFonts w:asciiTheme="majorHAnsi" w:hAnsiTheme="majorHAnsi" w:cstheme="majorHAnsi"/>
                <w:b/>
                <w:color w:val="538135" w:themeColor="accent6" w:themeShade="BF"/>
                <w:sz w:val="18"/>
                <w:szCs w:val="18"/>
              </w:rPr>
              <w:t>Obszar nr 1</w:t>
            </w:r>
          </w:p>
        </w:tc>
        <w:tc>
          <w:tcPr>
            <w:tcW w:w="3043" w:type="dxa"/>
            <w:tcBorders>
              <w:top w:val="single" w:sz="18" w:space="0" w:color="FFFFFF" w:themeColor="background1"/>
              <w:left w:val="single" w:sz="24" w:space="0" w:color="FFFFFF" w:themeColor="background1"/>
              <w:bottom w:val="dashed" w:sz="4" w:space="0" w:color="5AA2AE"/>
              <w:right w:val="nil"/>
            </w:tcBorders>
            <w:shd w:val="clear" w:color="auto" w:fill="FFFFFF" w:themeFill="background1"/>
            <w:vAlign w:val="center"/>
            <w:hideMark/>
          </w:tcPr>
          <w:p w14:paraId="6E8A050F" w14:textId="77777777" w:rsidR="00094ACC" w:rsidRDefault="00094ACC" w:rsidP="0054382A">
            <w:pPr>
              <w:spacing w:line="276" w:lineRule="auto"/>
              <w:jc w:val="both"/>
              <w:rPr>
                <w:rFonts w:asciiTheme="majorHAnsi" w:hAnsiTheme="majorHAnsi" w:cstheme="majorHAnsi"/>
                <w:b/>
                <w:sz w:val="18"/>
                <w:szCs w:val="18"/>
              </w:rPr>
            </w:pPr>
            <w:r>
              <w:rPr>
                <w:rFonts w:asciiTheme="majorHAnsi" w:hAnsiTheme="majorHAnsi" w:cstheme="majorHAnsi"/>
                <w:b/>
                <w:sz w:val="18"/>
                <w:szCs w:val="18"/>
              </w:rPr>
              <w:t>Obszar konkurencyjności i</w:t>
            </w:r>
          </w:p>
          <w:p w14:paraId="3FF114B3" w14:textId="77777777" w:rsidR="00094ACC" w:rsidRDefault="00094ACC" w:rsidP="0054382A">
            <w:pPr>
              <w:spacing w:line="276" w:lineRule="auto"/>
              <w:jc w:val="both"/>
              <w:rPr>
                <w:rFonts w:asciiTheme="majorHAnsi" w:hAnsiTheme="majorHAnsi" w:cstheme="majorHAnsi"/>
                <w:b/>
                <w:sz w:val="18"/>
                <w:szCs w:val="18"/>
              </w:rPr>
            </w:pPr>
            <w:r>
              <w:rPr>
                <w:rFonts w:asciiTheme="majorHAnsi" w:hAnsiTheme="majorHAnsi" w:cstheme="majorHAnsi"/>
                <w:b/>
                <w:sz w:val="18"/>
                <w:szCs w:val="18"/>
              </w:rPr>
              <w:t>Innowacyjności gospodarki</w:t>
            </w:r>
          </w:p>
          <w:p w14:paraId="1EB3E16F" w14:textId="77777777" w:rsidR="00094ACC" w:rsidRDefault="00094ACC" w:rsidP="0054382A">
            <w:pPr>
              <w:spacing w:line="276" w:lineRule="auto"/>
              <w:jc w:val="both"/>
              <w:rPr>
                <w:rFonts w:asciiTheme="majorHAnsi" w:hAnsiTheme="majorHAnsi" w:cstheme="majorHAnsi"/>
                <w:b/>
                <w:sz w:val="18"/>
                <w:szCs w:val="18"/>
              </w:rPr>
            </w:pPr>
            <w:r>
              <w:rPr>
                <w:rFonts w:asciiTheme="majorHAnsi" w:hAnsiTheme="majorHAnsi" w:cstheme="majorHAnsi"/>
                <w:b/>
                <w:sz w:val="18"/>
                <w:szCs w:val="18"/>
              </w:rPr>
              <w:t>(modernizacji)</w:t>
            </w:r>
          </w:p>
          <w:p w14:paraId="75DC20F5" w14:textId="77777777" w:rsidR="00094ACC" w:rsidRDefault="00094ACC" w:rsidP="0054382A">
            <w:pPr>
              <w:spacing w:line="276" w:lineRule="auto"/>
              <w:jc w:val="both"/>
              <w:rPr>
                <w:rFonts w:asciiTheme="majorHAnsi" w:hAnsiTheme="majorHAnsi" w:cstheme="majorHAnsi"/>
                <w:sz w:val="18"/>
                <w:szCs w:val="18"/>
              </w:rPr>
            </w:pPr>
            <w:r>
              <w:rPr>
                <w:rFonts w:asciiTheme="majorHAnsi" w:hAnsiTheme="majorHAnsi" w:cstheme="majorHAnsi"/>
                <w:sz w:val="18"/>
                <w:szCs w:val="18"/>
              </w:rPr>
              <w:t>Nastawiony na zbudowanie nowych przewag konkurencyjnych Polski opartych o wzrost KI (wzrost kapitału ludzkiego, społecznego, relacyjnego, strukturalnego) i wykorzystanie impetu cyfrowego, co daje w efekcie większą konkurencyjność</w:t>
            </w:r>
          </w:p>
        </w:tc>
        <w:tc>
          <w:tcPr>
            <w:tcW w:w="838" w:type="dxa"/>
            <w:tcBorders>
              <w:top w:val="single" w:sz="18" w:space="0" w:color="FFFFFF" w:themeColor="background1"/>
              <w:left w:val="nil"/>
              <w:bottom w:val="single" w:sz="18" w:space="0" w:color="FFFFFF" w:themeColor="background1"/>
              <w:right w:val="single" w:sz="24" w:space="0" w:color="FFFFFF" w:themeColor="background1"/>
            </w:tcBorders>
            <w:shd w:val="clear" w:color="auto" w:fill="E6EECE"/>
            <w:vAlign w:val="center"/>
            <w:hideMark/>
          </w:tcPr>
          <w:p w14:paraId="18E95BB4" w14:textId="77777777" w:rsidR="00094ACC" w:rsidRDefault="00094ACC">
            <w:pPr>
              <w:spacing w:line="276" w:lineRule="auto"/>
              <w:jc w:val="center"/>
              <w:rPr>
                <w:rFonts w:asciiTheme="majorHAnsi" w:hAnsiTheme="majorHAnsi" w:cstheme="majorHAnsi"/>
                <w:b/>
                <w:color w:val="538135" w:themeColor="accent6" w:themeShade="BF"/>
                <w:sz w:val="18"/>
                <w:szCs w:val="18"/>
              </w:rPr>
            </w:pPr>
            <w:r>
              <w:rPr>
                <w:rFonts w:asciiTheme="majorHAnsi" w:hAnsiTheme="majorHAnsi" w:cstheme="majorHAnsi"/>
                <w:b/>
                <w:color w:val="538135" w:themeColor="accent6" w:themeShade="BF"/>
                <w:sz w:val="18"/>
                <w:szCs w:val="18"/>
              </w:rPr>
              <w:t>Cel 1</w:t>
            </w:r>
          </w:p>
          <w:p w14:paraId="4B6FD63E" w14:textId="77777777" w:rsidR="00094ACC" w:rsidRDefault="00094ACC">
            <w:pPr>
              <w:spacing w:line="276" w:lineRule="auto"/>
              <w:jc w:val="center"/>
              <w:rPr>
                <w:rFonts w:asciiTheme="majorHAnsi" w:hAnsiTheme="majorHAnsi" w:cstheme="majorHAnsi"/>
                <w:b/>
                <w:color w:val="538135" w:themeColor="accent6" w:themeShade="BF"/>
                <w:sz w:val="18"/>
                <w:szCs w:val="18"/>
              </w:rPr>
            </w:pPr>
            <w:r>
              <w:rPr>
                <w:rFonts w:asciiTheme="majorHAnsi" w:hAnsiTheme="majorHAnsi" w:cstheme="majorHAnsi"/>
                <w:b/>
                <w:color w:val="538135" w:themeColor="accent6" w:themeShade="BF"/>
                <w:sz w:val="18"/>
                <w:szCs w:val="18"/>
              </w:rPr>
              <w:t>Cel 3</w:t>
            </w:r>
          </w:p>
        </w:tc>
        <w:tc>
          <w:tcPr>
            <w:tcW w:w="3608" w:type="dxa"/>
            <w:tcBorders>
              <w:top w:val="single" w:sz="18" w:space="0" w:color="FFFFFF" w:themeColor="background1"/>
              <w:left w:val="single" w:sz="24" w:space="0" w:color="FFFFFF" w:themeColor="background1"/>
              <w:bottom w:val="dashed" w:sz="4" w:space="0" w:color="5AA2AE"/>
              <w:right w:val="single" w:sz="4" w:space="0" w:color="B4C6E7" w:themeColor="accent5" w:themeTint="66"/>
            </w:tcBorders>
            <w:shd w:val="clear" w:color="auto" w:fill="FFFFFF" w:themeFill="background1"/>
            <w:vAlign w:val="center"/>
            <w:hideMark/>
          </w:tcPr>
          <w:p w14:paraId="1C7AD7CD" w14:textId="77777777" w:rsidR="00094ACC" w:rsidRDefault="00094ACC" w:rsidP="0054382A">
            <w:pPr>
              <w:spacing w:line="276" w:lineRule="auto"/>
              <w:jc w:val="both"/>
              <w:rPr>
                <w:rFonts w:asciiTheme="majorHAnsi" w:hAnsiTheme="majorHAnsi" w:cstheme="majorHAnsi"/>
                <w:b/>
                <w:sz w:val="18"/>
                <w:szCs w:val="18"/>
              </w:rPr>
            </w:pPr>
            <w:r>
              <w:rPr>
                <w:rFonts w:asciiTheme="majorHAnsi" w:hAnsiTheme="majorHAnsi" w:cstheme="majorHAnsi"/>
                <w:b/>
                <w:sz w:val="18"/>
                <w:szCs w:val="18"/>
              </w:rPr>
              <w:t>Cel strategiczny 1.</w:t>
            </w:r>
          </w:p>
          <w:p w14:paraId="2FB58DB1" w14:textId="77777777" w:rsidR="00094ACC" w:rsidRDefault="00094ACC" w:rsidP="0054382A">
            <w:pPr>
              <w:spacing w:line="276" w:lineRule="auto"/>
              <w:jc w:val="both"/>
              <w:rPr>
                <w:rFonts w:asciiTheme="majorHAnsi" w:hAnsiTheme="majorHAnsi" w:cstheme="majorHAnsi"/>
                <w:sz w:val="18"/>
                <w:szCs w:val="18"/>
              </w:rPr>
            </w:pPr>
            <w:r>
              <w:rPr>
                <w:rFonts w:asciiTheme="majorHAnsi" w:hAnsiTheme="majorHAnsi" w:cstheme="majorHAnsi"/>
                <w:sz w:val="18"/>
                <w:szCs w:val="18"/>
              </w:rPr>
              <w:t>Tworzenie warunków dla dynamicznego wzrostu gospodarczego w oparciu o wydajny układ komunikacyjny i tworzenie atrakcyjnych terenów inwestycyjnych</w:t>
            </w:r>
          </w:p>
          <w:p w14:paraId="63099E4F" w14:textId="77777777" w:rsidR="00094ACC" w:rsidRDefault="00094ACC" w:rsidP="0054382A">
            <w:pPr>
              <w:spacing w:line="276" w:lineRule="auto"/>
              <w:jc w:val="both"/>
              <w:rPr>
                <w:rFonts w:asciiTheme="majorHAnsi" w:hAnsiTheme="majorHAnsi" w:cstheme="majorHAnsi"/>
                <w:b/>
                <w:sz w:val="18"/>
                <w:szCs w:val="18"/>
              </w:rPr>
            </w:pPr>
            <w:r>
              <w:rPr>
                <w:rFonts w:asciiTheme="majorHAnsi" w:hAnsiTheme="majorHAnsi" w:cstheme="majorHAnsi"/>
                <w:b/>
                <w:sz w:val="18"/>
                <w:szCs w:val="18"/>
              </w:rPr>
              <w:t>Cel strategiczny 3.</w:t>
            </w:r>
          </w:p>
          <w:p w14:paraId="030B22D5" w14:textId="77777777" w:rsidR="00094ACC" w:rsidRDefault="00094ACC" w:rsidP="0054382A">
            <w:pPr>
              <w:spacing w:line="276" w:lineRule="auto"/>
              <w:jc w:val="both"/>
              <w:rPr>
                <w:rFonts w:asciiTheme="majorHAnsi" w:hAnsiTheme="majorHAnsi" w:cstheme="majorHAnsi"/>
                <w:sz w:val="18"/>
                <w:szCs w:val="18"/>
              </w:rPr>
            </w:pPr>
            <w:r>
              <w:rPr>
                <w:rFonts w:asciiTheme="majorHAnsi" w:hAnsiTheme="majorHAnsi" w:cstheme="majorHAnsi"/>
                <w:sz w:val="18"/>
                <w:szCs w:val="18"/>
              </w:rPr>
              <w:t>Dywersyfikacja struktury gospodarczej Obszaru Funkcjonalnego przy wykorzystaniu unikatowego potencjału zasobów lokalnych - dziedzictwa przyrody i kultury</w:t>
            </w:r>
          </w:p>
        </w:tc>
      </w:tr>
      <w:tr w:rsidR="00094ACC" w14:paraId="60381981" w14:textId="77777777" w:rsidTr="00094ACC">
        <w:trPr>
          <w:trHeight w:val="1020"/>
        </w:trPr>
        <w:tc>
          <w:tcPr>
            <w:tcW w:w="1537" w:type="dxa"/>
            <w:tcBorders>
              <w:top w:val="single" w:sz="18" w:space="0" w:color="FFFFFF" w:themeColor="background1"/>
              <w:left w:val="single" w:sz="24" w:space="0" w:color="FFFFFF" w:themeColor="background1"/>
              <w:bottom w:val="single" w:sz="18" w:space="0" w:color="FFFFFF" w:themeColor="background1"/>
              <w:right w:val="single" w:sz="24" w:space="0" w:color="FFFFFF" w:themeColor="background1"/>
            </w:tcBorders>
            <w:shd w:val="clear" w:color="auto" w:fill="E6EECE"/>
            <w:vAlign w:val="center"/>
            <w:hideMark/>
          </w:tcPr>
          <w:p w14:paraId="113EF74D" w14:textId="77777777" w:rsidR="00094ACC" w:rsidRDefault="00094ACC">
            <w:pPr>
              <w:spacing w:line="276" w:lineRule="auto"/>
              <w:jc w:val="center"/>
              <w:rPr>
                <w:rFonts w:asciiTheme="majorHAnsi" w:hAnsiTheme="majorHAnsi" w:cstheme="majorHAnsi"/>
                <w:b/>
                <w:color w:val="538135" w:themeColor="accent6" w:themeShade="BF"/>
                <w:sz w:val="18"/>
                <w:szCs w:val="18"/>
              </w:rPr>
            </w:pPr>
            <w:r>
              <w:rPr>
                <w:rFonts w:asciiTheme="majorHAnsi" w:hAnsiTheme="majorHAnsi" w:cstheme="majorHAnsi"/>
                <w:b/>
                <w:color w:val="538135" w:themeColor="accent6" w:themeShade="BF"/>
                <w:sz w:val="18"/>
                <w:szCs w:val="18"/>
              </w:rPr>
              <w:t>Obszar nr 2</w:t>
            </w:r>
          </w:p>
        </w:tc>
        <w:tc>
          <w:tcPr>
            <w:tcW w:w="3043" w:type="dxa"/>
            <w:tcBorders>
              <w:top w:val="dashed" w:sz="4" w:space="0" w:color="5AA2AE"/>
              <w:left w:val="single" w:sz="24" w:space="0" w:color="FFFFFF" w:themeColor="background1"/>
              <w:bottom w:val="dashed" w:sz="4" w:space="0" w:color="5AA2AE"/>
              <w:right w:val="nil"/>
            </w:tcBorders>
            <w:shd w:val="clear" w:color="auto" w:fill="FFFFFF" w:themeFill="background1"/>
            <w:vAlign w:val="center"/>
            <w:hideMark/>
          </w:tcPr>
          <w:p w14:paraId="37A1F48E" w14:textId="77777777" w:rsidR="00094ACC" w:rsidRDefault="00094ACC" w:rsidP="0054382A">
            <w:pPr>
              <w:spacing w:line="276" w:lineRule="auto"/>
              <w:jc w:val="both"/>
              <w:rPr>
                <w:rFonts w:asciiTheme="majorHAnsi" w:hAnsiTheme="majorHAnsi" w:cstheme="majorHAnsi"/>
                <w:b/>
                <w:sz w:val="18"/>
                <w:szCs w:val="18"/>
              </w:rPr>
            </w:pPr>
            <w:r>
              <w:rPr>
                <w:rFonts w:asciiTheme="majorHAnsi" w:hAnsiTheme="majorHAnsi" w:cstheme="majorHAnsi"/>
                <w:b/>
                <w:sz w:val="18"/>
                <w:szCs w:val="18"/>
              </w:rPr>
              <w:t>Obszar równoważenia potencjału rozwojowego regionów (dyfuzji)</w:t>
            </w:r>
          </w:p>
          <w:p w14:paraId="5B2FAC2C" w14:textId="77777777" w:rsidR="00094ACC" w:rsidRDefault="00094ACC" w:rsidP="0054382A">
            <w:pPr>
              <w:spacing w:line="276" w:lineRule="auto"/>
              <w:jc w:val="both"/>
              <w:rPr>
                <w:rFonts w:asciiTheme="majorHAnsi" w:hAnsiTheme="majorHAnsi" w:cstheme="majorHAnsi"/>
                <w:sz w:val="18"/>
                <w:szCs w:val="18"/>
              </w:rPr>
            </w:pPr>
            <w:r>
              <w:rPr>
                <w:rFonts w:asciiTheme="majorHAnsi" w:hAnsiTheme="majorHAnsi" w:cstheme="majorHAnsi"/>
                <w:sz w:val="18"/>
                <w:szCs w:val="18"/>
              </w:rPr>
              <w:t>Zgodnie z zasadami rozbudzania potencjału rozwojowego odpowiednich obszarów mechanizmami dyfuzji i absorbcji oraz polityką spójności społecznej, co daje w efekcie zwiększenie potencjału konkurencyjności Polski</w:t>
            </w:r>
          </w:p>
        </w:tc>
        <w:tc>
          <w:tcPr>
            <w:tcW w:w="838" w:type="dxa"/>
            <w:tcBorders>
              <w:top w:val="single" w:sz="18" w:space="0" w:color="FFFFFF" w:themeColor="background1"/>
              <w:left w:val="nil"/>
              <w:bottom w:val="single" w:sz="18" w:space="0" w:color="FFFFFF" w:themeColor="background1"/>
              <w:right w:val="single" w:sz="24" w:space="0" w:color="FFFFFF" w:themeColor="background1"/>
            </w:tcBorders>
            <w:shd w:val="clear" w:color="auto" w:fill="E6EECE"/>
            <w:vAlign w:val="center"/>
            <w:hideMark/>
          </w:tcPr>
          <w:p w14:paraId="4EED03DA" w14:textId="77777777" w:rsidR="00094ACC" w:rsidRDefault="00094ACC">
            <w:pPr>
              <w:spacing w:line="276" w:lineRule="auto"/>
              <w:jc w:val="center"/>
              <w:rPr>
                <w:rFonts w:asciiTheme="majorHAnsi" w:hAnsiTheme="majorHAnsi" w:cstheme="majorHAnsi"/>
                <w:b/>
                <w:color w:val="538135" w:themeColor="accent6" w:themeShade="BF"/>
                <w:sz w:val="18"/>
                <w:szCs w:val="18"/>
              </w:rPr>
            </w:pPr>
            <w:r>
              <w:rPr>
                <w:rFonts w:asciiTheme="majorHAnsi" w:hAnsiTheme="majorHAnsi" w:cstheme="majorHAnsi"/>
                <w:b/>
                <w:color w:val="538135" w:themeColor="accent6" w:themeShade="BF"/>
                <w:sz w:val="18"/>
                <w:szCs w:val="18"/>
              </w:rPr>
              <w:t>Cel 2</w:t>
            </w:r>
          </w:p>
          <w:p w14:paraId="75B9A34D" w14:textId="77777777" w:rsidR="00094ACC" w:rsidRDefault="00094ACC">
            <w:pPr>
              <w:spacing w:line="276" w:lineRule="auto"/>
              <w:jc w:val="center"/>
              <w:rPr>
                <w:rFonts w:asciiTheme="majorHAnsi" w:hAnsiTheme="majorHAnsi" w:cstheme="majorHAnsi"/>
                <w:b/>
                <w:color w:val="538135" w:themeColor="accent6" w:themeShade="BF"/>
                <w:sz w:val="18"/>
                <w:szCs w:val="18"/>
              </w:rPr>
            </w:pPr>
            <w:r>
              <w:rPr>
                <w:rFonts w:asciiTheme="majorHAnsi" w:hAnsiTheme="majorHAnsi" w:cstheme="majorHAnsi"/>
                <w:b/>
                <w:color w:val="538135" w:themeColor="accent6" w:themeShade="BF"/>
                <w:sz w:val="18"/>
                <w:szCs w:val="18"/>
              </w:rPr>
              <w:t>Cel 5</w:t>
            </w:r>
          </w:p>
        </w:tc>
        <w:tc>
          <w:tcPr>
            <w:tcW w:w="3608" w:type="dxa"/>
            <w:tcBorders>
              <w:top w:val="dashed" w:sz="4" w:space="0" w:color="5AA2AE"/>
              <w:left w:val="single" w:sz="24" w:space="0" w:color="FFFFFF" w:themeColor="background1"/>
              <w:bottom w:val="dashed" w:sz="4" w:space="0" w:color="5AA2AE"/>
              <w:right w:val="single" w:sz="4" w:space="0" w:color="B4C6E7" w:themeColor="accent5" w:themeTint="66"/>
            </w:tcBorders>
            <w:shd w:val="clear" w:color="auto" w:fill="FFFFFF" w:themeFill="background1"/>
            <w:vAlign w:val="center"/>
            <w:hideMark/>
          </w:tcPr>
          <w:p w14:paraId="6DBAAA65" w14:textId="77777777" w:rsidR="00094ACC" w:rsidRDefault="00094ACC" w:rsidP="0054382A">
            <w:pPr>
              <w:spacing w:line="276" w:lineRule="auto"/>
              <w:jc w:val="both"/>
              <w:rPr>
                <w:rFonts w:asciiTheme="majorHAnsi" w:hAnsiTheme="majorHAnsi" w:cstheme="majorHAnsi"/>
                <w:b/>
                <w:sz w:val="18"/>
                <w:szCs w:val="18"/>
              </w:rPr>
            </w:pPr>
            <w:r>
              <w:rPr>
                <w:rFonts w:asciiTheme="majorHAnsi" w:hAnsiTheme="majorHAnsi" w:cstheme="majorHAnsi"/>
                <w:sz w:val="18"/>
                <w:szCs w:val="18"/>
              </w:rPr>
              <w:t xml:space="preserve"> </w:t>
            </w:r>
            <w:r>
              <w:rPr>
                <w:rFonts w:asciiTheme="majorHAnsi" w:hAnsiTheme="majorHAnsi" w:cstheme="majorHAnsi"/>
                <w:b/>
                <w:sz w:val="18"/>
                <w:szCs w:val="18"/>
              </w:rPr>
              <w:t>Cel strategiczny 2.</w:t>
            </w:r>
          </w:p>
          <w:p w14:paraId="2D27D469" w14:textId="0C15C2E3" w:rsidR="00094ACC" w:rsidRDefault="00094ACC" w:rsidP="0054382A">
            <w:pPr>
              <w:spacing w:line="276" w:lineRule="auto"/>
              <w:jc w:val="both"/>
              <w:rPr>
                <w:rFonts w:asciiTheme="majorHAnsi" w:hAnsiTheme="majorHAnsi" w:cstheme="majorHAnsi"/>
                <w:sz w:val="18"/>
                <w:szCs w:val="18"/>
              </w:rPr>
            </w:pPr>
            <w:r>
              <w:rPr>
                <w:rFonts w:asciiTheme="majorHAnsi" w:hAnsiTheme="majorHAnsi" w:cstheme="majorHAnsi"/>
                <w:sz w:val="18"/>
                <w:szCs w:val="18"/>
              </w:rPr>
              <w:t xml:space="preserve">Zapewnienie wysokiej jakości życia mieszkańców poprzez efektywną gospodarkę energetyczną, ochronę </w:t>
            </w:r>
            <w:r w:rsidR="00BB7C86">
              <w:rPr>
                <w:rFonts w:asciiTheme="majorHAnsi" w:hAnsiTheme="majorHAnsi" w:cstheme="majorHAnsi"/>
                <w:color w:val="FF0000"/>
                <w:sz w:val="18"/>
                <w:szCs w:val="18"/>
              </w:rPr>
              <w:t>ziemi</w:t>
            </w:r>
            <w:r>
              <w:rPr>
                <w:rFonts w:asciiTheme="majorHAnsi" w:hAnsiTheme="majorHAnsi" w:cstheme="majorHAnsi"/>
                <w:sz w:val="18"/>
                <w:szCs w:val="18"/>
              </w:rPr>
              <w:t>, powietrza i środowiska naturalnego</w:t>
            </w:r>
          </w:p>
          <w:p w14:paraId="6C0C9363" w14:textId="77777777" w:rsidR="00094ACC" w:rsidRDefault="00094ACC" w:rsidP="0054382A">
            <w:pPr>
              <w:spacing w:line="276" w:lineRule="auto"/>
              <w:jc w:val="both"/>
              <w:rPr>
                <w:rFonts w:asciiTheme="majorHAnsi" w:hAnsiTheme="majorHAnsi" w:cstheme="majorHAnsi"/>
                <w:b/>
                <w:sz w:val="18"/>
                <w:szCs w:val="18"/>
              </w:rPr>
            </w:pPr>
            <w:r>
              <w:rPr>
                <w:rFonts w:asciiTheme="majorHAnsi" w:hAnsiTheme="majorHAnsi" w:cstheme="majorHAnsi"/>
                <w:b/>
                <w:sz w:val="18"/>
                <w:szCs w:val="18"/>
              </w:rPr>
              <w:t>Cel strategiczny 5.</w:t>
            </w:r>
          </w:p>
          <w:p w14:paraId="397F359A" w14:textId="77777777" w:rsidR="00094ACC" w:rsidRDefault="00094ACC" w:rsidP="0054382A">
            <w:pPr>
              <w:spacing w:line="276" w:lineRule="auto"/>
              <w:jc w:val="both"/>
              <w:rPr>
                <w:rFonts w:asciiTheme="majorHAnsi" w:hAnsiTheme="majorHAnsi" w:cstheme="majorHAnsi"/>
                <w:sz w:val="18"/>
                <w:szCs w:val="18"/>
              </w:rPr>
            </w:pPr>
            <w:r>
              <w:rPr>
                <w:rFonts w:asciiTheme="majorHAnsi" w:hAnsiTheme="majorHAnsi" w:cstheme="majorHAnsi"/>
                <w:sz w:val="18"/>
                <w:szCs w:val="18"/>
              </w:rPr>
              <w:t>Wzmacnianie potencjału społeczeństwa obywatelskiego poprzez rozwijanie potencjału kapitału ludzkiego i społecznego oraz rozwój instytucjonalny</w:t>
            </w:r>
          </w:p>
        </w:tc>
      </w:tr>
      <w:tr w:rsidR="00094ACC" w14:paraId="535E9E9F" w14:textId="77777777" w:rsidTr="00094ACC">
        <w:trPr>
          <w:cnfStyle w:val="000000100000" w:firstRow="0" w:lastRow="0" w:firstColumn="0" w:lastColumn="0" w:oddVBand="0" w:evenVBand="0" w:oddHBand="1" w:evenHBand="0" w:firstRowFirstColumn="0" w:firstRowLastColumn="0" w:lastRowFirstColumn="0" w:lastRowLastColumn="0"/>
          <w:trHeight w:val="1134"/>
        </w:trPr>
        <w:tc>
          <w:tcPr>
            <w:tcW w:w="1537" w:type="dxa"/>
            <w:tcBorders>
              <w:top w:val="single" w:sz="18" w:space="0" w:color="FFFFFF" w:themeColor="background1"/>
              <w:left w:val="single" w:sz="24" w:space="0" w:color="FFFFFF" w:themeColor="background1"/>
              <w:bottom w:val="single" w:sz="18" w:space="0" w:color="FFFFFF" w:themeColor="background1"/>
              <w:right w:val="single" w:sz="24" w:space="0" w:color="FFFFFF" w:themeColor="background1"/>
            </w:tcBorders>
            <w:shd w:val="clear" w:color="auto" w:fill="E6EECE"/>
            <w:vAlign w:val="center"/>
            <w:hideMark/>
          </w:tcPr>
          <w:p w14:paraId="63374B6B" w14:textId="77777777" w:rsidR="00094ACC" w:rsidRDefault="00094ACC">
            <w:pPr>
              <w:spacing w:line="276" w:lineRule="auto"/>
              <w:jc w:val="center"/>
              <w:rPr>
                <w:rFonts w:asciiTheme="majorHAnsi" w:hAnsiTheme="majorHAnsi" w:cstheme="majorHAnsi"/>
                <w:b/>
                <w:color w:val="538135" w:themeColor="accent6" w:themeShade="BF"/>
                <w:sz w:val="18"/>
                <w:szCs w:val="18"/>
              </w:rPr>
            </w:pPr>
            <w:r>
              <w:rPr>
                <w:rFonts w:asciiTheme="majorHAnsi" w:hAnsiTheme="majorHAnsi" w:cstheme="majorHAnsi"/>
                <w:b/>
                <w:color w:val="538135" w:themeColor="accent6" w:themeShade="BF"/>
                <w:sz w:val="18"/>
                <w:szCs w:val="18"/>
              </w:rPr>
              <w:t>Obszar nr 3</w:t>
            </w:r>
          </w:p>
        </w:tc>
        <w:tc>
          <w:tcPr>
            <w:tcW w:w="3043" w:type="dxa"/>
            <w:tcBorders>
              <w:top w:val="dashed" w:sz="4" w:space="0" w:color="5AA2AE"/>
              <w:left w:val="single" w:sz="24" w:space="0" w:color="FFFFFF" w:themeColor="background1"/>
              <w:bottom w:val="dashed" w:sz="4" w:space="0" w:color="5AA2AE"/>
              <w:right w:val="nil"/>
            </w:tcBorders>
            <w:shd w:val="clear" w:color="auto" w:fill="FFFFFF" w:themeFill="background1"/>
            <w:vAlign w:val="center"/>
            <w:hideMark/>
          </w:tcPr>
          <w:p w14:paraId="5B5534BE" w14:textId="77777777" w:rsidR="00094ACC" w:rsidRDefault="00094ACC" w:rsidP="0054382A">
            <w:pPr>
              <w:spacing w:line="276" w:lineRule="auto"/>
              <w:jc w:val="both"/>
              <w:rPr>
                <w:rFonts w:asciiTheme="majorHAnsi" w:hAnsiTheme="majorHAnsi" w:cstheme="majorHAnsi"/>
                <w:b/>
                <w:sz w:val="18"/>
                <w:szCs w:val="18"/>
              </w:rPr>
            </w:pPr>
            <w:r>
              <w:rPr>
                <w:rFonts w:asciiTheme="majorHAnsi" w:hAnsiTheme="majorHAnsi" w:cstheme="majorHAnsi"/>
                <w:b/>
                <w:sz w:val="18"/>
                <w:szCs w:val="18"/>
              </w:rPr>
              <w:t>Obszar efektywności i sprawności państwa (efektywności)</w:t>
            </w:r>
          </w:p>
          <w:p w14:paraId="6ED533F0" w14:textId="77777777" w:rsidR="00094ACC" w:rsidRDefault="00094ACC" w:rsidP="0054382A">
            <w:pPr>
              <w:spacing w:line="276" w:lineRule="auto"/>
              <w:jc w:val="both"/>
              <w:rPr>
                <w:rFonts w:asciiTheme="majorHAnsi" w:hAnsiTheme="majorHAnsi" w:cstheme="majorHAnsi"/>
                <w:sz w:val="18"/>
                <w:szCs w:val="18"/>
              </w:rPr>
            </w:pPr>
            <w:r>
              <w:rPr>
                <w:rFonts w:asciiTheme="majorHAnsi" w:hAnsiTheme="majorHAnsi" w:cstheme="majorHAnsi"/>
                <w:sz w:val="18"/>
                <w:szCs w:val="18"/>
              </w:rPr>
              <w:t xml:space="preserve">Usprawniający funkcje przyjaznego i pomocnego państwa (nie </w:t>
            </w:r>
            <w:proofErr w:type="spellStart"/>
            <w:r>
              <w:rPr>
                <w:rFonts w:asciiTheme="majorHAnsi" w:hAnsiTheme="majorHAnsi" w:cstheme="majorHAnsi"/>
                <w:sz w:val="18"/>
                <w:szCs w:val="18"/>
              </w:rPr>
              <w:t>nadodpowiedzialnego</w:t>
            </w:r>
            <w:proofErr w:type="spellEnd"/>
            <w:r>
              <w:rPr>
                <w:rFonts w:asciiTheme="majorHAnsi" w:hAnsiTheme="majorHAnsi" w:cstheme="majorHAnsi"/>
                <w:sz w:val="18"/>
                <w:szCs w:val="18"/>
              </w:rPr>
              <w:t>) działającego efektywnie w kluczowych obszarach interwencji</w:t>
            </w:r>
          </w:p>
        </w:tc>
        <w:tc>
          <w:tcPr>
            <w:tcW w:w="838" w:type="dxa"/>
            <w:tcBorders>
              <w:top w:val="single" w:sz="18" w:space="0" w:color="FFFFFF" w:themeColor="background1"/>
              <w:left w:val="nil"/>
              <w:bottom w:val="single" w:sz="18" w:space="0" w:color="FFFFFF" w:themeColor="background1"/>
              <w:right w:val="single" w:sz="24" w:space="0" w:color="FFFFFF" w:themeColor="background1"/>
            </w:tcBorders>
            <w:shd w:val="clear" w:color="auto" w:fill="E6EECE"/>
            <w:vAlign w:val="center"/>
            <w:hideMark/>
          </w:tcPr>
          <w:p w14:paraId="04367301" w14:textId="77777777" w:rsidR="00094ACC" w:rsidRDefault="00094ACC">
            <w:pPr>
              <w:spacing w:line="276" w:lineRule="auto"/>
              <w:jc w:val="center"/>
              <w:rPr>
                <w:rFonts w:asciiTheme="majorHAnsi" w:hAnsiTheme="majorHAnsi" w:cstheme="majorHAnsi"/>
                <w:b/>
                <w:color w:val="538135" w:themeColor="accent6" w:themeShade="BF"/>
                <w:sz w:val="18"/>
                <w:szCs w:val="18"/>
              </w:rPr>
            </w:pPr>
            <w:r>
              <w:rPr>
                <w:rFonts w:asciiTheme="majorHAnsi" w:hAnsiTheme="majorHAnsi" w:cstheme="majorHAnsi"/>
                <w:b/>
                <w:color w:val="538135" w:themeColor="accent6" w:themeShade="BF"/>
                <w:sz w:val="18"/>
                <w:szCs w:val="18"/>
              </w:rPr>
              <w:t>Cel 4</w:t>
            </w:r>
          </w:p>
        </w:tc>
        <w:tc>
          <w:tcPr>
            <w:tcW w:w="3608" w:type="dxa"/>
            <w:tcBorders>
              <w:top w:val="dashed" w:sz="4" w:space="0" w:color="5AA2AE"/>
              <w:left w:val="single" w:sz="24" w:space="0" w:color="FFFFFF" w:themeColor="background1"/>
              <w:bottom w:val="dashed" w:sz="4" w:space="0" w:color="5AA2AE"/>
              <w:right w:val="single" w:sz="4" w:space="0" w:color="B4C6E7" w:themeColor="accent5" w:themeTint="66"/>
            </w:tcBorders>
            <w:shd w:val="clear" w:color="auto" w:fill="FFFFFF" w:themeFill="background1"/>
            <w:vAlign w:val="center"/>
            <w:hideMark/>
          </w:tcPr>
          <w:p w14:paraId="37E6A7BC" w14:textId="77777777" w:rsidR="00094ACC" w:rsidRDefault="00094ACC" w:rsidP="0054382A">
            <w:pPr>
              <w:spacing w:line="276" w:lineRule="auto"/>
              <w:jc w:val="both"/>
              <w:rPr>
                <w:rFonts w:asciiTheme="majorHAnsi" w:hAnsiTheme="majorHAnsi" w:cstheme="majorHAnsi"/>
                <w:b/>
                <w:sz w:val="18"/>
                <w:szCs w:val="18"/>
              </w:rPr>
            </w:pPr>
            <w:r>
              <w:rPr>
                <w:rFonts w:asciiTheme="majorHAnsi" w:hAnsiTheme="majorHAnsi" w:cstheme="majorHAnsi"/>
                <w:b/>
                <w:sz w:val="18"/>
                <w:szCs w:val="18"/>
              </w:rPr>
              <w:t>Cel strategiczny 4.</w:t>
            </w:r>
          </w:p>
          <w:p w14:paraId="26BD9DE2" w14:textId="77777777" w:rsidR="00094ACC" w:rsidRDefault="00094ACC" w:rsidP="0054382A">
            <w:pPr>
              <w:spacing w:line="276" w:lineRule="auto"/>
              <w:jc w:val="both"/>
              <w:rPr>
                <w:rFonts w:asciiTheme="majorHAnsi" w:hAnsiTheme="majorHAnsi" w:cstheme="majorHAnsi"/>
                <w:sz w:val="18"/>
                <w:szCs w:val="18"/>
              </w:rPr>
            </w:pPr>
            <w:r>
              <w:rPr>
                <w:rFonts w:asciiTheme="majorHAnsi" w:hAnsiTheme="majorHAnsi" w:cstheme="majorHAnsi"/>
                <w:sz w:val="18"/>
                <w:szCs w:val="18"/>
              </w:rPr>
              <w:t>Budowa zintegrowanego systemu wyspecjalizowanych usług publicznych w obszarach zabezpieczenia społecznego, opieki senioralnej, ochrony zdrowia</w:t>
            </w:r>
          </w:p>
        </w:tc>
      </w:tr>
    </w:tbl>
    <w:p w14:paraId="6FF82A74" w14:textId="77777777" w:rsidR="00094ACC" w:rsidRDefault="00094ACC" w:rsidP="00094ACC">
      <w:pPr>
        <w:spacing w:line="276" w:lineRule="auto"/>
        <w:rPr>
          <w:rFonts w:asciiTheme="majorHAnsi" w:hAnsiTheme="majorHAnsi" w:cstheme="majorHAnsi"/>
          <w:sz w:val="24"/>
        </w:rPr>
      </w:pPr>
    </w:p>
    <w:p w14:paraId="1E81852D" w14:textId="77777777" w:rsidR="00094ACC" w:rsidRDefault="00094ACC" w:rsidP="00094ACC">
      <w:pPr>
        <w:spacing w:after="0" w:line="276" w:lineRule="auto"/>
        <w:rPr>
          <w:rFonts w:asciiTheme="majorHAnsi" w:eastAsia="Calibri" w:hAnsiTheme="majorHAnsi" w:cstheme="majorHAnsi"/>
          <w:b/>
          <w:color w:val="A5C249"/>
          <w:szCs w:val="24"/>
        </w:rPr>
      </w:pPr>
      <w:r>
        <w:rPr>
          <w:rFonts w:asciiTheme="majorHAnsi" w:eastAsia="Calibri" w:hAnsiTheme="majorHAnsi" w:cstheme="majorHAnsi"/>
          <w:b/>
          <w:color w:val="A5C249"/>
          <w:szCs w:val="24"/>
        </w:rPr>
        <w:t xml:space="preserve">Warmińsko-Mazurskie 2030 Strategia rozwoju społeczno-gospodarczego </w:t>
      </w:r>
    </w:p>
    <w:p w14:paraId="69DECB83" w14:textId="77777777" w:rsidR="00094ACC" w:rsidRDefault="00094ACC" w:rsidP="00094ACC">
      <w:pPr>
        <w:spacing w:after="0" w:line="276" w:lineRule="auto"/>
        <w:rPr>
          <w:rFonts w:asciiTheme="majorHAnsi" w:hAnsiTheme="majorHAnsi" w:cstheme="majorHAnsi"/>
          <w:b/>
          <w:bCs/>
          <w:i/>
          <w:iCs/>
          <w:szCs w:val="20"/>
        </w:rPr>
      </w:pPr>
      <w:r>
        <w:rPr>
          <w:rFonts w:asciiTheme="majorHAnsi" w:hAnsiTheme="majorHAnsi" w:cstheme="majorHAnsi"/>
          <w:i/>
          <w:iCs/>
          <w:szCs w:val="20"/>
        </w:rPr>
        <w:t xml:space="preserve">Celem głównym Strategii województwa jest: </w:t>
      </w:r>
      <w:r>
        <w:rPr>
          <w:rFonts w:asciiTheme="majorHAnsi" w:hAnsiTheme="majorHAnsi" w:cstheme="majorHAnsi"/>
          <w:b/>
          <w:bCs/>
          <w:i/>
          <w:iCs/>
          <w:szCs w:val="20"/>
        </w:rPr>
        <w:t xml:space="preserve">spójność ekonomiczna, społeczna i przestrzenna Warmii i Mazur z regionami Europy </w:t>
      </w:r>
    </w:p>
    <w:p w14:paraId="23325B53" w14:textId="77777777" w:rsidR="00094ACC" w:rsidRDefault="00094ACC" w:rsidP="00094ACC">
      <w:pPr>
        <w:spacing w:after="0" w:line="276" w:lineRule="auto"/>
        <w:rPr>
          <w:rFonts w:asciiTheme="majorHAnsi" w:hAnsiTheme="majorHAnsi" w:cstheme="majorHAnsi"/>
          <w:bCs/>
          <w:iCs/>
          <w:szCs w:val="20"/>
        </w:rPr>
      </w:pPr>
      <w:r>
        <w:rPr>
          <w:rFonts w:asciiTheme="majorHAnsi" w:hAnsiTheme="majorHAnsi" w:cstheme="majorHAnsi"/>
          <w:bCs/>
          <w:iCs/>
          <w:szCs w:val="20"/>
        </w:rPr>
        <w:t xml:space="preserve">przy czym: </w:t>
      </w:r>
    </w:p>
    <w:p w14:paraId="5DE646DB" w14:textId="77777777" w:rsidR="00094ACC" w:rsidRDefault="00094ACC" w:rsidP="00094ACC">
      <w:pPr>
        <w:pStyle w:val="Akapitzlist"/>
        <w:numPr>
          <w:ilvl w:val="0"/>
          <w:numId w:val="34"/>
        </w:numPr>
        <w:spacing w:after="0" w:line="276" w:lineRule="auto"/>
        <w:jc w:val="both"/>
        <w:rPr>
          <w:rFonts w:asciiTheme="majorHAnsi" w:hAnsiTheme="majorHAnsi" w:cstheme="majorHAnsi"/>
          <w:bCs/>
          <w:iCs/>
          <w:szCs w:val="20"/>
        </w:rPr>
      </w:pPr>
      <w:r>
        <w:rPr>
          <w:rFonts w:asciiTheme="majorHAnsi" w:hAnsiTheme="majorHAnsi" w:cstheme="majorHAnsi"/>
          <w:bCs/>
          <w:iCs/>
          <w:szCs w:val="20"/>
        </w:rPr>
        <w:t xml:space="preserve">spójność ekonomiczna oznacza wzrost gospodarczy umożliwiający osiągnięcie i utrzymanie przez województwo udziału własnego w produkcie krajowym brutto na poziomie co najmniej 3%; </w:t>
      </w:r>
    </w:p>
    <w:p w14:paraId="6639393D" w14:textId="77777777" w:rsidR="00094ACC" w:rsidRDefault="00094ACC" w:rsidP="00094ACC">
      <w:pPr>
        <w:pStyle w:val="Akapitzlist"/>
        <w:numPr>
          <w:ilvl w:val="0"/>
          <w:numId w:val="34"/>
        </w:numPr>
        <w:spacing w:after="0" w:line="276" w:lineRule="auto"/>
        <w:jc w:val="both"/>
        <w:rPr>
          <w:rFonts w:asciiTheme="majorHAnsi" w:hAnsiTheme="majorHAnsi" w:cstheme="majorHAnsi"/>
          <w:bCs/>
          <w:iCs/>
          <w:szCs w:val="20"/>
        </w:rPr>
      </w:pPr>
      <w:r>
        <w:rPr>
          <w:rFonts w:asciiTheme="majorHAnsi" w:hAnsiTheme="majorHAnsi" w:cstheme="majorHAnsi"/>
          <w:bCs/>
          <w:iCs/>
          <w:szCs w:val="20"/>
        </w:rPr>
        <w:t xml:space="preserve">spójność przestrzenna to włączenie się województwa (formalne i jakościowe) do głównej sieci infrastruktury transportowej w Polsce oraz w transeuropejską sieć korytarzy transportowych; </w:t>
      </w:r>
    </w:p>
    <w:p w14:paraId="3C55D8C3" w14:textId="77777777" w:rsidR="00094ACC" w:rsidRDefault="00094ACC" w:rsidP="00094ACC">
      <w:pPr>
        <w:pStyle w:val="Akapitzlist"/>
        <w:numPr>
          <w:ilvl w:val="0"/>
          <w:numId w:val="34"/>
        </w:numPr>
        <w:spacing w:after="0" w:line="276" w:lineRule="auto"/>
        <w:jc w:val="both"/>
        <w:rPr>
          <w:rFonts w:asciiTheme="majorHAnsi" w:hAnsiTheme="majorHAnsi" w:cstheme="majorHAnsi"/>
          <w:bCs/>
          <w:iCs/>
          <w:szCs w:val="20"/>
        </w:rPr>
      </w:pPr>
      <w:r>
        <w:rPr>
          <w:rFonts w:asciiTheme="majorHAnsi" w:hAnsiTheme="majorHAnsi" w:cstheme="majorHAnsi"/>
          <w:bCs/>
          <w:iCs/>
          <w:szCs w:val="20"/>
        </w:rPr>
        <w:t xml:space="preserve">spójność społeczna rozumiana jest jako tworzenie miejsc pracy wysokiej jakości i wzrost przedsiębiorczości (oferta nowych miejsc pracy skierowana zostanie przede wszystkim do ludzi młodych z uwagi na ich naturalną aktywność, mobilność, otwartość na zdobywanie nowych kwalifikacji), a także poprawę warunków życia ludności (w szczególności dostępu do usług publicznych oraz rewitalizację obszarów zdegradowanych) zbliżającą do standardów życia występujących w Unii Europejskiej. </w:t>
      </w:r>
    </w:p>
    <w:p w14:paraId="4469977E" w14:textId="77777777" w:rsidR="00094ACC" w:rsidRDefault="00094ACC" w:rsidP="00094ACC">
      <w:pPr>
        <w:spacing w:after="0" w:line="276" w:lineRule="auto"/>
        <w:rPr>
          <w:rFonts w:asciiTheme="majorHAnsi" w:hAnsiTheme="majorHAnsi" w:cstheme="majorHAnsi"/>
          <w:i/>
          <w:iCs/>
          <w:szCs w:val="20"/>
        </w:rPr>
      </w:pPr>
    </w:p>
    <w:p w14:paraId="21E590C5" w14:textId="77777777" w:rsidR="00094ACC" w:rsidRDefault="00094ACC" w:rsidP="00094ACC">
      <w:pPr>
        <w:spacing w:after="0" w:line="276" w:lineRule="auto"/>
        <w:jc w:val="both"/>
        <w:rPr>
          <w:rFonts w:asciiTheme="majorHAnsi" w:hAnsiTheme="majorHAnsi" w:cstheme="majorHAnsi"/>
          <w:szCs w:val="20"/>
        </w:rPr>
      </w:pPr>
      <w:r>
        <w:rPr>
          <w:rFonts w:asciiTheme="majorHAnsi" w:hAnsiTheme="majorHAnsi" w:cstheme="majorHAnsi"/>
          <w:szCs w:val="20"/>
        </w:rPr>
        <w:t>Wszystkie cele Strategii Rozwoju Obszaru Funkcjonalnego Południowe Mazury 2030 /OF Południowe Mazury 2030/ wpisują się w cele</w:t>
      </w:r>
      <w:r>
        <w:rPr>
          <w:rFonts w:asciiTheme="majorHAnsi" w:hAnsiTheme="majorHAnsi" w:cstheme="majorHAnsi"/>
          <w:i/>
          <w:iCs/>
          <w:szCs w:val="20"/>
        </w:rPr>
        <w:t xml:space="preserve"> </w:t>
      </w:r>
      <w:r>
        <w:rPr>
          <w:rFonts w:asciiTheme="majorHAnsi" w:hAnsiTheme="majorHAnsi" w:cstheme="majorHAnsi"/>
          <w:bCs/>
          <w:i/>
          <w:iCs/>
          <w:szCs w:val="20"/>
        </w:rPr>
        <w:t>Warmińsko-Mazurskie 2030</w:t>
      </w:r>
      <w:r>
        <w:rPr>
          <w:rFonts w:asciiTheme="majorHAnsi" w:hAnsiTheme="majorHAnsi" w:cstheme="majorHAnsi"/>
          <w:i/>
          <w:iCs/>
          <w:szCs w:val="20"/>
        </w:rPr>
        <w:t xml:space="preserve"> </w:t>
      </w:r>
      <w:r>
        <w:rPr>
          <w:rFonts w:asciiTheme="majorHAnsi" w:hAnsiTheme="majorHAnsi" w:cstheme="majorHAnsi"/>
          <w:bCs/>
          <w:i/>
          <w:iCs/>
          <w:szCs w:val="20"/>
        </w:rPr>
        <w:t>Strategia rozwoju społeczno-gospodarczego</w:t>
      </w:r>
      <w:r>
        <w:rPr>
          <w:rFonts w:asciiTheme="majorHAnsi" w:hAnsiTheme="majorHAnsi" w:cstheme="majorHAnsi"/>
          <w:szCs w:val="20"/>
        </w:rPr>
        <w:t>:</w:t>
      </w:r>
    </w:p>
    <w:tbl>
      <w:tblPr>
        <w:tblStyle w:val="Tabelasiatki5ciemnaakcent51"/>
        <w:tblW w:w="0" w:type="auto"/>
        <w:tblLook w:val="0420" w:firstRow="1" w:lastRow="0" w:firstColumn="0" w:lastColumn="0" w:noHBand="0" w:noVBand="1"/>
      </w:tblPr>
      <w:tblGrid>
        <w:gridCol w:w="1537"/>
        <w:gridCol w:w="3042"/>
        <w:gridCol w:w="838"/>
        <w:gridCol w:w="3607"/>
      </w:tblGrid>
      <w:tr w:rsidR="00094ACC" w:rsidRPr="00754765" w14:paraId="5B7A64ED" w14:textId="77777777" w:rsidTr="00094ACC">
        <w:trPr>
          <w:cnfStyle w:val="100000000000" w:firstRow="1" w:lastRow="0" w:firstColumn="0" w:lastColumn="0" w:oddVBand="0" w:evenVBand="0" w:oddHBand="0" w:evenHBand="0" w:firstRowFirstColumn="0" w:firstRowLastColumn="0" w:lastRowFirstColumn="0" w:lastRowLastColumn="0"/>
          <w:trHeight w:val="340"/>
          <w:tblHeader/>
        </w:trPr>
        <w:tc>
          <w:tcPr>
            <w:tcW w:w="4580"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A5C249"/>
            <w:vAlign w:val="center"/>
            <w:hideMark/>
          </w:tcPr>
          <w:p w14:paraId="7EEFA0CA" w14:textId="77777777" w:rsidR="00094ACC" w:rsidRPr="00754765" w:rsidRDefault="00094ACC">
            <w:pPr>
              <w:spacing w:line="276" w:lineRule="auto"/>
              <w:jc w:val="center"/>
              <w:rPr>
                <w:rFonts w:asciiTheme="majorHAnsi" w:hAnsiTheme="majorHAnsi" w:cstheme="majorHAnsi"/>
                <w:sz w:val="18"/>
                <w:szCs w:val="18"/>
              </w:rPr>
            </w:pPr>
            <w:r w:rsidRPr="00754765">
              <w:rPr>
                <w:rFonts w:asciiTheme="majorHAnsi" w:hAnsiTheme="majorHAnsi" w:cstheme="majorHAnsi"/>
                <w:iCs/>
                <w:sz w:val="18"/>
                <w:szCs w:val="18"/>
              </w:rPr>
              <w:lastRenderedPageBreak/>
              <w:t>Warmińsko-Mazurskie 2030</w:t>
            </w:r>
            <w:r w:rsidRPr="00754765">
              <w:rPr>
                <w:rFonts w:asciiTheme="majorHAnsi" w:hAnsiTheme="majorHAnsi" w:cstheme="majorHAnsi"/>
                <w:sz w:val="18"/>
                <w:szCs w:val="18"/>
              </w:rPr>
              <w:t xml:space="preserve"> </w:t>
            </w:r>
            <w:r w:rsidRPr="00754765">
              <w:rPr>
                <w:rFonts w:asciiTheme="majorHAnsi" w:hAnsiTheme="majorHAnsi" w:cstheme="majorHAnsi"/>
                <w:iCs/>
                <w:sz w:val="18"/>
                <w:szCs w:val="18"/>
              </w:rPr>
              <w:t>Strategia rozwoju społeczno-gospodarczego</w:t>
            </w:r>
          </w:p>
        </w:tc>
        <w:tc>
          <w:tcPr>
            <w:tcW w:w="4446"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A5C249"/>
            <w:vAlign w:val="center"/>
            <w:hideMark/>
          </w:tcPr>
          <w:p w14:paraId="49F873AC" w14:textId="77777777" w:rsidR="00094ACC" w:rsidRPr="00754765" w:rsidRDefault="00094ACC">
            <w:pPr>
              <w:spacing w:line="276" w:lineRule="auto"/>
              <w:jc w:val="center"/>
              <w:rPr>
                <w:rFonts w:asciiTheme="majorHAnsi" w:hAnsiTheme="majorHAnsi" w:cstheme="majorHAnsi"/>
                <w:iCs/>
                <w:sz w:val="18"/>
                <w:szCs w:val="18"/>
              </w:rPr>
            </w:pPr>
            <w:r w:rsidRPr="00754765">
              <w:rPr>
                <w:rFonts w:asciiTheme="majorHAnsi" w:hAnsiTheme="majorHAnsi" w:cstheme="majorHAnsi"/>
                <w:sz w:val="18"/>
                <w:szCs w:val="18"/>
              </w:rPr>
              <w:t>Strategia Rozwoju Obszaru Funkcjonalnego Południowe Mazury 2030 /OF Południowe Mazury 2030/</w:t>
            </w:r>
          </w:p>
        </w:tc>
      </w:tr>
      <w:tr w:rsidR="00094ACC" w14:paraId="0568874D" w14:textId="77777777" w:rsidTr="0054382A">
        <w:trPr>
          <w:cnfStyle w:val="000000100000" w:firstRow="0" w:lastRow="0" w:firstColumn="0" w:lastColumn="0" w:oddVBand="0" w:evenVBand="0" w:oddHBand="1" w:evenHBand="0" w:firstRowFirstColumn="0" w:firstRowLastColumn="0" w:lastRowFirstColumn="0" w:lastRowLastColumn="0"/>
          <w:trHeight w:val="1134"/>
        </w:trPr>
        <w:tc>
          <w:tcPr>
            <w:tcW w:w="1537" w:type="dxa"/>
            <w:tcBorders>
              <w:top w:val="single" w:sz="18" w:space="0" w:color="FFFFFF" w:themeColor="background1"/>
              <w:left w:val="single" w:sz="24" w:space="0" w:color="FFFFFF" w:themeColor="background1"/>
              <w:bottom w:val="single" w:sz="18" w:space="0" w:color="FFFFFF" w:themeColor="background1"/>
              <w:right w:val="single" w:sz="24" w:space="0" w:color="FFFFFF" w:themeColor="background1"/>
            </w:tcBorders>
            <w:shd w:val="clear" w:color="auto" w:fill="E6EECE"/>
            <w:vAlign w:val="center"/>
            <w:hideMark/>
          </w:tcPr>
          <w:p w14:paraId="017EB0F7" w14:textId="77777777" w:rsidR="00094ACC" w:rsidRDefault="00094ACC" w:rsidP="0054382A">
            <w:pPr>
              <w:spacing w:line="276" w:lineRule="auto"/>
              <w:rPr>
                <w:rFonts w:asciiTheme="majorHAnsi" w:hAnsiTheme="majorHAnsi" w:cstheme="majorHAnsi"/>
                <w:b/>
                <w:color w:val="538135" w:themeColor="accent6" w:themeShade="BF"/>
                <w:sz w:val="18"/>
                <w:szCs w:val="18"/>
              </w:rPr>
            </w:pPr>
            <w:r>
              <w:rPr>
                <w:rFonts w:asciiTheme="majorHAnsi" w:hAnsiTheme="majorHAnsi" w:cstheme="majorHAnsi"/>
                <w:b/>
                <w:color w:val="538135" w:themeColor="accent6" w:themeShade="BF"/>
                <w:sz w:val="18"/>
                <w:szCs w:val="18"/>
              </w:rPr>
              <w:t>Cel strategiczny I</w:t>
            </w:r>
          </w:p>
        </w:tc>
        <w:tc>
          <w:tcPr>
            <w:tcW w:w="3043" w:type="dxa"/>
            <w:tcBorders>
              <w:top w:val="single" w:sz="18" w:space="0" w:color="FFFFFF" w:themeColor="background1"/>
              <w:left w:val="single" w:sz="24" w:space="0" w:color="FFFFFF" w:themeColor="background1"/>
              <w:bottom w:val="dashed" w:sz="4" w:space="0" w:color="5AA2AE"/>
              <w:right w:val="nil"/>
            </w:tcBorders>
            <w:shd w:val="clear" w:color="auto" w:fill="FFFFFF" w:themeFill="background1"/>
            <w:vAlign w:val="center"/>
            <w:hideMark/>
          </w:tcPr>
          <w:p w14:paraId="7457B78A" w14:textId="77777777" w:rsidR="00094ACC" w:rsidRDefault="00094ACC" w:rsidP="0054382A">
            <w:pPr>
              <w:spacing w:line="276" w:lineRule="auto"/>
              <w:jc w:val="both"/>
              <w:rPr>
                <w:rFonts w:asciiTheme="majorHAnsi" w:hAnsiTheme="majorHAnsi" w:cstheme="majorHAnsi"/>
                <w:bCs/>
                <w:iCs/>
                <w:sz w:val="18"/>
                <w:szCs w:val="18"/>
              </w:rPr>
            </w:pPr>
            <w:r>
              <w:rPr>
                <w:rFonts w:asciiTheme="majorHAnsi" w:hAnsiTheme="majorHAnsi" w:cstheme="majorHAnsi"/>
                <w:bCs/>
                <w:iCs/>
                <w:sz w:val="18"/>
                <w:szCs w:val="18"/>
              </w:rPr>
              <w:t>Kompetencje przyszłości</w:t>
            </w:r>
          </w:p>
          <w:p w14:paraId="642911BB" w14:textId="77777777" w:rsidR="00094ACC" w:rsidRDefault="00094ACC" w:rsidP="0054382A">
            <w:pPr>
              <w:spacing w:line="276" w:lineRule="auto"/>
              <w:jc w:val="both"/>
              <w:rPr>
                <w:rFonts w:asciiTheme="majorHAnsi" w:hAnsiTheme="majorHAnsi" w:cstheme="majorHAnsi"/>
                <w:bCs/>
                <w:iCs/>
                <w:sz w:val="18"/>
                <w:szCs w:val="18"/>
              </w:rPr>
            </w:pPr>
            <w:r>
              <w:rPr>
                <w:rFonts w:asciiTheme="majorHAnsi" w:hAnsiTheme="majorHAnsi" w:cstheme="majorHAnsi"/>
                <w:bCs/>
                <w:iCs/>
                <w:sz w:val="18"/>
                <w:szCs w:val="18"/>
              </w:rPr>
              <w:t>Cele operacyjne:</w:t>
            </w:r>
          </w:p>
          <w:p w14:paraId="169A2E32" w14:textId="77777777" w:rsidR="00094ACC" w:rsidRDefault="00094ACC" w:rsidP="0054382A">
            <w:pPr>
              <w:spacing w:line="276" w:lineRule="auto"/>
              <w:jc w:val="both"/>
              <w:rPr>
                <w:rFonts w:asciiTheme="majorHAnsi" w:hAnsiTheme="majorHAnsi" w:cstheme="majorHAnsi"/>
                <w:bCs/>
                <w:iCs/>
                <w:sz w:val="18"/>
                <w:szCs w:val="18"/>
              </w:rPr>
            </w:pPr>
            <w:r>
              <w:rPr>
                <w:rFonts w:asciiTheme="majorHAnsi" w:hAnsiTheme="majorHAnsi" w:cstheme="majorHAnsi"/>
                <w:bCs/>
                <w:iCs/>
                <w:sz w:val="18"/>
                <w:szCs w:val="18"/>
              </w:rPr>
              <w:t>Użyteczne kwalifikacje i kompetencje</w:t>
            </w:r>
          </w:p>
          <w:p w14:paraId="33EADFEC" w14:textId="77777777" w:rsidR="00094ACC" w:rsidRDefault="00094ACC" w:rsidP="0054382A">
            <w:pPr>
              <w:spacing w:line="276" w:lineRule="auto"/>
              <w:jc w:val="both"/>
              <w:rPr>
                <w:rFonts w:asciiTheme="majorHAnsi" w:hAnsiTheme="majorHAnsi" w:cstheme="majorHAnsi"/>
                <w:bCs/>
                <w:iCs/>
                <w:sz w:val="18"/>
                <w:szCs w:val="18"/>
              </w:rPr>
            </w:pPr>
            <w:r>
              <w:rPr>
                <w:rFonts w:asciiTheme="majorHAnsi" w:hAnsiTheme="majorHAnsi" w:cstheme="majorHAnsi"/>
                <w:bCs/>
                <w:iCs/>
                <w:sz w:val="18"/>
                <w:szCs w:val="18"/>
              </w:rPr>
              <w:t>Nowoczesne usługi</w:t>
            </w:r>
          </w:p>
          <w:p w14:paraId="549D3D92" w14:textId="77777777" w:rsidR="00094ACC" w:rsidRDefault="00094ACC" w:rsidP="0054382A">
            <w:pPr>
              <w:spacing w:line="276" w:lineRule="auto"/>
              <w:jc w:val="both"/>
              <w:rPr>
                <w:rFonts w:asciiTheme="majorHAnsi" w:hAnsiTheme="majorHAnsi" w:cstheme="majorHAnsi"/>
                <w:bCs/>
                <w:iCs/>
                <w:sz w:val="18"/>
                <w:szCs w:val="18"/>
              </w:rPr>
            </w:pPr>
            <w:r>
              <w:rPr>
                <w:rFonts w:asciiTheme="majorHAnsi" w:hAnsiTheme="majorHAnsi" w:cstheme="majorHAnsi"/>
                <w:bCs/>
                <w:iCs/>
                <w:sz w:val="18"/>
                <w:szCs w:val="18"/>
              </w:rPr>
              <w:t>Profesjonalne organizacje</w:t>
            </w:r>
          </w:p>
        </w:tc>
        <w:tc>
          <w:tcPr>
            <w:tcW w:w="838" w:type="dxa"/>
            <w:tcBorders>
              <w:top w:val="single" w:sz="18" w:space="0" w:color="FFFFFF" w:themeColor="background1"/>
              <w:left w:val="nil"/>
              <w:bottom w:val="single" w:sz="18" w:space="0" w:color="FFFFFF" w:themeColor="background1"/>
              <w:right w:val="single" w:sz="24" w:space="0" w:color="FFFFFF" w:themeColor="background1"/>
            </w:tcBorders>
            <w:shd w:val="clear" w:color="auto" w:fill="E6EECE"/>
            <w:vAlign w:val="center"/>
          </w:tcPr>
          <w:p w14:paraId="2F4FE5E7" w14:textId="77777777" w:rsidR="00094ACC" w:rsidRDefault="00094ACC" w:rsidP="0054382A">
            <w:pPr>
              <w:spacing w:line="276" w:lineRule="auto"/>
              <w:jc w:val="center"/>
              <w:rPr>
                <w:rFonts w:asciiTheme="majorHAnsi" w:hAnsiTheme="majorHAnsi" w:cstheme="majorHAnsi"/>
                <w:b/>
                <w:color w:val="538135" w:themeColor="accent6" w:themeShade="BF"/>
                <w:sz w:val="18"/>
                <w:szCs w:val="18"/>
              </w:rPr>
            </w:pPr>
            <w:r>
              <w:rPr>
                <w:rFonts w:asciiTheme="majorHAnsi" w:hAnsiTheme="majorHAnsi" w:cstheme="majorHAnsi"/>
                <w:b/>
                <w:color w:val="538135" w:themeColor="accent6" w:themeShade="BF"/>
                <w:sz w:val="18"/>
                <w:szCs w:val="18"/>
              </w:rPr>
              <w:t>Cel 5</w:t>
            </w:r>
          </w:p>
          <w:p w14:paraId="0217C096" w14:textId="6C7B4EA5" w:rsidR="00094ACC" w:rsidRDefault="0054382A" w:rsidP="0054382A">
            <w:pPr>
              <w:spacing w:line="276" w:lineRule="auto"/>
              <w:jc w:val="center"/>
              <w:rPr>
                <w:rFonts w:asciiTheme="majorHAnsi" w:hAnsiTheme="majorHAnsi" w:cstheme="majorHAnsi"/>
                <w:b/>
                <w:color w:val="538135" w:themeColor="accent6" w:themeShade="BF"/>
                <w:sz w:val="18"/>
                <w:szCs w:val="18"/>
              </w:rPr>
            </w:pPr>
            <w:r>
              <w:rPr>
                <w:rFonts w:asciiTheme="majorHAnsi" w:hAnsiTheme="majorHAnsi" w:cstheme="majorHAnsi"/>
                <w:b/>
                <w:color w:val="538135" w:themeColor="accent6" w:themeShade="BF"/>
                <w:sz w:val="18"/>
                <w:szCs w:val="18"/>
              </w:rPr>
              <w:t>Cel 4</w:t>
            </w:r>
          </w:p>
        </w:tc>
        <w:tc>
          <w:tcPr>
            <w:tcW w:w="3608" w:type="dxa"/>
            <w:tcBorders>
              <w:top w:val="single" w:sz="18" w:space="0" w:color="FFFFFF" w:themeColor="background1"/>
              <w:left w:val="single" w:sz="24" w:space="0" w:color="FFFFFF" w:themeColor="background1"/>
              <w:bottom w:val="dashed" w:sz="4" w:space="0" w:color="5AA2AE"/>
              <w:right w:val="single" w:sz="4" w:space="0" w:color="B4C6E7" w:themeColor="accent5" w:themeTint="66"/>
            </w:tcBorders>
            <w:shd w:val="clear" w:color="auto" w:fill="FFFFFF" w:themeFill="background1"/>
            <w:vAlign w:val="center"/>
            <w:hideMark/>
          </w:tcPr>
          <w:p w14:paraId="6443EC78" w14:textId="77777777" w:rsidR="00094ACC" w:rsidRDefault="00094ACC" w:rsidP="0054382A">
            <w:pPr>
              <w:spacing w:line="276" w:lineRule="auto"/>
              <w:jc w:val="both"/>
              <w:rPr>
                <w:rFonts w:asciiTheme="majorHAnsi" w:hAnsiTheme="majorHAnsi" w:cstheme="majorHAnsi"/>
                <w:b/>
                <w:sz w:val="18"/>
                <w:szCs w:val="18"/>
              </w:rPr>
            </w:pPr>
            <w:r>
              <w:rPr>
                <w:rFonts w:asciiTheme="majorHAnsi" w:hAnsiTheme="majorHAnsi" w:cstheme="majorHAnsi"/>
                <w:b/>
                <w:sz w:val="18"/>
                <w:szCs w:val="18"/>
              </w:rPr>
              <w:t>Cel strategiczny 5.</w:t>
            </w:r>
          </w:p>
          <w:p w14:paraId="1CD3975B" w14:textId="77777777" w:rsidR="00094ACC" w:rsidRDefault="00094ACC" w:rsidP="0054382A">
            <w:pPr>
              <w:spacing w:line="276" w:lineRule="auto"/>
              <w:jc w:val="both"/>
              <w:rPr>
                <w:rFonts w:asciiTheme="majorHAnsi" w:hAnsiTheme="majorHAnsi" w:cstheme="majorHAnsi"/>
                <w:sz w:val="18"/>
                <w:szCs w:val="18"/>
              </w:rPr>
            </w:pPr>
            <w:r>
              <w:rPr>
                <w:rFonts w:asciiTheme="majorHAnsi" w:hAnsiTheme="majorHAnsi" w:cstheme="majorHAnsi"/>
                <w:sz w:val="18"/>
                <w:szCs w:val="18"/>
              </w:rPr>
              <w:t>Wzmacnianie potencjału społeczeństwa obywatelskiego poprzez rozwijanie potencjału kapitału ludzkiego i społecznego oraz rozwój instytucjonalny</w:t>
            </w:r>
          </w:p>
          <w:p w14:paraId="7C624DC7" w14:textId="77777777" w:rsidR="00094ACC" w:rsidRDefault="00094ACC" w:rsidP="0054382A">
            <w:pPr>
              <w:spacing w:line="276" w:lineRule="auto"/>
              <w:jc w:val="both"/>
              <w:rPr>
                <w:rFonts w:asciiTheme="majorHAnsi" w:hAnsiTheme="majorHAnsi" w:cstheme="majorHAnsi"/>
                <w:b/>
                <w:sz w:val="18"/>
                <w:szCs w:val="18"/>
              </w:rPr>
            </w:pPr>
            <w:r>
              <w:rPr>
                <w:rFonts w:asciiTheme="majorHAnsi" w:hAnsiTheme="majorHAnsi" w:cstheme="majorHAnsi"/>
                <w:b/>
                <w:sz w:val="18"/>
                <w:szCs w:val="18"/>
              </w:rPr>
              <w:t>Cel strategiczny 4.</w:t>
            </w:r>
          </w:p>
          <w:p w14:paraId="624ED5AF" w14:textId="77777777" w:rsidR="00094ACC" w:rsidRDefault="00094ACC" w:rsidP="0054382A">
            <w:pPr>
              <w:spacing w:line="276" w:lineRule="auto"/>
              <w:jc w:val="both"/>
              <w:rPr>
                <w:rFonts w:asciiTheme="majorHAnsi" w:hAnsiTheme="majorHAnsi" w:cstheme="majorHAnsi"/>
                <w:sz w:val="18"/>
                <w:szCs w:val="18"/>
              </w:rPr>
            </w:pPr>
            <w:r>
              <w:rPr>
                <w:rFonts w:asciiTheme="majorHAnsi" w:hAnsiTheme="majorHAnsi" w:cstheme="majorHAnsi"/>
                <w:sz w:val="18"/>
                <w:szCs w:val="18"/>
              </w:rPr>
              <w:t>Budowa zintegrowanego systemu wyspecjalizowanych usług publicznych w obszarach zabezpieczenia społecznego, opieki senioralnej, ochrony zdrowia</w:t>
            </w:r>
          </w:p>
        </w:tc>
      </w:tr>
      <w:tr w:rsidR="00094ACC" w14:paraId="367745DD" w14:textId="77777777" w:rsidTr="0054382A">
        <w:trPr>
          <w:trHeight w:val="1020"/>
        </w:trPr>
        <w:tc>
          <w:tcPr>
            <w:tcW w:w="1537" w:type="dxa"/>
            <w:tcBorders>
              <w:top w:val="single" w:sz="18" w:space="0" w:color="FFFFFF" w:themeColor="background1"/>
              <w:left w:val="single" w:sz="24" w:space="0" w:color="FFFFFF" w:themeColor="background1"/>
              <w:bottom w:val="single" w:sz="18" w:space="0" w:color="FFFFFF" w:themeColor="background1"/>
              <w:right w:val="single" w:sz="24" w:space="0" w:color="FFFFFF" w:themeColor="background1"/>
            </w:tcBorders>
            <w:shd w:val="clear" w:color="auto" w:fill="E6EECE"/>
            <w:vAlign w:val="center"/>
            <w:hideMark/>
          </w:tcPr>
          <w:p w14:paraId="161B3798" w14:textId="77777777" w:rsidR="00094ACC" w:rsidRDefault="00094ACC" w:rsidP="0054382A">
            <w:pPr>
              <w:spacing w:line="276" w:lineRule="auto"/>
              <w:rPr>
                <w:rFonts w:asciiTheme="majorHAnsi" w:hAnsiTheme="majorHAnsi" w:cstheme="majorHAnsi"/>
                <w:b/>
                <w:color w:val="538135" w:themeColor="accent6" w:themeShade="BF"/>
                <w:sz w:val="18"/>
                <w:szCs w:val="18"/>
              </w:rPr>
            </w:pPr>
            <w:r>
              <w:rPr>
                <w:rFonts w:asciiTheme="majorHAnsi" w:hAnsiTheme="majorHAnsi" w:cstheme="majorHAnsi"/>
                <w:b/>
                <w:color w:val="538135" w:themeColor="accent6" w:themeShade="BF"/>
                <w:sz w:val="18"/>
                <w:szCs w:val="18"/>
              </w:rPr>
              <w:t>Cel strategiczny II</w:t>
            </w:r>
          </w:p>
        </w:tc>
        <w:tc>
          <w:tcPr>
            <w:tcW w:w="3043" w:type="dxa"/>
            <w:tcBorders>
              <w:top w:val="dashed" w:sz="4" w:space="0" w:color="5AA2AE"/>
              <w:left w:val="single" w:sz="24" w:space="0" w:color="FFFFFF" w:themeColor="background1"/>
              <w:bottom w:val="dashed" w:sz="4" w:space="0" w:color="5AA2AE"/>
              <w:right w:val="nil"/>
            </w:tcBorders>
            <w:shd w:val="clear" w:color="auto" w:fill="FFFFFF" w:themeFill="background1"/>
            <w:hideMark/>
          </w:tcPr>
          <w:p w14:paraId="2D30728D" w14:textId="77777777" w:rsidR="00094ACC" w:rsidRDefault="00094ACC" w:rsidP="0054382A">
            <w:pPr>
              <w:spacing w:line="276" w:lineRule="auto"/>
              <w:jc w:val="both"/>
              <w:rPr>
                <w:rFonts w:asciiTheme="majorHAnsi" w:hAnsiTheme="majorHAnsi" w:cstheme="majorHAnsi"/>
                <w:sz w:val="18"/>
                <w:szCs w:val="18"/>
              </w:rPr>
            </w:pPr>
            <w:r>
              <w:rPr>
                <w:rFonts w:asciiTheme="majorHAnsi" w:hAnsiTheme="majorHAnsi" w:cstheme="majorHAnsi"/>
                <w:sz w:val="18"/>
                <w:szCs w:val="18"/>
              </w:rPr>
              <w:t>Cel strategiczny: Inteligentna produktywność</w:t>
            </w:r>
          </w:p>
          <w:p w14:paraId="36A744C5" w14:textId="77777777" w:rsidR="00094ACC" w:rsidRDefault="00094ACC" w:rsidP="0054382A">
            <w:pPr>
              <w:spacing w:line="276" w:lineRule="auto"/>
              <w:jc w:val="both"/>
              <w:rPr>
                <w:rFonts w:asciiTheme="majorHAnsi" w:hAnsiTheme="majorHAnsi" w:cstheme="majorHAnsi"/>
                <w:sz w:val="18"/>
                <w:szCs w:val="18"/>
              </w:rPr>
            </w:pPr>
            <w:r>
              <w:rPr>
                <w:rFonts w:asciiTheme="majorHAnsi" w:hAnsiTheme="majorHAnsi" w:cstheme="majorHAnsi"/>
                <w:sz w:val="18"/>
                <w:szCs w:val="18"/>
              </w:rPr>
              <w:t>Cele operacyjne:</w:t>
            </w:r>
          </w:p>
          <w:p w14:paraId="4A060039" w14:textId="77777777" w:rsidR="00094ACC" w:rsidRDefault="00094ACC" w:rsidP="0054382A">
            <w:pPr>
              <w:spacing w:line="276" w:lineRule="auto"/>
              <w:jc w:val="both"/>
              <w:rPr>
                <w:rFonts w:asciiTheme="majorHAnsi" w:hAnsiTheme="majorHAnsi" w:cstheme="majorHAnsi"/>
                <w:sz w:val="18"/>
                <w:szCs w:val="18"/>
              </w:rPr>
            </w:pPr>
            <w:r>
              <w:rPr>
                <w:rFonts w:asciiTheme="majorHAnsi" w:hAnsiTheme="majorHAnsi" w:cstheme="majorHAnsi"/>
                <w:sz w:val="18"/>
                <w:szCs w:val="18"/>
              </w:rPr>
              <w:t>Satysfakcjonująca praca</w:t>
            </w:r>
          </w:p>
          <w:p w14:paraId="63436F8F" w14:textId="77777777" w:rsidR="00094ACC" w:rsidRDefault="00094ACC" w:rsidP="0054382A">
            <w:pPr>
              <w:spacing w:line="276" w:lineRule="auto"/>
              <w:jc w:val="both"/>
              <w:rPr>
                <w:rFonts w:asciiTheme="majorHAnsi" w:hAnsiTheme="majorHAnsi" w:cstheme="majorHAnsi"/>
                <w:sz w:val="18"/>
                <w:szCs w:val="18"/>
              </w:rPr>
            </w:pPr>
            <w:r>
              <w:rPr>
                <w:rFonts w:asciiTheme="majorHAnsi" w:hAnsiTheme="majorHAnsi" w:cstheme="majorHAnsi"/>
                <w:sz w:val="18"/>
                <w:szCs w:val="18"/>
              </w:rPr>
              <w:t>Inteligentna specjalizacja</w:t>
            </w:r>
          </w:p>
          <w:p w14:paraId="2D1BAD86" w14:textId="77777777" w:rsidR="00094ACC" w:rsidRDefault="00094ACC" w:rsidP="0054382A">
            <w:pPr>
              <w:spacing w:line="276" w:lineRule="auto"/>
              <w:jc w:val="both"/>
              <w:rPr>
                <w:rFonts w:asciiTheme="majorHAnsi" w:hAnsiTheme="majorHAnsi" w:cstheme="majorHAnsi"/>
                <w:sz w:val="18"/>
                <w:szCs w:val="18"/>
              </w:rPr>
            </w:pPr>
            <w:r>
              <w:rPr>
                <w:rFonts w:asciiTheme="majorHAnsi" w:hAnsiTheme="majorHAnsi" w:cstheme="majorHAnsi"/>
                <w:sz w:val="18"/>
                <w:szCs w:val="18"/>
              </w:rPr>
              <w:t>Wysoka konkurencyjność</w:t>
            </w:r>
          </w:p>
        </w:tc>
        <w:tc>
          <w:tcPr>
            <w:tcW w:w="838" w:type="dxa"/>
            <w:tcBorders>
              <w:top w:val="single" w:sz="18" w:space="0" w:color="FFFFFF" w:themeColor="background1"/>
              <w:left w:val="nil"/>
              <w:bottom w:val="single" w:sz="18" w:space="0" w:color="FFFFFF" w:themeColor="background1"/>
              <w:right w:val="single" w:sz="24" w:space="0" w:color="FFFFFF" w:themeColor="background1"/>
            </w:tcBorders>
            <w:shd w:val="clear" w:color="auto" w:fill="E6EECE"/>
            <w:vAlign w:val="center"/>
            <w:hideMark/>
          </w:tcPr>
          <w:p w14:paraId="19DCA8BA" w14:textId="77777777" w:rsidR="00094ACC" w:rsidRDefault="00094ACC" w:rsidP="0054382A">
            <w:pPr>
              <w:spacing w:line="276" w:lineRule="auto"/>
              <w:jc w:val="center"/>
              <w:rPr>
                <w:rFonts w:asciiTheme="majorHAnsi" w:hAnsiTheme="majorHAnsi" w:cstheme="majorHAnsi"/>
                <w:b/>
                <w:color w:val="538135" w:themeColor="accent6" w:themeShade="BF"/>
                <w:sz w:val="18"/>
                <w:szCs w:val="18"/>
              </w:rPr>
            </w:pPr>
            <w:r>
              <w:rPr>
                <w:rFonts w:asciiTheme="majorHAnsi" w:hAnsiTheme="majorHAnsi" w:cstheme="majorHAnsi"/>
                <w:b/>
                <w:color w:val="538135" w:themeColor="accent6" w:themeShade="BF"/>
                <w:sz w:val="18"/>
                <w:szCs w:val="18"/>
              </w:rPr>
              <w:t>Cel 3</w:t>
            </w:r>
          </w:p>
        </w:tc>
        <w:tc>
          <w:tcPr>
            <w:tcW w:w="3608" w:type="dxa"/>
            <w:tcBorders>
              <w:top w:val="dashed" w:sz="4" w:space="0" w:color="5AA2AE"/>
              <w:left w:val="single" w:sz="24" w:space="0" w:color="FFFFFF" w:themeColor="background1"/>
              <w:bottom w:val="dashed" w:sz="4" w:space="0" w:color="5AA2AE"/>
              <w:right w:val="single" w:sz="4" w:space="0" w:color="B4C6E7" w:themeColor="accent5" w:themeTint="66"/>
            </w:tcBorders>
            <w:shd w:val="clear" w:color="auto" w:fill="FFFFFF" w:themeFill="background1"/>
            <w:vAlign w:val="center"/>
            <w:hideMark/>
          </w:tcPr>
          <w:p w14:paraId="4141A024" w14:textId="77777777" w:rsidR="00094ACC" w:rsidRDefault="00094ACC" w:rsidP="0054382A">
            <w:pPr>
              <w:spacing w:line="276" w:lineRule="auto"/>
              <w:jc w:val="both"/>
              <w:rPr>
                <w:rFonts w:asciiTheme="majorHAnsi" w:hAnsiTheme="majorHAnsi" w:cstheme="majorHAnsi"/>
                <w:b/>
                <w:sz w:val="18"/>
                <w:szCs w:val="18"/>
              </w:rPr>
            </w:pPr>
            <w:r>
              <w:rPr>
                <w:rFonts w:asciiTheme="majorHAnsi" w:hAnsiTheme="majorHAnsi" w:cstheme="majorHAnsi"/>
                <w:b/>
                <w:sz w:val="18"/>
                <w:szCs w:val="18"/>
              </w:rPr>
              <w:t>Cel strategiczny 3.</w:t>
            </w:r>
          </w:p>
          <w:p w14:paraId="0DA9643E" w14:textId="77777777" w:rsidR="00094ACC" w:rsidRDefault="00094ACC" w:rsidP="0054382A">
            <w:pPr>
              <w:spacing w:line="276" w:lineRule="auto"/>
              <w:jc w:val="both"/>
              <w:rPr>
                <w:rFonts w:asciiTheme="majorHAnsi" w:hAnsiTheme="majorHAnsi" w:cstheme="majorHAnsi"/>
                <w:sz w:val="18"/>
                <w:szCs w:val="18"/>
              </w:rPr>
            </w:pPr>
            <w:r>
              <w:rPr>
                <w:rFonts w:asciiTheme="majorHAnsi" w:hAnsiTheme="majorHAnsi" w:cstheme="majorHAnsi"/>
                <w:sz w:val="18"/>
                <w:szCs w:val="18"/>
              </w:rPr>
              <w:t>Dywersyfikacja struktury gospodarczej Obszaru Funkcjonalnego przy wykorzystaniu unikatowego potencjału zasobów lokalnych - dziedzictwa przyrody i kultury</w:t>
            </w:r>
          </w:p>
        </w:tc>
      </w:tr>
      <w:tr w:rsidR="00094ACC" w14:paraId="57EB99D7" w14:textId="77777777" w:rsidTr="0054382A">
        <w:trPr>
          <w:cnfStyle w:val="000000100000" w:firstRow="0" w:lastRow="0" w:firstColumn="0" w:lastColumn="0" w:oddVBand="0" w:evenVBand="0" w:oddHBand="1" w:evenHBand="0" w:firstRowFirstColumn="0" w:firstRowLastColumn="0" w:lastRowFirstColumn="0" w:lastRowLastColumn="0"/>
          <w:trHeight w:val="1134"/>
        </w:trPr>
        <w:tc>
          <w:tcPr>
            <w:tcW w:w="1537" w:type="dxa"/>
            <w:tcBorders>
              <w:top w:val="single" w:sz="18" w:space="0" w:color="FFFFFF" w:themeColor="background1"/>
              <w:left w:val="single" w:sz="24" w:space="0" w:color="FFFFFF" w:themeColor="background1"/>
              <w:bottom w:val="single" w:sz="18" w:space="0" w:color="FFFFFF" w:themeColor="background1"/>
              <w:right w:val="single" w:sz="24" w:space="0" w:color="FFFFFF" w:themeColor="background1"/>
            </w:tcBorders>
            <w:shd w:val="clear" w:color="auto" w:fill="E6EECE"/>
            <w:vAlign w:val="center"/>
            <w:hideMark/>
          </w:tcPr>
          <w:p w14:paraId="18BFF0A0" w14:textId="77777777" w:rsidR="00094ACC" w:rsidRDefault="00094ACC" w:rsidP="0054382A">
            <w:pPr>
              <w:spacing w:line="276" w:lineRule="auto"/>
              <w:rPr>
                <w:rFonts w:asciiTheme="majorHAnsi" w:hAnsiTheme="majorHAnsi" w:cstheme="majorHAnsi"/>
                <w:b/>
                <w:color w:val="538135" w:themeColor="accent6" w:themeShade="BF"/>
                <w:sz w:val="18"/>
                <w:szCs w:val="18"/>
              </w:rPr>
            </w:pPr>
            <w:r>
              <w:rPr>
                <w:rFonts w:asciiTheme="majorHAnsi" w:hAnsiTheme="majorHAnsi" w:cstheme="majorHAnsi"/>
                <w:b/>
                <w:color w:val="538135" w:themeColor="accent6" w:themeShade="BF"/>
                <w:sz w:val="18"/>
                <w:szCs w:val="18"/>
              </w:rPr>
              <w:t>Cel strategiczny III</w:t>
            </w:r>
          </w:p>
        </w:tc>
        <w:tc>
          <w:tcPr>
            <w:tcW w:w="3043" w:type="dxa"/>
            <w:tcBorders>
              <w:top w:val="dashed" w:sz="4" w:space="0" w:color="5AA2AE"/>
              <w:left w:val="single" w:sz="24" w:space="0" w:color="FFFFFF" w:themeColor="background1"/>
              <w:bottom w:val="dashed" w:sz="4" w:space="0" w:color="5AA2AE"/>
              <w:right w:val="nil"/>
            </w:tcBorders>
            <w:shd w:val="clear" w:color="auto" w:fill="FFFFFF" w:themeFill="background1"/>
            <w:hideMark/>
          </w:tcPr>
          <w:p w14:paraId="167EEC97" w14:textId="77777777" w:rsidR="00094ACC" w:rsidRDefault="00094ACC" w:rsidP="0054382A">
            <w:pPr>
              <w:spacing w:line="276" w:lineRule="auto"/>
              <w:jc w:val="both"/>
              <w:rPr>
                <w:rFonts w:asciiTheme="majorHAnsi" w:hAnsiTheme="majorHAnsi" w:cstheme="majorHAnsi"/>
                <w:sz w:val="18"/>
                <w:szCs w:val="18"/>
              </w:rPr>
            </w:pPr>
            <w:r>
              <w:rPr>
                <w:rFonts w:asciiTheme="majorHAnsi" w:hAnsiTheme="majorHAnsi" w:cstheme="majorHAnsi"/>
                <w:sz w:val="18"/>
                <w:szCs w:val="18"/>
              </w:rPr>
              <w:t>Cel strategiczny: Kreatywna aktywność</w:t>
            </w:r>
          </w:p>
          <w:p w14:paraId="1E4714C1" w14:textId="77777777" w:rsidR="00094ACC" w:rsidRDefault="00094ACC" w:rsidP="0054382A">
            <w:pPr>
              <w:spacing w:line="276" w:lineRule="auto"/>
              <w:jc w:val="both"/>
              <w:rPr>
                <w:rFonts w:asciiTheme="majorHAnsi" w:hAnsiTheme="majorHAnsi" w:cstheme="majorHAnsi"/>
                <w:sz w:val="18"/>
                <w:szCs w:val="18"/>
              </w:rPr>
            </w:pPr>
            <w:r>
              <w:rPr>
                <w:rFonts w:asciiTheme="majorHAnsi" w:hAnsiTheme="majorHAnsi" w:cstheme="majorHAnsi"/>
                <w:sz w:val="18"/>
                <w:szCs w:val="18"/>
              </w:rPr>
              <w:t>Cele operacyjne:</w:t>
            </w:r>
          </w:p>
          <w:p w14:paraId="27F3F6EC" w14:textId="77777777" w:rsidR="00094ACC" w:rsidRDefault="00094ACC" w:rsidP="0054382A">
            <w:pPr>
              <w:spacing w:line="276" w:lineRule="auto"/>
              <w:jc w:val="both"/>
              <w:rPr>
                <w:rFonts w:asciiTheme="majorHAnsi" w:hAnsiTheme="majorHAnsi" w:cstheme="majorHAnsi"/>
                <w:sz w:val="18"/>
                <w:szCs w:val="18"/>
              </w:rPr>
            </w:pPr>
            <w:r>
              <w:rPr>
                <w:rFonts w:asciiTheme="majorHAnsi" w:hAnsiTheme="majorHAnsi" w:cstheme="majorHAnsi"/>
                <w:sz w:val="18"/>
                <w:szCs w:val="18"/>
              </w:rPr>
              <w:t>Inspirująca twórczość</w:t>
            </w:r>
          </w:p>
          <w:p w14:paraId="55548829" w14:textId="77777777" w:rsidR="00094ACC" w:rsidRDefault="00094ACC" w:rsidP="0054382A">
            <w:pPr>
              <w:spacing w:line="276" w:lineRule="auto"/>
              <w:jc w:val="both"/>
              <w:rPr>
                <w:rFonts w:asciiTheme="majorHAnsi" w:hAnsiTheme="majorHAnsi" w:cstheme="majorHAnsi"/>
                <w:sz w:val="18"/>
                <w:szCs w:val="18"/>
              </w:rPr>
            </w:pPr>
            <w:r>
              <w:rPr>
                <w:rFonts w:asciiTheme="majorHAnsi" w:hAnsiTheme="majorHAnsi" w:cstheme="majorHAnsi"/>
                <w:sz w:val="18"/>
                <w:szCs w:val="18"/>
              </w:rPr>
              <w:t>Efektywna współpraca</w:t>
            </w:r>
          </w:p>
          <w:p w14:paraId="26F8713A" w14:textId="77777777" w:rsidR="00094ACC" w:rsidRDefault="00094ACC" w:rsidP="0054382A">
            <w:pPr>
              <w:spacing w:line="276" w:lineRule="auto"/>
              <w:jc w:val="both"/>
              <w:rPr>
                <w:rFonts w:asciiTheme="majorHAnsi" w:hAnsiTheme="majorHAnsi" w:cstheme="majorHAnsi"/>
                <w:sz w:val="18"/>
                <w:szCs w:val="18"/>
              </w:rPr>
            </w:pPr>
            <w:r>
              <w:rPr>
                <w:rFonts w:asciiTheme="majorHAnsi" w:hAnsiTheme="majorHAnsi" w:cstheme="majorHAnsi"/>
                <w:sz w:val="18"/>
                <w:szCs w:val="18"/>
              </w:rPr>
              <w:t>Ukształtowana tożsamość</w:t>
            </w:r>
          </w:p>
        </w:tc>
        <w:tc>
          <w:tcPr>
            <w:tcW w:w="838" w:type="dxa"/>
            <w:tcBorders>
              <w:top w:val="single" w:sz="18" w:space="0" w:color="FFFFFF" w:themeColor="background1"/>
              <w:left w:val="nil"/>
              <w:bottom w:val="single" w:sz="18" w:space="0" w:color="FFFFFF" w:themeColor="background1"/>
              <w:right w:val="single" w:sz="24" w:space="0" w:color="FFFFFF" w:themeColor="background1"/>
            </w:tcBorders>
            <w:shd w:val="clear" w:color="auto" w:fill="E6EECE"/>
            <w:vAlign w:val="center"/>
            <w:hideMark/>
          </w:tcPr>
          <w:p w14:paraId="241C79DD" w14:textId="77777777" w:rsidR="00094ACC" w:rsidRDefault="00094ACC" w:rsidP="0054382A">
            <w:pPr>
              <w:spacing w:line="276" w:lineRule="auto"/>
              <w:jc w:val="center"/>
              <w:rPr>
                <w:rFonts w:asciiTheme="majorHAnsi" w:hAnsiTheme="majorHAnsi" w:cstheme="majorHAnsi"/>
                <w:b/>
                <w:color w:val="538135" w:themeColor="accent6" w:themeShade="BF"/>
                <w:sz w:val="18"/>
                <w:szCs w:val="18"/>
              </w:rPr>
            </w:pPr>
            <w:r>
              <w:rPr>
                <w:rFonts w:asciiTheme="majorHAnsi" w:hAnsiTheme="majorHAnsi" w:cstheme="majorHAnsi"/>
                <w:b/>
                <w:color w:val="538135" w:themeColor="accent6" w:themeShade="BF"/>
                <w:sz w:val="18"/>
                <w:szCs w:val="18"/>
              </w:rPr>
              <w:t>Cel 5</w:t>
            </w:r>
          </w:p>
        </w:tc>
        <w:tc>
          <w:tcPr>
            <w:tcW w:w="3608" w:type="dxa"/>
            <w:tcBorders>
              <w:top w:val="dashed" w:sz="4" w:space="0" w:color="5AA2AE"/>
              <w:left w:val="single" w:sz="24" w:space="0" w:color="FFFFFF" w:themeColor="background1"/>
              <w:bottom w:val="dashed" w:sz="4" w:space="0" w:color="5AA2AE"/>
              <w:right w:val="single" w:sz="4" w:space="0" w:color="B4C6E7" w:themeColor="accent5" w:themeTint="66"/>
            </w:tcBorders>
            <w:shd w:val="clear" w:color="auto" w:fill="FFFFFF" w:themeFill="background1"/>
            <w:vAlign w:val="center"/>
            <w:hideMark/>
          </w:tcPr>
          <w:p w14:paraId="737BEB2C" w14:textId="77777777" w:rsidR="00094ACC" w:rsidRDefault="00094ACC" w:rsidP="0054382A">
            <w:pPr>
              <w:spacing w:line="276" w:lineRule="auto"/>
              <w:jc w:val="both"/>
              <w:rPr>
                <w:rFonts w:asciiTheme="majorHAnsi" w:hAnsiTheme="majorHAnsi" w:cstheme="majorHAnsi"/>
                <w:b/>
                <w:sz w:val="18"/>
                <w:szCs w:val="18"/>
              </w:rPr>
            </w:pPr>
            <w:r>
              <w:rPr>
                <w:rFonts w:asciiTheme="majorHAnsi" w:hAnsiTheme="majorHAnsi" w:cstheme="majorHAnsi"/>
                <w:sz w:val="18"/>
                <w:szCs w:val="18"/>
              </w:rPr>
              <w:t xml:space="preserve"> </w:t>
            </w:r>
            <w:r>
              <w:rPr>
                <w:rFonts w:asciiTheme="majorHAnsi" w:hAnsiTheme="majorHAnsi" w:cstheme="majorHAnsi"/>
                <w:b/>
                <w:sz w:val="18"/>
                <w:szCs w:val="18"/>
              </w:rPr>
              <w:t>Cel strategiczny 5.</w:t>
            </w:r>
          </w:p>
          <w:p w14:paraId="73F9F9A8" w14:textId="77777777" w:rsidR="00094ACC" w:rsidRDefault="00094ACC" w:rsidP="0054382A">
            <w:pPr>
              <w:spacing w:line="276" w:lineRule="auto"/>
              <w:jc w:val="both"/>
              <w:rPr>
                <w:rFonts w:asciiTheme="majorHAnsi" w:hAnsiTheme="majorHAnsi" w:cstheme="majorHAnsi"/>
                <w:sz w:val="18"/>
                <w:szCs w:val="18"/>
              </w:rPr>
            </w:pPr>
            <w:r>
              <w:rPr>
                <w:rFonts w:asciiTheme="majorHAnsi" w:hAnsiTheme="majorHAnsi" w:cstheme="majorHAnsi"/>
                <w:sz w:val="18"/>
                <w:szCs w:val="18"/>
              </w:rPr>
              <w:t>Wzmacnianie potencjału społeczeństwa obywatelskiego poprzez rozwijanie potencjału kapitału ludzkiego i społecznego oraz rozwój instytucjonalny</w:t>
            </w:r>
          </w:p>
        </w:tc>
      </w:tr>
      <w:tr w:rsidR="00094ACC" w14:paraId="335314A0" w14:textId="77777777" w:rsidTr="0054382A">
        <w:trPr>
          <w:trHeight w:val="554"/>
        </w:trPr>
        <w:tc>
          <w:tcPr>
            <w:tcW w:w="1537" w:type="dxa"/>
            <w:tcBorders>
              <w:top w:val="single" w:sz="18"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E6EECE"/>
            <w:vAlign w:val="center"/>
            <w:hideMark/>
          </w:tcPr>
          <w:p w14:paraId="0479B808" w14:textId="77777777" w:rsidR="00094ACC" w:rsidRDefault="00094ACC" w:rsidP="0054382A">
            <w:pPr>
              <w:spacing w:line="276" w:lineRule="auto"/>
              <w:rPr>
                <w:rFonts w:asciiTheme="majorHAnsi" w:hAnsiTheme="majorHAnsi" w:cstheme="majorHAnsi"/>
                <w:b/>
                <w:color w:val="538135" w:themeColor="accent6" w:themeShade="BF"/>
                <w:sz w:val="18"/>
                <w:szCs w:val="18"/>
              </w:rPr>
            </w:pPr>
            <w:proofErr w:type="spellStart"/>
            <w:r>
              <w:rPr>
                <w:rFonts w:asciiTheme="majorHAnsi" w:hAnsiTheme="majorHAnsi" w:cstheme="majorHAnsi"/>
                <w:b/>
                <w:color w:val="538135" w:themeColor="accent6" w:themeShade="BF"/>
                <w:sz w:val="18"/>
                <w:szCs w:val="18"/>
                <w:lang w:val="en-US"/>
              </w:rPr>
              <w:t>Cel</w:t>
            </w:r>
            <w:proofErr w:type="spellEnd"/>
            <w:r>
              <w:rPr>
                <w:rFonts w:asciiTheme="majorHAnsi" w:hAnsiTheme="majorHAnsi" w:cstheme="majorHAnsi"/>
                <w:b/>
                <w:color w:val="538135" w:themeColor="accent6" w:themeShade="BF"/>
                <w:sz w:val="18"/>
                <w:szCs w:val="18"/>
                <w:lang w:val="en-US"/>
              </w:rPr>
              <w:t xml:space="preserve"> </w:t>
            </w:r>
            <w:proofErr w:type="spellStart"/>
            <w:r>
              <w:rPr>
                <w:rFonts w:asciiTheme="majorHAnsi" w:hAnsiTheme="majorHAnsi" w:cstheme="majorHAnsi"/>
                <w:b/>
                <w:color w:val="538135" w:themeColor="accent6" w:themeShade="BF"/>
                <w:sz w:val="18"/>
                <w:szCs w:val="18"/>
                <w:lang w:val="en-US"/>
              </w:rPr>
              <w:t>strategiczny</w:t>
            </w:r>
            <w:proofErr w:type="spellEnd"/>
            <w:r>
              <w:rPr>
                <w:rFonts w:asciiTheme="majorHAnsi" w:hAnsiTheme="majorHAnsi" w:cstheme="majorHAnsi"/>
                <w:b/>
                <w:color w:val="538135" w:themeColor="accent6" w:themeShade="BF"/>
                <w:sz w:val="18"/>
                <w:szCs w:val="18"/>
                <w:lang w:val="en-US"/>
              </w:rPr>
              <w:t xml:space="preserve"> IV</w:t>
            </w:r>
          </w:p>
        </w:tc>
        <w:tc>
          <w:tcPr>
            <w:tcW w:w="3043" w:type="dxa"/>
            <w:tcBorders>
              <w:top w:val="dashed" w:sz="4" w:space="0" w:color="5AA2AE"/>
              <w:left w:val="single" w:sz="24" w:space="0" w:color="FFFFFF" w:themeColor="background1"/>
              <w:bottom w:val="dashed" w:sz="4" w:space="0" w:color="5AA2AE"/>
              <w:right w:val="nil"/>
            </w:tcBorders>
            <w:shd w:val="clear" w:color="auto" w:fill="FFFFFF" w:themeFill="background1"/>
            <w:vAlign w:val="center"/>
            <w:hideMark/>
          </w:tcPr>
          <w:p w14:paraId="4C95C619" w14:textId="77777777" w:rsidR="00094ACC" w:rsidRDefault="00094ACC" w:rsidP="0054382A">
            <w:pPr>
              <w:spacing w:line="276" w:lineRule="auto"/>
              <w:jc w:val="both"/>
              <w:rPr>
                <w:rFonts w:asciiTheme="majorHAnsi" w:hAnsiTheme="majorHAnsi" w:cstheme="majorHAnsi"/>
                <w:sz w:val="18"/>
                <w:szCs w:val="18"/>
              </w:rPr>
            </w:pPr>
            <w:r>
              <w:rPr>
                <w:rFonts w:asciiTheme="majorHAnsi" w:hAnsiTheme="majorHAnsi" w:cstheme="majorHAnsi"/>
                <w:sz w:val="18"/>
                <w:szCs w:val="18"/>
              </w:rPr>
              <w:t>Cel strategiczny: Mocne fundamenty</w:t>
            </w:r>
          </w:p>
          <w:p w14:paraId="28DD99F4" w14:textId="77777777" w:rsidR="00094ACC" w:rsidRDefault="00094ACC" w:rsidP="0054382A">
            <w:pPr>
              <w:spacing w:line="276" w:lineRule="auto"/>
              <w:jc w:val="both"/>
              <w:rPr>
                <w:rFonts w:asciiTheme="majorHAnsi" w:hAnsiTheme="majorHAnsi" w:cstheme="majorHAnsi"/>
                <w:sz w:val="18"/>
                <w:szCs w:val="18"/>
              </w:rPr>
            </w:pPr>
            <w:r>
              <w:rPr>
                <w:rFonts w:asciiTheme="majorHAnsi" w:hAnsiTheme="majorHAnsi" w:cstheme="majorHAnsi"/>
                <w:sz w:val="18"/>
                <w:szCs w:val="18"/>
              </w:rPr>
              <w:t>Cele operacyjne:</w:t>
            </w:r>
          </w:p>
          <w:p w14:paraId="5867FC8E" w14:textId="77777777" w:rsidR="00094ACC" w:rsidRDefault="00094ACC" w:rsidP="0054382A">
            <w:pPr>
              <w:spacing w:line="276" w:lineRule="auto"/>
              <w:jc w:val="both"/>
              <w:rPr>
                <w:rFonts w:asciiTheme="majorHAnsi" w:hAnsiTheme="majorHAnsi" w:cstheme="majorHAnsi"/>
                <w:sz w:val="18"/>
                <w:szCs w:val="18"/>
              </w:rPr>
            </w:pPr>
            <w:r>
              <w:rPr>
                <w:rFonts w:asciiTheme="majorHAnsi" w:hAnsiTheme="majorHAnsi" w:cstheme="majorHAnsi"/>
                <w:sz w:val="18"/>
                <w:szCs w:val="18"/>
              </w:rPr>
              <w:t>Silny kapitał społeczny</w:t>
            </w:r>
          </w:p>
          <w:p w14:paraId="2850C867" w14:textId="77777777" w:rsidR="00094ACC" w:rsidRDefault="00094ACC" w:rsidP="0054382A">
            <w:pPr>
              <w:spacing w:line="276" w:lineRule="auto"/>
              <w:jc w:val="both"/>
              <w:rPr>
                <w:rFonts w:asciiTheme="majorHAnsi" w:hAnsiTheme="majorHAnsi" w:cstheme="majorHAnsi"/>
                <w:sz w:val="18"/>
                <w:szCs w:val="18"/>
              </w:rPr>
            </w:pPr>
            <w:r>
              <w:rPr>
                <w:rFonts w:asciiTheme="majorHAnsi" w:hAnsiTheme="majorHAnsi" w:cstheme="majorHAnsi"/>
                <w:sz w:val="18"/>
                <w:szCs w:val="18"/>
              </w:rPr>
              <w:t>Optymalna infrastruktura rozwoju</w:t>
            </w:r>
          </w:p>
          <w:p w14:paraId="3E24D1B6" w14:textId="77777777" w:rsidR="00094ACC" w:rsidRDefault="00094ACC" w:rsidP="0054382A">
            <w:pPr>
              <w:spacing w:line="276" w:lineRule="auto"/>
              <w:jc w:val="both"/>
              <w:rPr>
                <w:rFonts w:asciiTheme="majorHAnsi" w:hAnsiTheme="majorHAnsi" w:cstheme="majorHAnsi"/>
                <w:bCs/>
                <w:sz w:val="18"/>
                <w:szCs w:val="18"/>
              </w:rPr>
            </w:pPr>
            <w:r>
              <w:rPr>
                <w:rFonts w:asciiTheme="majorHAnsi" w:hAnsiTheme="majorHAnsi" w:cstheme="majorHAnsi"/>
                <w:bCs/>
                <w:sz w:val="18"/>
                <w:szCs w:val="18"/>
              </w:rPr>
              <w:t>Wyjątkowe środowisko przyrodnicze</w:t>
            </w:r>
          </w:p>
        </w:tc>
        <w:tc>
          <w:tcPr>
            <w:tcW w:w="838" w:type="dxa"/>
            <w:tcBorders>
              <w:top w:val="single" w:sz="18" w:space="0" w:color="FFFFFF" w:themeColor="background1"/>
              <w:left w:val="nil"/>
              <w:bottom w:val="single" w:sz="24" w:space="0" w:color="FFFFFF" w:themeColor="background1"/>
              <w:right w:val="single" w:sz="24" w:space="0" w:color="FFFFFF" w:themeColor="background1"/>
            </w:tcBorders>
            <w:shd w:val="clear" w:color="auto" w:fill="E6EECE"/>
            <w:vAlign w:val="center"/>
            <w:hideMark/>
          </w:tcPr>
          <w:p w14:paraId="258E1919" w14:textId="77777777" w:rsidR="00094ACC" w:rsidRDefault="00094ACC" w:rsidP="0054382A">
            <w:pPr>
              <w:spacing w:line="276" w:lineRule="auto"/>
              <w:jc w:val="center"/>
              <w:rPr>
                <w:rFonts w:asciiTheme="majorHAnsi" w:hAnsiTheme="majorHAnsi" w:cstheme="majorHAnsi"/>
                <w:b/>
                <w:color w:val="538135" w:themeColor="accent6" w:themeShade="BF"/>
                <w:sz w:val="18"/>
                <w:szCs w:val="18"/>
              </w:rPr>
            </w:pPr>
            <w:r>
              <w:rPr>
                <w:rFonts w:asciiTheme="majorHAnsi" w:hAnsiTheme="majorHAnsi" w:cstheme="majorHAnsi"/>
                <w:b/>
                <w:color w:val="538135" w:themeColor="accent6" w:themeShade="BF"/>
                <w:sz w:val="18"/>
                <w:szCs w:val="18"/>
              </w:rPr>
              <w:t>Cel 1</w:t>
            </w:r>
          </w:p>
          <w:p w14:paraId="57658FB9" w14:textId="77777777" w:rsidR="00094ACC" w:rsidRDefault="00094ACC" w:rsidP="0054382A">
            <w:pPr>
              <w:spacing w:line="276" w:lineRule="auto"/>
              <w:jc w:val="center"/>
              <w:rPr>
                <w:rFonts w:asciiTheme="majorHAnsi" w:hAnsiTheme="majorHAnsi" w:cstheme="majorHAnsi"/>
                <w:b/>
                <w:color w:val="538135" w:themeColor="accent6" w:themeShade="BF"/>
                <w:sz w:val="18"/>
                <w:szCs w:val="18"/>
              </w:rPr>
            </w:pPr>
            <w:r>
              <w:rPr>
                <w:rFonts w:asciiTheme="majorHAnsi" w:hAnsiTheme="majorHAnsi" w:cstheme="majorHAnsi"/>
                <w:b/>
                <w:color w:val="538135" w:themeColor="accent6" w:themeShade="BF"/>
                <w:sz w:val="18"/>
                <w:szCs w:val="18"/>
              </w:rPr>
              <w:t>Cel 2</w:t>
            </w:r>
          </w:p>
          <w:p w14:paraId="6E479C86" w14:textId="77777777" w:rsidR="00094ACC" w:rsidRDefault="00094ACC" w:rsidP="0054382A">
            <w:pPr>
              <w:spacing w:line="276" w:lineRule="auto"/>
              <w:jc w:val="center"/>
              <w:rPr>
                <w:rFonts w:asciiTheme="majorHAnsi" w:hAnsiTheme="majorHAnsi" w:cstheme="majorHAnsi"/>
                <w:b/>
                <w:color w:val="538135" w:themeColor="accent6" w:themeShade="BF"/>
                <w:sz w:val="18"/>
                <w:szCs w:val="18"/>
              </w:rPr>
            </w:pPr>
            <w:r>
              <w:rPr>
                <w:rFonts w:asciiTheme="majorHAnsi" w:hAnsiTheme="majorHAnsi" w:cstheme="majorHAnsi"/>
                <w:b/>
                <w:color w:val="538135" w:themeColor="accent6" w:themeShade="BF"/>
                <w:sz w:val="18"/>
                <w:szCs w:val="18"/>
              </w:rPr>
              <w:t>Cel 5</w:t>
            </w:r>
          </w:p>
        </w:tc>
        <w:tc>
          <w:tcPr>
            <w:tcW w:w="3608" w:type="dxa"/>
            <w:tcBorders>
              <w:top w:val="dashed" w:sz="4" w:space="0" w:color="5AA2AE"/>
              <w:left w:val="single" w:sz="24" w:space="0" w:color="FFFFFF" w:themeColor="background1"/>
              <w:bottom w:val="dashed" w:sz="4" w:space="0" w:color="5AA2AE"/>
              <w:right w:val="single" w:sz="4" w:space="0" w:color="B4C6E7" w:themeColor="accent5" w:themeTint="66"/>
            </w:tcBorders>
            <w:shd w:val="clear" w:color="auto" w:fill="FFFFFF" w:themeFill="background1"/>
            <w:vAlign w:val="center"/>
          </w:tcPr>
          <w:p w14:paraId="4C4CA53C" w14:textId="77777777" w:rsidR="00094ACC" w:rsidRDefault="00094ACC" w:rsidP="0054382A">
            <w:pPr>
              <w:spacing w:line="276" w:lineRule="auto"/>
              <w:jc w:val="both"/>
              <w:rPr>
                <w:rFonts w:asciiTheme="majorHAnsi" w:hAnsiTheme="majorHAnsi" w:cstheme="majorHAnsi"/>
                <w:b/>
                <w:sz w:val="18"/>
                <w:szCs w:val="18"/>
              </w:rPr>
            </w:pPr>
            <w:r>
              <w:rPr>
                <w:rFonts w:asciiTheme="majorHAnsi" w:hAnsiTheme="majorHAnsi" w:cstheme="majorHAnsi"/>
                <w:b/>
                <w:sz w:val="18"/>
                <w:szCs w:val="18"/>
              </w:rPr>
              <w:t>Cel strategiczny 1.</w:t>
            </w:r>
          </w:p>
          <w:p w14:paraId="336BBFA5" w14:textId="77777777" w:rsidR="00094ACC" w:rsidRDefault="00094ACC" w:rsidP="0054382A">
            <w:pPr>
              <w:spacing w:line="276" w:lineRule="auto"/>
              <w:jc w:val="both"/>
              <w:rPr>
                <w:rFonts w:asciiTheme="majorHAnsi" w:hAnsiTheme="majorHAnsi" w:cstheme="majorHAnsi"/>
                <w:sz w:val="18"/>
                <w:szCs w:val="18"/>
              </w:rPr>
            </w:pPr>
            <w:r>
              <w:rPr>
                <w:rFonts w:asciiTheme="majorHAnsi" w:hAnsiTheme="majorHAnsi" w:cstheme="majorHAnsi"/>
                <w:sz w:val="18"/>
                <w:szCs w:val="18"/>
              </w:rPr>
              <w:t>Tworzenie warunków dla dynamicznego wzrostu gospodarczego w oparciu o wydajny układ komunikacyjny i tworzenie atrakcyjnych terenów inwestycyjnych</w:t>
            </w:r>
          </w:p>
          <w:p w14:paraId="47A3F668" w14:textId="77777777" w:rsidR="00094ACC" w:rsidRDefault="00094ACC" w:rsidP="0054382A">
            <w:pPr>
              <w:spacing w:line="276" w:lineRule="auto"/>
              <w:jc w:val="both"/>
              <w:rPr>
                <w:rFonts w:asciiTheme="majorHAnsi" w:hAnsiTheme="majorHAnsi" w:cstheme="majorHAnsi"/>
                <w:b/>
                <w:sz w:val="18"/>
                <w:szCs w:val="18"/>
              </w:rPr>
            </w:pPr>
            <w:r>
              <w:rPr>
                <w:rFonts w:asciiTheme="majorHAnsi" w:hAnsiTheme="majorHAnsi" w:cstheme="majorHAnsi"/>
                <w:b/>
                <w:sz w:val="18"/>
                <w:szCs w:val="18"/>
              </w:rPr>
              <w:t>Cel strategiczny 2.</w:t>
            </w:r>
          </w:p>
          <w:p w14:paraId="7830C8F9" w14:textId="35B6DB51" w:rsidR="00094ACC" w:rsidRDefault="00094ACC" w:rsidP="0054382A">
            <w:pPr>
              <w:spacing w:line="276" w:lineRule="auto"/>
              <w:jc w:val="both"/>
              <w:rPr>
                <w:rFonts w:asciiTheme="majorHAnsi" w:hAnsiTheme="majorHAnsi" w:cstheme="majorHAnsi"/>
                <w:sz w:val="18"/>
                <w:szCs w:val="18"/>
              </w:rPr>
            </w:pPr>
            <w:r>
              <w:rPr>
                <w:rFonts w:asciiTheme="majorHAnsi" w:hAnsiTheme="majorHAnsi" w:cstheme="majorHAnsi"/>
                <w:sz w:val="18"/>
                <w:szCs w:val="18"/>
              </w:rPr>
              <w:t xml:space="preserve">Zapewnienie wysokiej jakości życia mieszkańców poprzez efektywną gospodarkę energetyczną, ochronę </w:t>
            </w:r>
            <w:r w:rsidR="00BB7C86">
              <w:rPr>
                <w:rFonts w:asciiTheme="majorHAnsi" w:hAnsiTheme="majorHAnsi" w:cstheme="majorHAnsi"/>
                <w:color w:val="FF0000"/>
                <w:sz w:val="18"/>
                <w:szCs w:val="18"/>
              </w:rPr>
              <w:t>ziemi</w:t>
            </w:r>
            <w:r>
              <w:rPr>
                <w:rFonts w:asciiTheme="majorHAnsi" w:hAnsiTheme="majorHAnsi" w:cstheme="majorHAnsi"/>
                <w:sz w:val="18"/>
                <w:szCs w:val="18"/>
              </w:rPr>
              <w:t>, powietrza i środowiska naturalnego</w:t>
            </w:r>
          </w:p>
          <w:p w14:paraId="029AE675" w14:textId="77777777" w:rsidR="00094ACC" w:rsidRDefault="00094ACC" w:rsidP="0054382A">
            <w:pPr>
              <w:spacing w:line="276" w:lineRule="auto"/>
              <w:jc w:val="both"/>
              <w:rPr>
                <w:rFonts w:asciiTheme="majorHAnsi" w:hAnsiTheme="majorHAnsi" w:cstheme="majorHAnsi"/>
                <w:b/>
                <w:sz w:val="18"/>
                <w:szCs w:val="18"/>
              </w:rPr>
            </w:pPr>
            <w:r>
              <w:rPr>
                <w:rFonts w:asciiTheme="majorHAnsi" w:hAnsiTheme="majorHAnsi" w:cstheme="majorHAnsi"/>
                <w:b/>
                <w:sz w:val="18"/>
                <w:szCs w:val="18"/>
              </w:rPr>
              <w:t>Cel strategiczny 5.</w:t>
            </w:r>
          </w:p>
          <w:p w14:paraId="71570B22" w14:textId="3C52E6FB" w:rsidR="00094ACC" w:rsidRDefault="00094ACC" w:rsidP="0054382A">
            <w:pPr>
              <w:spacing w:line="276" w:lineRule="auto"/>
              <w:jc w:val="both"/>
              <w:rPr>
                <w:rFonts w:asciiTheme="majorHAnsi" w:hAnsiTheme="majorHAnsi" w:cstheme="majorHAnsi"/>
                <w:sz w:val="18"/>
                <w:szCs w:val="18"/>
              </w:rPr>
            </w:pPr>
            <w:r>
              <w:rPr>
                <w:rFonts w:asciiTheme="majorHAnsi" w:hAnsiTheme="majorHAnsi" w:cstheme="majorHAnsi"/>
                <w:sz w:val="18"/>
                <w:szCs w:val="18"/>
              </w:rPr>
              <w:t>Wzmacnianie potencjału społeczeństwa obywatelskiego poprzez rozwijanie potencjału kapitału ludzkiego i społeczn</w:t>
            </w:r>
            <w:r w:rsidR="00B74836">
              <w:rPr>
                <w:rFonts w:asciiTheme="majorHAnsi" w:hAnsiTheme="majorHAnsi" w:cstheme="majorHAnsi"/>
                <w:sz w:val="18"/>
                <w:szCs w:val="18"/>
              </w:rPr>
              <w:t>ego oraz rozwój instytucjonalny</w:t>
            </w:r>
          </w:p>
        </w:tc>
      </w:tr>
    </w:tbl>
    <w:p w14:paraId="154AFD71" w14:textId="77777777" w:rsidR="00094ACC" w:rsidRDefault="00094ACC" w:rsidP="00094ACC">
      <w:pPr>
        <w:spacing w:line="276" w:lineRule="auto"/>
        <w:rPr>
          <w:rFonts w:asciiTheme="majorHAnsi" w:hAnsiTheme="majorHAnsi" w:cstheme="majorHAnsi"/>
          <w:sz w:val="24"/>
        </w:rPr>
      </w:pPr>
    </w:p>
    <w:p w14:paraId="19ADA8F6" w14:textId="77777777" w:rsidR="003E1FC4" w:rsidRPr="00F25EBD" w:rsidRDefault="003E1FC4" w:rsidP="00FC7062">
      <w:pPr>
        <w:spacing w:line="276" w:lineRule="auto"/>
        <w:rPr>
          <w:rFonts w:asciiTheme="majorHAnsi" w:hAnsiTheme="majorHAnsi" w:cstheme="majorHAnsi"/>
        </w:rPr>
      </w:pPr>
      <w:r w:rsidRPr="00F25EBD">
        <w:rPr>
          <w:rFonts w:asciiTheme="majorHAnsi" w:hAnsiTheme="majorHAnsi" w:cstheme="majorHAnsi"/>
        </w:rPr>
        <w:br w:type="page"/>
      </w:r>
    </w:p>
    <w:p w14:paraId="0D34908D" w14:textId="6EABBCB5" w:rsidR="00EA2B5F" w:rsidRPr="00F25EBD" w:rsidRDefault="00374AD6" w:rsidP="00374AD6">
      <w:pPr>
        <w:pStyle w:val="Nagwek1"/>
        <w:spacing w:line="276" w:lineRule="auto"/>
        <w:jc w:val="both"/>
        <w:rPr>
          <w:rFonts w:cstheme="majorHAnsi"/>
        </w:rPr>
      </w:pPr>
      <w:bookmarkStart w:id="6" w:name="_Toc77070597"/>
      <w:r>
        <w:rPr>
          <w:rFonts w:cstheme="majorHAnsi"/>
        </w:rPr>
        <w:t xml:space="preserve">2. </w:t>
      </w:r>
      <w:r w:rsidR="00EA2B5F" w:rsidRPr="00F25EBD">
        <w:rPr>
          <w:rFonts w:cstheme="majorHAnsi"/>
        </w:rPr>
        <w:t>Przestrzeń i środowisko</w:t>
      </w:r>
      <w:bookmarkEnd w:id="6"/>
    </w:p>
    <w:p w14:paraId="18539AA4" w14:textId="3A5417BD" w:rsidR="00EA2B5F" w:rsidRPr="007A5888" w:rsidRDefault="00374AD6" w:rsidP="007A5888">
      <w:pPr>
        <w:pStyle w:val="Nagwek2"/>
      </w:pPr>
      <w:bookmarkStart w:id="7" w:name="_Toc77070598"/>
      <w:r w:rsidRPr="007A5888">
        <w:t xml:space="preserve">2.1 </w:t>
      </w:r>
      <w:r w:rsidR="00EA2B5F" w:rsidRPr="007A5888">
        <w:t>Uwarunkowania geograficzno-historyczne</w:t>
      </w:r>
      <w:bookmarkEnd w:id="7"/>
    </w:p>
    <w:p w14:paraId="3BEC180E" w14:textId="42FFD56C" w:rsidR="00EA2B5F" w:rsidRPr="00F25EBD" w:rsidRDefault="00EA2B5F" w:rsidP="008A3FED">
      <w:pPr>
        <w:spacing w:line="276" w:lineRule="auto"/>
        <w:jc w:val="both"/>
        <w:rPr>
          <w:rFonts w:asciiTheme="majorHAnsi" w:hAnsiTheme="majorHAnsi" w:cstheme="majorHAnsi"/>
        </w:rPr>
      </w:pPr>
      <w:r w:rsidRPr="00F25EBD">
        <w:rPr>
          <w:rFonts w:asciiTheme="majorHAnsi" w:hAnsiTheme="majorHAnsi" w:cstheme="majorHAnsi"/>
        </w:rPr>
        <w:t>Południowe Mazury (PM) są umownie wyodrębnionym obszarem obejmującym cztery powiaty województwa warmińsko-mazurskiego, tj.: działdowski, nidzicki, szczycieński i piski. Geograficznie zlokalizowane są przede wszystkim na terenach Równiny Mazurskiej oraz częściach Równiny Urszulewskiej, Garbu Lubawskiego i Pojezierza Ełckiego (rys.). Jest to obszar charakteryzujący się różnorodnością form morfologicznych, w tym wzniesień, rzek i jezior. Pod względem klimatycznym jest to miejsce wpływów klimatu morskiego i kontynentalnego z przewagą tego drugiego. Średnioroczna temperatura powietrza wynosi tu poniżej 7°C, przeważają wiatry z kierunków zachodnich (przy czym często występują także wiatry z południowego wschodu), a wielkość opadów jest większa niż w</w:t>
      </w:r>
      <w:r w:rsidR="007B04A7">
        <w:rPr>
          <w:rFonts w:asciiTheme="majorHAnsi" w:hAnsiTheme="majorHAnsi" w:cstheme="majorHAnsi"/>
        </w:rPr>
        <w:t xml:space="preserve"> </w:t>
      </w:r>
      <w:r w:rsidRPr="00F25EBD">
        <w:rPr>
          <w:rFonts w:asciiTheme="majorHAnsi" w:hAnsiTheme="majorHAnsi" w:cstheme="majorHAnsi"/>
        </w:rPr>
        <w:t xml:space="preserve">środkowej części kraju i waha się od 480 mm do 700 mm. Maksymalne nasłonecznienie przypada na czerwiec i </w:t>
      </w:r>
      <w:r w:rsidR="00E22E0A">
        <w:rPr>
          <w:rFonts w:asciiTheme="majorHAnsi" w:hAnsiTheme="majorHAnsi" w:cstheme="majorHAnsi"/>
        </w:rPr>
        <w:t>lipiec, najwięcej dni gorących m</w:t>
      </w:r>
      <w:r w:rsidRPr="00F25EBD">
        <w:rPr>
          <w:rFonts w:asciiTheme="majorHAnsi" w:hAnsiTheme="majorHAnsi" w:cstheme="majorHAnsi"/>
        </w:rPr>
        <w:t>a lipi</w:t>
      </w:r>
      <w:r w:rsidR="00E22E0A">
        <w:rPr>
          <w:rFonts w:asciiTheme="majorHAnsi" w:hAnsiTheme="majorHAnsi" w:cstheme="majorHAnsi"/>
        </w:rPr>
        <w:t>ec i sierpień, a dni pogodnych m</w:t>
      </w:r>
      <w:r w:rsidRPr="00F25EBD">
        <w:rPr>
          <w:rFonts w:asciiTheme="majorHAnsi" w:hAnsiTheme="majorHAnsi" w:cstheme="majorHAnsi"/>
        </w:rPr>
        <w:t>a maj i wrzesień. Liczba dni pochmurnych dochodzi do 157 w ciągu roku (przy średniej dla Polski wynoszącej 137 dni); dni gorące zanikają już we wrześniu, rozpoczynając jesień</w:t>
      </w:r>
      <w:r w:rsidRPr="00F25EBD">
        <w:rPr>
          <w:rStyle w:val="Odwoanieprzypisudolnego"/>
          <w:rFonts w:asciiTheme="majorHAnsi" w:hAnsiTheme="majorHAnsi" w:cstheme="majorHAnsi"/>
        </w:rPr>
        <w:footnoteReference w:id="1"/>
      </w:r>
      <w:r w:rsidRPr="00F25EBD">
        <w:rPr>
          <w:rFonts w:asciiTheme="majorHAnsi" w:hAnsiTheme="majorHAnsi" w:cstheme="majorHAnsi"/>
        </w:rPr>
        <w:t>.</w:t>
      </w:r>
    </w:p>
    <w:p w14:paraId="4188DD26" w14:textId="77777777" w:rsidR="00EA2B5F" w:rsidRPr="00F25EBD" w:rsidRDefault="00EA2B5F" w:rsidP="008A3FED">
      <w:pPr>
        <w:spacing w:line="276" w:lineRule="auto"/>
        <w:jc w:val="both"/>
        <w:rPr>
          <w:rFonts w:asciiTheme="majorHAnsi" w:hAnsiTheme="majorHAnsi" w:cstheme="majorHAnsi"/>
        </w:rPr>
      </w:pPr>
      <w:r w:rsidRPr="00F25EBD">
        <w:rPr>
          <w:rFonts w:asciiTheme="majorHAnsi" w:hAnsiTheme="majorHAnsi" w:cstheme="majorHAnsi"/>
        </w:rPr>
        <w:t xml:space="preserve">Historycznie, tereny Mazur należały do Prus i ze względu na położenie oraz historię przez wiele lat stanowiły pogranicze różnych kultur. Kraina ta graniczyła z terytoriami zamieszkanymi przez Litwinów, Warmiaków, Polaków, Niemców i Rosjan. Jak podają źródła, na przełomie XIX i XX w. Mazury zamieszkiwało 500 tys. mieszkańców, w tym ludność polska stanowiła ok. 75%. Tak znaczny jej odsetek był efektem zasiedlania tych ziem przez osadników polskich (głównie chłopów i drobną szlachtę Mazowsza), którzy przybywali na te tereny w celach zarobkowych, szukając lepszych warunków życia. </w:t>
      </w:r>
    </w:p>
    <w:p w14:paraId="16111060" w14:textId="3FD9D155" w:rsidR="00EA2B5F" w:rsidRPr="00F25EBD" w:rsidRDefault="00EA2B5F" w:rsidP="008A3FED">
      <w:pPr>
        <w:spacing w:line="276" w:lineRule="auto"/>
        <w:jc w:val="both"/>
        <w:rPr>
          <w:rFonts w:asciiTheme="majorHAnsi" w:hAnsiTheme="majorHAnsi" w:cstheme="majorHAnsi"/>
        </w:rPr>
      </w:pPr>
      <w:r w:rsidRPr="00F25EBD">
        <w:rPr>
          <w:rFonts w:asciiTheme="majorHAnsi" w:hAnsiTheme="majorHAnsi" w:cstheme="majorHAnsi"/>
        </w:rPr>
        <w:t xml:space="preserve">Sekularyzacja państwa krzyżackiego przez Albrechta </w:t>
      </w:r>
      <w:r w:rsidR="00216C5E" w:rsidRPr="00216C5E">
        <w:rPr>
          <w:rFonts w:asciiTheme="majorHAnsi" w:hAnsiTheme="majorHAnsi" w:cstheme="majorHAnsi"/>
        </w:rPr>
        <w:t xml:space="preserve">Hohenzollerna </w:t>
      </w:r>
      <w:r w:rsidRPr="00F25EBD">
        <w:rPr>
          <w:rFonts w:asciiTheme="majorHAnsi" w:hAnsiTheme="majorHAnsi" w:cstheme="majorHAnsi"/>
        </w:rPr>
        <w:t>uczyniła z Prus Książęcych miejsce migracji ludności protestanckiej, także z rejonów polskich</w:t>
      </w:r>
      <w:r w:rsidRPr="00F25EBD">
        <w:rPr>
          <w:rStyle w:val="Odwoanieprzypisudolnego"/>
          <w:rFonts w:asciiTheme="majorHAnsi" w:hAnsiTheme="majorHAnsi" w:cstheme="majorHAnsi"/>
        </w:rPr>
        <w:footnoteReference w:id="2"/>
      </w:r>
      <w:r w:rsidRPr="00F25EBD">
        <w:rPr>
          <w:rFonts w:asciiTheme="majorHAnsi" w:hAnsiTheme="majorHAnsi" w:cstheme="majorHAnsi"/>
        </w:rPr>
        <w:t>. Pomimo, że Prusy Książęce pod panowaniem Hohenzollernów bardzo szybko podjęły starania o</w:t>
      </w:r>
      <w:r w:rsidR="007B04A7">
        <w:rPr>
          <w:rFonts w:asciiTheme="majorHAnsi" w:hAnsiTheme="majorHAnsi" w:cstheme="majorHAnsi"/>
        </w:rPr>
        <w:t xml:space="preserve"> </w:t>
      </w:r>
      <w:r w:rsidRPr="00F25EBD">
        <w:rPr>
          <w:rFonts w:asciiTheme="majorHAnsi" w:hAnsiTheme="majorHAnsi" w:cstheme="majorHAnsi"/>
        </w:rPr>
        <w:t xml:space="preserve">uniezależnienie się od Polski, utrzymywano prawa językowe osadników polskich, zapewniając im opiekę religijną czy szkolnictwo. </w:t>
      </w:r>
    </w:p>
    <w:p w14:paraId="57002A22" w14:textId="77348606" w:rsidR="00EA2B5F" w:rsidRPr="00F25EBD" w:rsidRDefault="00EA2B5F" w:rsidP="008A3FED">
      <w:pPr>
        <w:spacing w:line="276" w:lineRule="auto"/>
        <w:jc w:val="both"/>
        <w:rPr>
          <w:rFonts w:asciiTheme="majorHAnsi" w:hAnsiTheme="majorHAnsi" w:cstheme="majorHAnsi"/>
        </w:rPr>
      </w:pPr>
      <w:r w:rsidRPr="00F25EBD">
        <w:rPr>
          <w:rFonts w:asciiTheme="majorHAnsi" w:hAnsiTheme="majorHAnsi" w:cstheme="majorHAnsi"/>
        </w:rPr>
        <w:t>W XVII wieku udziałem mieszkańców Mazur stały się ciężkie wydarzenia wojenne, szczególnie najazdy tatarskie w epoce potopu szwedzkiego. Wydarzenia tamtego okresu przesądziły o uwolnieniu się państwa pruskiego od brzemienia lennego i koronacji króla Prus w 1701</w:t>
      </w:r>
      <w:r w:rsidR="00F7062F">
        <w:rPr>
          <w:rFonts w:asciiTheme="majorHAnsi" w:hAnsiTheme="majorHAnsi" w:cstheme="majorHAnsi"/>
        </w:rPr>
        <w:t>r.</w:t>
      </w:r>
      <w:r w:rsidRPr="00F25EBD">
        <w:rPr>
          <w:rFonts w:asciiTheme="majorHAnsi" w:hAnsiTheme="majorHAnsi" w:cstheme="majorHAnsi"/>
        </w:rPr>
        <w:t xml:space="preserve"> Rosnące znaczenie nowej monarchii (wspólnej z Brandenburgią) i jej udział w rozbiorze Polski w 1772</w:t>
      </w:r>
      <w:r w:rsidR="00F7062F">
        <w:rPr>
          <w:rFonts w:asciiTheme="majorHAnsi" w:hAnsiTheme="majorHAnsi" w:cstheme="majorHAnsi"/>
        </w:rPr>
        <w:t>r.</w:t>
      </w:r>
      <w:r w:rsidRPr="00F25EBD">
        <w:rPr>
          <w:rFonts w:asciiTheme="majorHAnsi" w:hAnsiTheme="majorHAnsi" w:cstheme="majorHAnsi"/>
        </w:rPr>
        <w:t xml:space="preserve"> sprawiły, że za Fryderyka II doszło do połączenia w jednych granicach dawnych ziem pruskich, Mazur i</w:t>
      </w:r>
      <w:r w:rsidR="007B04A7">
        <w:rPr>
          <w:rFonts w:asciiTheme="majorHAnsi" w:hAnsiTheme="majorHAnsi" w:cstheme="majorHAnsi"/>
        </w:rPr>
        <w:t xml:space="preserve"> </w:t>
      </w:r>
      <w:r w:rsidRPr="00F25EBD">
        <w:rPr>
          <w:rFonts w:asciiTheme="majorHAnsi" w:hAnsiTheme="majorHAnsi" w:cstheme="majorHAnsi"/>
        </w:rPr>
        <w:t>Warmii, jako prowincji Prusy Wschodnie.</w:t>
      </w:r>
    </w:p>
    <w:p w14:paraId="5DBF37F2" w14:textId="56DC37C4" w:rsidR="00EA2B5F" w:rsidRPr="00F25EBD" w:rsidRDefault="00EA2B5F" w:rsidP="008A3FED">
      <w:pPr>
        <w:spacing w:line="276" w:lineRule="auto"/>
        <w:jc w:val="both"/>
        <w:rPr>
          <w:rFonts w:asciiTheme="majorHAnsi" w:hAnsiTheme="majorHAnsi" w:cstheme="majorHAnsi"/>
        </w:rPr>
      </w:pPr>
      <w:r w:rsidRPr="00F25EBD">
        <w:rPr>
          <w:rFonts w:asciiTheme="majorHAnsi" w:hAnsiTheme="majorHAnsi" w:cstheme="majorHAnsi"/>
        </w:rPr>
        <w:t>Realizowana przez Prusy polityka unifikacyjna zakładała większą jednolitość państwa, co oznaczało stopniowe usuwanie języka polskiego z życia publicznego Mazur, w tym szkół i kościołów. Działalność germanizacyjna, połączona z</w:t>
      </w:r>
      <w:r w:rsidR="007B04A7">
        <w:rPr>
          <w:rFonts w:asciiTheme="majorHAnsi" w:hAnsiTheme="majorHAnsi" w:cstheme="majorHAnsi"/>
        </w:rPr>
        <w:t xml:space="preserve"> </w:t>
      </w:r>
      <w:r w:rsidRPr="00F25EBD">
        <w:rPr>
          <w:rFonts w:asciiTheme="majorHAnsi" w:hAnsiTheme="majorHAnsi" w:cstheme="majorHAnsi"/>
        </w:rPr>
        <w:t>podporządkowaniem się większości Mazurów administracji państwowej, przyniosła efekt w okresie plebiscytu 1920</w:t>
      </w:r>
      <w:r w:rsidR="00F7062F">
        <w:rPr>
          <w:rFonts w:asciiTheme="majorHAnsi" w:hAnsiTheme="majorHAnsi" w:cstheme="majorHAnsi"/>
        </w:rPr>
        <w:t>r.</w:t>
      </w:r>
      <w:r w:rsidRPr="00F25EBD">
        <w:rPr>
          <w:rFonts w:asciiTheme="majorHAnsi" w:hAnsiTheme="majorHAnsi" w:cstheme="majorHAnsi"/>
        </w:rPr>
        <w:t>, kiedy to na Mazurach liczba głosów za Niemcami (Prusami Wschodnimi), niezależnie od bieżących działań represyjnych, wyniosła blisko 97%</w:t>
      </w:r>
      <w:r w:rsidRPr="00F25EBD">
        <w:rPr>
          <w:rStyle w:val="Odwoanieprzypisudolnego"/>
          <w:rFonts w:asciiTheme="majorHAnsi" w:hAnsiTheme="majorHAnsi" w:cstheme="majorHAnsi"/>
        </w:rPr>
        <w:footnoteReference w:id="3"/>
      </w:r>
      <w:r w:rsidRPr="00F25EBD">
        <w:rPr>
          <w:rFonts w:asciiTheme="majorHAnsi" w:hAnsiTheme="majorHAnsi" w:cstheme="majorHAnsi"/>
        </w:rPr>
        <w:t>. Z terenu Południowych Mazur tylko Działdowo z najbliższą okolicą dostało się pod władzę w</w:t>
      </w:r>
      <w:r w:rsidR="007B04A7">
        <w:rPr>
          <w:rFonts w:asciiTheme="majorHAnsi" w:hAnsiTheme="majorHAnsi" w:cstheme="majorHAnsi"/>
        </w:rPr>
        <w:t xml:space="preserve"> </w:t>
      </w:r>
      <w:r w:rsidRPr="00F25EBD">
        <w:rPr>
          <w:rFonts w:asciiTheme="majorHAnsi" w:hAnsiTheme="majorHAnsi" w:cstheme="majorHAnsi"/>
        </w:rPr>
        <w:t>Warszawie</w:t>
      </w:r>
      <w:r w:rsidRPr="00F25EBD">
        <w:rPr>
          <w:rStyle w:val="Odwoanieprzypisudolnego"/>
          <w:rFonts w:asciiTheme="majorHAnsi" w:hAnsiTheme="majorHAnsi" w:cstheme="majorHAnsi"/>
        </w:rPr>
        <w:footnoteReference w:id="4"/>
      </w:r>
      <w:r w:rsidRPr="00F25EBD">
        <w:rPr>
          <w:rFonts w:asciiTheme="majorHAnsi" w:hAnsiTheme="majorHAnsi" w:cstheme="majorHAnsi"/>
        </w:rPr>
        <w:t>.</w:t>
      </w:r>
    </w:p>
    <w:p w14:paraId="0BD23335" w14:textId="77777777" w:rsidR="00EA2B5F" w:rsidRPr="00F25EBD" w:rsidRDefault="00EA2B5F" w:rsidP="008A3FED">
      <w:pPr>
        <w:spacing w:line="276" w:lineRule="auto"/>
        <w:jc w:val="both"/>
        <w:rPr>
          <w:rFonts w:asciiTheme="majorHAnsi" w:hAnsiTheme="majorHAnsi" w:cstheme="majorHAnsi"/>
        </w:rPr>
      </w:pPr>
    </w:p>
    <w:p w14:paraId="1A032823" w14:textId="5791B498" w:rsidR="00EA2B5F" w:rsidRPr="00F25EBD" w:rsidRDefault="00EA2B5F" w:rsidP="008A3FED">
      <w:pPr>
        <w:spacing w:line="276" w:lineRule="auto"/>
        <w:jc w:val="both"/>
        <w:rPr>
          <w:rFonts w:asciiTheme="majorHAnsi" w:hAnsiTheme="majorHAnsi" w:cstheme="majorHAnsi"/>
        </w:rPr>
      </w:pPr>
      <w:r w:rsidRPr="00F25EBD">
        <w:rPr>
          <w:rFonts w:asciiTheme="majorHAnsi" w:hAnsiTheme="majorHAnsi" w:cstheme="majorHAnsi"/>
        </w:rPr>
        <w:t>Prześladowania działaczy na rzecz polskości Mazur wzmogły się w okresie międzywojennym, a</w:t>
      </w:r>
      <w:r w:rsidR="007B04A7">
        <w:rPr>
          <w:rFonts w:asciiTheme="majorHAnsi" w:hAnsiTheme="majorHAnsi" w:cstheme="majorHAnsi"/>
        </w:rPr>
        <w:t xml:space="preserve"> </w:t>
      </w:r>
      <w:r w:rsidRPr="00F25EBD">
        <w:rPr>
          <w:rFonts w:asciiTheme="majorHAnsi" w:hAnsiTheme="majorHAnsi" w:cstheme="majorHAnsi"/>
        </w:rPr>
        <w:t>zwłaszcza hitlerowskim. W odróżnieniu od Warmii, gdzie powstało w latach 30. XX w. kilkanaście szkół polskich, na Mazurach zdołano utworzyć tylko jedną, we wsi Piasutno (gm. Świętajno, pow. szczycieński)</w:t>
      </w:r>
      <w:r w:rsidRPr="00F25EBD">
        <w:rPr>
          <w:rStyle w:val="Odwoanieprzypisudolnego"/>
          <w:rFonts w:asciiTheme="majorHAnsi" w:hAnsiTheme="majorHAnsi" w:cstheme="majorHAnsi"/>
        </w:rPr>
        <w:t xml:space="preserve"> </w:t>
      </w:r>
      <w:r w:rsidRPr="00F25EBD">
        <w:rPr>
          <w:rStyle w:val="Odwoanieprzypisudolnego"/>
          <w:rFonts w:asciiTheme="majorHAnsi" w:hAnsiTheme="majorHAnsi" w:cstheme="majorHAnsi"/>
        </w:rPr>
        <w:footnoteReference w:id="5"/>
      </w:r>
      <w:r w:rsidRPr="00F25EBD">
        <w:rPr>
          <w:rFonts w:asciiTheme="majorHAnsi" w:hAnsiTheme="majorHAnsi" w:cstheme="majorHAnsi"/>
        </w:rPr>
        <w:t xml:space="preserve">. </w:t>
      </w:r>
    </w:p>
    <w:p w14:paraId="33EC16F3" w14:textId="14E7EC1D" w:rsidR="00EA2B5F" w:rsidRPr="00F25EBD" w:rsidRDefault="00EA2B5F" w:rsidP="008A3FED">
      <w:pPr>
        <w:spacing w:line="276" w:lineRule="auto"/>
        <w:jc w:val="both"/>
        <w:rPr>
          <w:rFonts w:asciiTheme="majorHAnsi" w:hAnsiTheme="majorHAnsi" w:cstheme="majorHAnsi"/>
        </w:rPr>
      </w:pPr>
      <w:r w:rsidRPr="00F25EBD">
        <w:rPr>
          <w:rFonts w:asciiTheme="majorHAnsi" w:hAnsiTheme="majorHAnsi" w:cstheme="majorHAnsi"/>
        </w:rPr>
        <w:t>Po wojnie na Mazury zaczęli napływać nowi osadnicy. Do końca 1945</w:t>
      </w:r>
      <w:r w:rsidR="00F7062F">
        <w:rPr>
          <w:rFonts w:asciiTheme="majorHAnsi" w:hAnsiTheme="majorHAnsi" w:cstheme="majorHAnsi"/>
        </w:rPr>
        <w:t>r.</w:t>
      </w:r>
      <w:r w:rsidRPr="00F25EBD">
        <w:rPr>
          <w:rFonts w:asciiTheme="majorHAnsi" w:hAnsiTheme="majorHAnsi" w:cstheme="majorHAnsi"/>
        </w:rPr>
        <w:t xml:space="preserve"> osiedliło się tu 336 tys. ludzi z</w:t>
      </w:r>
      <w:r w:rsidR="007B04A7">
        <w:rPr>
          <w:rFonts w:asciiTheme="majorHAnsi" w:hAnsiTheme="majorHAnsi" w:cstheme="majorHAnsi"/>
        </w:rPr>
        <w:t xml:space="preserve"> </w:t>
      </w:r>
      <w:r w:rsidRPr="00F25EBD">
        <w:rPr>
          <w:rFonts w:asciiTheme="majorHAnsi" w:hAnsiTheme="majorHAnsi" w:cstheme="majorHAnsi"/>
        </w:rPr>
        <w:t>terenów zabużańskich i z Polski centralnej, a w 1947</w:t>
      </w:r>
      <w:r w:rsidR="00F7062F">
        <w:rPr>
          <w:rFonts w:asciiTheme="majorHAnsi" w:hAnsiTheme="majorHAnsi" w:cstheme="majorHAnsi"/>
        </w:rPr>
        <w:t>r.</w:t>
      </w:r>
      <w:r w:rsidRPr="00F25EBD">
        <w:rPr>
          <w:rFonts w:asciiTheme="majorHAnsi" w:hAnsiTheme="majorHAnsi" w:cstheme="majorHAnsi"/>
        </w:rPr>
        <w:t xml:space="preserve"> przymusowo przesiedlono Ukraińców wywożonych z Podkarpacia w ramach akcji Wisła. W tym okresie ludność autochtońska uznawana była za Niemców, do czego przyczyniała się ewangelicka wiara, odróżniająca ich nie tylko od sąsiadów z</w:t>
      </w:r>
      <w:r w:rsidR="007B04A7">
        <w:rPr>
          <w:rFonts w:asciiTheme="majorHAnsi" w:hAnsiTheme="majorHAnsi" w:cstheme="majorHAnsi"/>
        </w:rPr>
        <w:t xml:space="preserve"> </w:t>
      </w:r>
      <w:r w:rsidRPr="00F25EBD">
        <w:rPr>
          <w:rFonts w:asciiTheme="majorHAnsi" w:hAnsiTheme="majorHAnsi" w:cstheme="majorHAnsi"/>
        </w:rPr>
        <w:t>Warmii, ale i dużej liczby ludności napływowej z Kresów. W rezultacie ok. 400 tys. Mazurów opuściło ziemię rodzinną i wyjechało do RFN</w:t>
      </w:r>
      <w:r w:rsidRPr="00F25EBD">
        <w:rPr>
          <w:rStyle w:val="Odwoanieprzypisudolnego"/>
          <w:rFonts w:asciiTheme="majorHAnsi" w:hAnsiTheme="majorHAnsi" w:cstheme="majorHAnsi"/>
        </w:rPr>
        <w:footnoteReference w:id="6"/>
      </w:r>
      <w:r w:rsidRPr="00F25EBD">
        <w:rPr>
          <w:rFonts w:asciiTheme="majorHAnsi" w:hAnsiTheme="majorHAnsi" w:cstheme="majorHAnsi"/>
        </w:rPr>
        <w:t>.</w:t>
      </w:r>
    </w:p>
    <w:p w14:paraId="03392486" w14:textId="77777777" w:rsidR="00EA2B5F" w:rsidRPr="008A3FED" w:rsidRDefault="00EA2B5F" w:rsidP="008A3FED"/>
    <w:p w14:paraId="423ADDA7" w14:textId="412CCBF2" w:rsidR="00EA2B5F" w:rsidRPr="00F25EBD" w:rsidRDefault="00EA2B5F" w:rsidP="000E5B5A">
      <w:pPr>
        <w:pStyle w:val="nad"/>
      </w:pPr>
      <w:bookmarkStart w:id="8" w:name="_Toc81301529"/>
      <w:r w:rsidRPr="00F25EBD">
        <w:t xml:space="preserve">Rysunek </w:t>
      </w:r>
      <w:r w:rsidRPr="00F25EBD">
        <w:rPr>
          <w:noProof/>
        </w:rPr>
        <w:fldChar w:fldCharType="begin"/>
      </w:r>
      <w:r w:rsidRPr="00F25EBD">
        <w:rPr>
          <w:noProof/>
        </w:rPr>
        <w:instrText xml:space="preserve"> SEQ Rysunek \* ARABIC </w:instrText>
      </w:r>
      <w:r w:rsidRPr="00F25EBD">
        <w:rPr>
          <w:noProof/>
        </w:rPr>
        <w:fldChar w:fldCharType="separate"/>
      </w:r>
      <w:r w:rsidR="006C7815">
        <w:rPr>
          <w:noProof/>
        </w:rPr>
        <w:t>1</w:t>
      </w:r>
      <w:r w:rsidRPr="00F25EBD">
        <w:rPr>
          <w:noProof/>
        </w:rPr>
        <w:fldChar w:fldCharType="end"/>
      </w:r>
      <w:r w:rsidRPr="00F25EBD">
        <w:t xml:space="preserve">. Południowe </w:t>
      </w:r>
      <w:r w:rsidR="00245EF6" w:rsidRPr="00F25EBD">
        <w:t xml:space="preserve">Mazury </w:t>
      </w:r>
      <w:r w:rsidR="00245EF6">
        <w:t>n</w:t>
      </w:r>
      <w:r w:rsidRPr="00F25EBD">
        <w:t>a tle kulturowych struktur przestrzennych województwa warmińsko-mazurskiego</w:t>
      </w:r>
      <w:bookmarkEnd w:id="8"/>
    </w:p>
    <w:p w14:paraId="6756399E" w14:textId="77777777" w:rsidR="00EA2B5F" w:rsidRPr="00F25EBD" w:rsidRDefault="00EA2B5F" w:rsidP="00FC7062">
      <w:pPr>
        <w:spacing w:after="0" w:line="276" w:lineRule="auto"/>
        <w:jc w:val="both"/>
        <w:rPr>
          <w:rFonts w:asciiTheme="majorHAnsi" w:hAnsiTheme="majorHAnsi" w:cstheme="majorHAnsi"/>
        </w:rPr>
      </w:pPr>
      <w:r w:rsidRPr="00F25EBD">
        <w:rPr>
          <w:rFonts w:asciiTheme="majorHAnsi" w:hAnsiTheme="majorHAnsi" w:cstheme="majorHAnsi"/>
          <w:noProof/>
          <w:lang w:eastAsia="pl-PL"/>
        </w:rPr>
        <w:drawing>
          <wp:inline distT="0" distB="0" distL="0" distR="0" wp14:anchorId="123440F9" wp14:editId="79AD4833">
            <wp:extent cx="5760720" cy="3413125"/>
            <wp:effectExtent l="0" t="0" r="0" b="0"/>
            <wp:docPr id="17" name="Obraz 17" descr="Obraz zawierający tekst, map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Obraz 17" descr="Obraz zawierający tekst, mapa&#10;&#10;Opis wygenerowany automatycznie"/>
                    <pic:cNvPicPr/>
                  </pic:nvPicPr>
                  <pic:blipFill>
                    <a:blip r:embed="rId13">
                      <a:extLst>
                        <a:ext uri="{28A0092B-C50C-407E-A947-70E740481C1C}">
                          <a14:useLocalDpi xmlns:a14="http://schemas.microsoft.com/office/drawing/2010/main" val="0"/>
                        </a:ext>
                      </a:extLst>
                    </a:blip>
                    <a:stretch>
                      <a:fillRect/>
                    </a:stretch>
                  </pic:blipFill>
                  <pic:spPr>
                    <a:xfrm>
                      <a:off x="0" y="0"/>
                      <a:ext cx="5760720" cy="3413125"/>
                    </a:xfrm>
                    <a:prstGeom prst="rect">
                      <a:avLst/>
                    </a:prstGeom>
                  </pic:spPr>
                </pic:pic>
              </a:graphicData>
            </a:graphic>
          </wp:inline>
        </w:drawing>
      </w:r>
    </w:p>
    <w:p w14:paraId="71ED4D18" w14:textId="77777777" w:rsidR="00EA2B5F" w:rsidRPr="00F25EBD" w:rsidRDefault="00EA2B5F" w:rsidP="00374AD6">
      <w:pPr>
        <w:pStyle w:val="rdo"/>
      </w:pPr>
      <w:r w:rsidRPr="00F25EBD">
        <w:t xml:space="preserve">Źródło: </w:t>
      </w:r>
      <w:r w:rsidRPr="00F25EBD">
        <w:rPr>
          <w:iCs/>
        </w:rPr>
        <w:t>Plan Zagospodarowania Przestrzennego Województwa Warmińsko-Mazurskiego</w:t>
      </w:r>
      <w:r w:rsidRPr="00F25EBD">
        <w:t>. 2018. Warmińsko-Mazurskie Biuro Planowania Przestrzennego, Olsztyn.</w:t>
      </w:r>
    </w:p>
    <w:p w14:paraId="37B384BC" w14:textId="77777777" w:rsidR="00EA2B5F" w:rsidRPr="00F25EBD" w:rsidRDefault="00EA2B5F" w:rsidP="00FC7062">
      <w:pPr>
        <w:spacing w:after="0" w:line="276" w:lineRule="auto"/>
        <w:jc w:val="both"/>
        <w:rPr>
          <w:rFonts w:asciiTheme="majorHAnsi" w:hAnsiTheme="majorHAnsi" w:cstheme="majorHAnsi"/>
        </w:rPr>
      </w:pPr>
    </w:p>
    <w:p w14:paraId="7CF7F33D" w14:textId="3082FF71" w:rsidR="00EA2B5F" w:rsidRPr="00F25EBD" w:rsidRDefault="00EA2B5F" w:rsidP="008A3FED">
      <w:pPr>
        <w:spacing w:line="276" w:lineRule="auto"/>
        <w:jc w:val="both"/>
        <w:rPr>
          <w:rFonts w:asciiTheme="majorHAnsi" w:hAnsiTheme="majorHAnsi" w:cstheme="majorHAnsi"/>
        </w:rPr>
      </w:pPr>
      <w:r w:rsidRPr="00F25EBD">
        <w:rPr>
          <w:rFonts w:asciiTheme="majorHAnsi" w:hAnsiTheme="majorHAnsi" w:cstheme="majorHAnsi"/>
        </w:rPr>
        <w:t>Przez bardzo długi czas Mazurzy byli patriotami regionalnymi, nie czuli się ani Polakami, ani Niemcami czy Prusakami. Tworzyli społeczeństwo apolityczne, stanowiące mieszankę kultury polskiej i</w:t>
      </w:r>
      <w:r w:rsidR="007B04A7">
        <w:rPr>
          <w:rFonts w:asciiTheme="majorHAnsi" w:hAnsiTheme="majorHAnsi" w:cstheme="majorHAnsi"/>
        </w:rPr>
        <w:t xml:space="preserve"> </w:t>
      </w:r>
      <w:r w:rsidRPr="00F25EBD">
        <w:rPr>
          <w:rFonts w:asciiTheme="majorHAnsi" w:hAnsiTheme="majorHAnsi" w:cstheme="majorHAnsi"/>
        </w:rPr>
        <w:t>niemieckiej. W 1844</w:t>
      </w:r>
      <w:r w:rsidR="00F7062F">
        <w:rPr>
          <w:rFonts w:asciiTheme="majorHAnsi" w:hAnsiTheme="majorHAnsi" w:cstheme="majorHAnsi"/>
        </w:rPr>
        <w:t>r.</w:t>
      </w:r>
      <w:r w:rsidRPr="00F25EBD">
        <w:rPr>
          <w:rFonts w:asciiTheme="majorHAnsi" w:hAnsiTheme="majorHAnsi" w:cstheme="majorHAnsi"/>
        </w:rPr>
        <w:t xml:space="preserve"> polski podróżnik August Grabowski scharakteryzował ich jako ludzi </w:t>
      </w:r>
      <w:r w:rsidRPr="00F25EBD">
        <w:rPr>
          <w:rFonts w:asciiTheme="majorHAnsi" w:hAnsiTheme="majorHAnsi" w:cstheme="majorHAnsi"/>
          <w:i/>
          <w:iCs/>
        </w:rPr>
        <w:t>pobożnych, pracowitych, zdolnych (bo porządnych), poważnych (bo myślących), mało rozumiejących o</w:t>
      </w:r>
      <w:r w:rsidR="007B04A7">
        <w:rPr>
          <w:rFonts w:asciiTheme="majorHAnsi" w:hAnsiTheme="majorHAnsi" w:cstheme="majorHAnsi"/>
          <w:i/>
          <w:iCs/>
        </w:rPr>
        <w:t xml:space="preserve"> </w:t>
      </w:r>
      <w:r w:rsidRPr="00F25EBD">
        <w:rPr>
          <w:rFonts w:asciiTheme="majorHAnsi" w:hAnsiTheme="majorHAnsi" w:cstheme="majorHAnsi"/>
          <w:i/>
          <w:iCs/>
        </w:rPr>
        <w:t>sobie (bo ludzie czynu), zamożnych, przez to bezpiecznych</w:t>
      </w:r>
      <w:r w:rsidRPr="00F25EBD">
        <w:rPr>
          <w:rFonts w:asciiTheme="majorHAnsi" w:hAnsiTheme="majorHAnsi" w:cstheme="majorHAnsi"/>
        </w:rPr>
        <w:t xml:space="preserve">. Uznał też, że </w:t>
      </w:r>
      <w:r w:rsidRPr="00F25EBD">
        <w:rPr>
          <w:rFonts w:asciiTheme="majorHAnsi" w:hAnsiTheme="majorHAnsi" w:cstheme="majorHAnsi"/>
          <w:i/>
          <w:iCs/>
        </w:rPr>
        <w:t xml:space="preserve">nie ma w nich chytrości podlaskiej, niedbalstwa mazowieckiego, lekkomyślności </w:t>
      </w:r>
      <w:proofErr w:type="spellStart"/>
      <w:r w:rsidRPr="00F25EBD">
        <w:rPr>
          <w:rFonts w:asciiTheme="majorHAnsi" w:hAnsiTheme="majorHAnsi" w:cstheme="majorHAnsi"/>
          <w:i/>
          <w:iCs/>
        </w:rPr>
        <w:t>chrobackiej</w:t>
      </w:r>
      <w:proofErr w:type="spellEnd"/>
      <w:r w:rsidRPr="00F25EBD">
        <w:rPr>
          <w:rFonts w:asciiTheme="majorHAnsi" w:hAnsiTheme="majorHAnsi" w:cstheme="majorHAnsi"/>
          <w:i/>
          <w:iCs/>
        </w:rPr>
        <w:t>, ospalstwa śląskiego i</w:t>
      </w:r>
      <w:r w:rsidR="007B04A7">
        <w:rPr>
          <w:rFonts w:asciiTheme="majorHAnsi" w:hAnsiTheme="majorHAnsi" w:cstheme="majorHAnsi"/>
          <w:i/>
          <w:iCs/>
        </w:rPr>
        <w:t xml:space="preserve"> </w:t>
      </w:r>
      <w:r w:rsidRPr="00F25EBD">
        <w:rPr>
          <w:rFonts w:asciiTheme="majorHAnsi" w:hAnsiTheme="majorHAnsi" w:cstheme="majorHAnsi"/>
          <w:i/>
          <w:iCs/>
        </w:rPr>
        <w:t>wielkopolskiego, wad odznaczających nasze plemiona</w:t>
      </w:r>
      <w:r w:rsidRPr="00F25EBD">
        <w:rPr>
          <w:rStyle w:val="Odwoanieprzypisudolnego"/>
          <w:rFonts w:asciiTheme="majorHAnsi" w:hAnsiTheme="majorHAnsi" w:cstheme="majorHAnsi"/>
        </w:rPr>
        <w:footnoteReference w:id="7"/>
      </w:r>
      <w:r w:rsidRPr="00F25EBD">
        <w:rPr>
          <w:rFonts w:asciiTheme="majorHAnsi" w:hAnsiTheme="majorHAnsi" w:cstheme="majorHAnsi"/>
        </w:rPr>
        <w:t>.</w:t>
      </w:r>
    </w:p>
    <w:p w14:paraId="3602BB90" w14:textId="6E5DC08B" w:rsidR="00EA2B5F" w:rsidRPr="00F25EBD" w:rsidRDefault="00EA2B5F" w:rsidP="00FC7062">
      <w:pPr>
        <w:spacing w:after="0" w:line="276" w:lineRule="auto"/>
        <w:jc w:val="both"/>
        <w:rPr>
          <w:rFonts w:asciiTheme="majorHAnsi" w:hAnsiTheme="majorHAnsi" w:cstheme="majorHAnsi"/>
        </w:rPr>
      </w:pPr>
      <w:r w:rsidRPr="00F25EBD">
        <w:rPr>
          <w:rFonts w:asciiTheme="majorHAnsi" w:hAnsiTheme="majorHAnsi" w:cstheme="majorHAnsi"/>
        </w:rPr>
        <w:t>Ku orientacji niemieckiej skierowały Mazurów wydarzenia I wojny światowej, a te związane z</w:t>
      </w:r>
      <w:r w:rsidR="007B04A7">
        <w:rPr>
          <w:rFonts w:asciiTheme="majorHAnsi" w:hAnsiTheme="majorHAnsi" w:cstheme="majorHAnsi"/>
        </w:rPr>
        <w:t xml:space="preserve"> </w:t>
      </w:r>
      <w:r w:rsidRPr="00F25EBD">
        <w:rPr>
          <w:rFonts w:asciiTheme="majorHAnsi" w:hAnsiTheme="majorHAnsi" w:cstheme="majorHAnsi"/>
        </w:rPr>
        <w:t>kolejnymi działaniami zbrojnymi w połączeniu z powojenną polityką władz polskich przyczyniły się do zanikania tej kultury. Podczas ostatniej edycji Narodowego Spisu Powszechnego w 2011</w:t>
      </w:r>
      <w:r w:rsidR="00F7062F">
        <w:rPr>
          <w:rFonts w:asciiTheme="majorHAnsi" w:hAnsiTheme="majorHAnsi" w:cstheme="majorHAnsi"/>
        </w:rPr>
        <w:t>r.</w:t>
      </w:r>
      <w:r w:rsidRPr="00F25EBD">
        <w:rPr>
          <w:rFonts w:asciiTheme="majorHAnsi" w:hAnsiTheme="majorHAnsi" w:cstheme="majorHAnsi"/>
        </w:rPr>
        <w:t xml:space="preserve"> mazurską identyfikację narodowościowo-etniczną wskazało jedynie 1.376 osób, z czego ponad ¾ stanowiły osoby w</w:t>
      </w:r>
      <w:r w:rsidR="007B04A7">
        <w:rPr>
          <w:rFonts w:asciiTheme="majorHAnsi" w:hAnsiTheme="majorHAnsi" w:cstheme="majorHAnsi"/>
        </w:rPr>
        <w:t xml:space="preserve"> </w:t>
      </w:r>
      <w:r w:rsidRPr="00F25EBD">
        <w:rPr>
          <w:rFonts w:asciiTheme="majorHAnsi" w:hAnsiTheme="majorHAnsi" w:cstheme="majorHAnsi"/>
        </w:rPr>
        <w:t>wieku produkcyjnym</w:t>
      </w:r>
      <w:r w:rsidRPr="00F25EBD">
        <w:rPr>
          <w:rStyle w:val="Odwoanieprzypisudolnego"/>
          <w:rFonts w:asciiTheme="majorHAnsi" w:hAnsiTheme="majorHAnsi" w:cstheme="majorHAnsi"/>
        </w:rPr>
        <w:footnoteReference w:id="8"/>
      </w:r>
      <w:r w:rsidRPr="00F25EBD">
        <w:rPr>
          <w:rFonts w:asciiTheme="majorHAnsi" w:hAnsiTheme="majorHAnsi" w:cstheme="majorHAnsi"/>
        </w:rPr>
        <w:t xml:space="preserve">. </w:t>
      </w:r>
    </w:p>
    <w:p w14:paraId="490694E5" w14:textId="77777777" w:rsidR="007A5888" w:rsidRPr="008A3FED" w:rsidRDefault="007A5888" w:rsidP="008A3FED"/>
    <w:p w14:paraId="050B081C" w14:textId="18114A2C" w:rsidR="00EA2B5F" w:rsidRPr="007A5888" w:rsidRDefault="00374AD6" w:rsidP="007A5888">
      <w:pPr>
        <w:pStyle w:val="Nagwek2"/>
      </w:pPr>
      <w:bookmarkStart w:id="9" w:name="_Toc77070599"/>
      <w:r w:rsidRPr="007A5888">
        <w:t xml:space="preserve">2.2 </w:t>
      </w:r>
      <w:r w:rsidR="00EA2B5F" w:rsidRPr="007A5888">
        <w:t>Układ przestrzenno-administracyjny</w:t>
      </w:r>
      <w:bookmarkEnd w:id="9"/>
    </w:p>
    <w:p w14:paraId="05428632" w14:textId="2E4A9343" w:rsidR="00EA2B5F" w:rsidRPr="00F25EBD" w:rsidRDefault="00EA2B5F" w:rsidP="00FC7062">
      <w:pPr>
        <w:spacing w:after="0" w:line="276" w:lineRule="auto"/>
        <w:jc w:val="both"/>
        <w:rPr>
          <w:rFonts w:asciiTheme="majorHAnsi" w:hAnsiTheme="majorHAnsi" w:cstheme="majorHAnsi"/>
        </w:rPr>
      </w:pPr>
      <w:r w:rsidRPr="00F25EBD">
        <w:rPr>
          <w:rFonts w:asciiTheme="majorHAnsi" w:hAnsiTheme="majorHAnsi" w:cstheme="majorHAnsi"/>
        </w:rPr>
        <w:t>Administracyjnie, obszar funkcjonalny pn. Południowe Mazury tworzą cztery powiaty ziemskie w</w:t>
      </w:r>
      <w:r w:rsidR="007B04A7">
        <w:rPr>
          <w:rFonts w:asciiTheme="majorHAnsi" w:hAnsiTheme="majorHAnsi" w:cstheme="majorHAnsi"/>
        </w:rPr>
        <w:t xml:space="preserve"> </w:t>
      </w:r>
      <w:r w:rsidRPr="00F25EBD">
        <w:rPr>
          <w:rFonts w:asciiTheme="majorHAnsi" w:hAnsiTheme="majorHAnsi" w:cstheme="majorHAnsi"/>
        </w:rPr>
        <w:t>obrębie których leżą 22 gminy, w tym: 12 wiejskich, 8 miejsko-wiejskich i dwa miasta. Z łączną powierzchnią wynoszącą 5.623 km</w:t>
      </w:r>
      <w:r w:rsidRPr="00F25EBD">
        <w:rPr>
          <w:rFonts w:asciiTheme="majorHAnsi" w:hAnsiTheme="majorHAnsi" w:cstheme="majorHAnsi"/>
          <w:vertAlign w:val="superscript"/>
        </w:rPr>
        <w:t>2</w:t>
      </w:r>
      <w:r w:rsidRPr="00F25EBD">
        <w:rPr>
          <w:rFonts w:asciiTheme="majorHAnsi" w:hAnsiTheme="majorHAnsi" w:cstheme="majorHAnsi"/>
        </w:rPr>
        <w:t xml:space="preserve"> tworzy on wycinek stanowiący 23,3% powierzchni województwa warmińsko-mazurskiego. </w:t>
      </w:r>
    </w:p>
    <w:p w14:paraId="28FE8759" w14:textId="66E63163" w:rsidR="00EA2B5F" w:rsidRPr="00F25EBD" w:rsidRDefault="00EA2B5F" w:rsidP="000E5B5A">
      <w:pPr>
        <w:pStyle w:val="nad"/>
      </w:pPr>
      <w:bookmarkStart w:id="10" w:name="_Toc81301530"/>
      <w:r w:rsidRPr="00F25EBD">
        <w:t xml:space="preserve">Rysunek </w:t>
      </w:r>
      <w:r w:rsidRPr="00F25EBD">
        <w:rPr>
          <w:noProof/>
        </w:rPr>
        <w:fldChar w:fldCharType="begin"/>
      </w:r>
      <w:r w:rsidRPr="00F25EBD">
        <w:rPr>
          <w:noProof/>
        </w:rPr>
        <w:instrText xml:space="preserve"> SEQ Rysunek \* ARABIC </w:instrText>
      </w:r>
      <w:r w:rsidRPr="00F25EBD">
        <w:rPr>
          <w:noProof/>
        </w:rPr>
        <w:fldChar w:fldCharType="separate"/>
      </w:r>
      <w:r w:rsidR="006C7815">
        <w:rPr>
          <w:noProof/>
        </w:rPr>
        <w:t>2</w:t>
      </w:r>
      <w:r w:rsidRPr="00F25EBD">
        <w:rPr>
          <w:noProof/>
        </w:rPr>
        <w:fldChar w:fldCharType="end"/>
      </w:r>
      <w:r w:rsidRPr="00F25EBD">
        <w:t>. Struktura administracyjna Południowych Mazur na tle województwa warmińsko-mazurskiego</w:t>
      </w:r>
      <w:bookmarkEnd w:id="10"/>
    </w:p>
    <w:p w14:paraId="479B1DE0" w14:textId="77777777" w:rsidR="00EA2B5F" w:rsidRPr="00F25EBD" w:rsidRDefault="00EA2B5F" w:rsidP="00FC7062">
      <w:pPr>
        <w:spacing w:after="0" w:line="276" w:lineRule="auto"/>
        <w:jc w:val="both"/>
        <w:rPr>
          <w:rFonts w:asciiTheme="majorHAnsi" w:hAnsiTheme="majorHAnsi" w:cstheme="majorHAnsi"/>
        </w:rPr>
      </w:pPr>
      <w:r w:rsidRPr="00F25EBD">
        <w:rPr>
          <w:rFonts w:asciiTheme="majorHAnsi" w:hAnsiTheme="majorHAnsi" w:cstheme="majorHAnsi"/>
          <w:noProof/>
          <w:lang w:eastAsia="pl-PL"/>
        </w:rPr>
        <w:drawing>
          <wp:inline distT="0" distB="0" distL="0" distR="0" wp14:anchorId="07B7D221" wp14:editId="3204EA5F">
            <wp:extent cx="5760720" cy="3425190"/>
            <wp:effectExtent l="0" t="0" r="0" b="3810"/>
            <wp:docPr id="18" name="Obraz 18" descr="Obraz zawierający tekst, map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Obraz 18" descr="Obraz zawierający tekst, mapa&#10;&#10;Opis wygenerowany automatycznie"/>
                    <pic:cNvPicPr/>
                  </pic:nvPicPr>
                  <pic:blipFill>
                    <a:blip r:embed="rId14">
                      <a:extLst>
                        <a:ext uri="{28A0092B-C50C-407E-A947-70E740481C1C}">
                          <a14:useLocalDpi xmlns:a14="http://schemas.microsoft.com/office/drawing/2010/main" val="0"/>
                        </a:ext>
                      </a:extLst>
                    </a:blip>
                    <a:stretch>
                      <a:fillRect/>
                    </a:stretch>
                  </pic:blipFill>
                  <pic:spPr>
                    <a:xfrm>
                      <a:off x="0" y="0"/>
                      <a:ext cx="5760720" cy="3425190"/>
                    </a:xfrm>
                    <a:prstGeom prst="rect">
                      <a:avLst/>
                    </a:prstGeom>
                  </pic:spPr>
                </pic:pic>
              </a:graphicData>
            </a:graphic>
          </wp:inline>
        </w:drawing>
      </w:r>
    </w:p>
    <w:p w14:paraId="24D5EB3A" w14:textId="158B3F4C" w:rsidR="00EA2B5F" w:rsidRPr="00F25EBD" w:rsidRDefault="00EA2B5F" w:rsidP="00FC7062">
      <w:pPr>
        <w:spacing w:after="120" w:line="276" w:lineRule="auto"/>
        <w:jc w:val="both"/>
        <w:rPr>
          <w:rFonts w:asciiTheme="majorHAnsi" w:hAnsiTheme="majorHAnsi" w:cstheme="majorHAnsi"/>
          <w:i/>
          <w:sz w:val="16"/>
          <w:szCs w:val="16"/>
        </w:rPr>
      </w:pPr>
      <w:r w:rsidRPr="00F25EBD">
        <w:rPr>
          <w:rFonts w:asciiTheme="majorHAnsi" w:hAnsiTheme="majorHAnsi" w:cstheme="majorHAnsi"/>
          <w:i/>
          <w:sz w:val="16"/>
          <w:szCs w:val="16"/>
        </w:rPr>
        <w:t>* Gmina Wielbark, z dniem 01.01.2019</w:t>
      </w:r>
      <w:r w:rsidR="00F7062F">
        <w:rPr>
          <w:rFonts w:asciiTheme="majorHAnsi" w:hAnsiTheme="majorHAnsi" w:cstheme="majorHAnsi"/>
          <w:i/>
          <w:sz w:val="16"/>
          <w:szCs w:val="16"/>
        </w:rPr>
        <w:t>r.</w:t>
      </w:r>
      <w:r w:rsidRPr="00F25EBD">
        <w:rPr>
          <w:rFonts w:asciiTheme="majorHAnsi" w:hAnsiTheme="majorHAnsi" w:cstheme="majorHAnsi"/>
          <w:i/>
          <w:sz w:val="16"/>
          <w:szCs w:val="16"/>
        </w:rPr>
        <w:t>, zmieniła status z gminy wiejskiej na miejsko-wiejską</w:t>
      </w:r>
    </w:p>
    <w:p w14:paraId="3DADC32C" w14:textId="77777777" w:rsidR="00EA2B5F" w:rsidRPr="00F25EBD" w:rsidRDefault="00EA2B5F" w:rsidP="00374AD6">
      <w:pPr>
        <w:pStyle w:val="rdo"/>
      </w:pPr>
      <w:r w:rsidRPr="00F25EBD">
        <w:t xml:space="preserve">Źródło: </w:t>
      </w:r>
      <w:r w:rsidRPr="00F25EBD">
        <w:rPr>
          <w:iCs/>
        </w:rPr>
        <w:t>Plan Zagospodarowania Przestrzennego Województwa Warmińsko-Mazurskiego</w:t>
      </w:r>
      <w:r w:rsidRPr="00F25EBD">
        <w:t>. 2018. Warmińsko-Mazurskie Biuro Planowania Przestrzennego, Olsztyn.</w:t>
      </w:r>
    </w:p>
    <w:p w14:paraId="4E25442D" w14:textId="77777777" w:rsidR="00EA2B5F" w:rsidRPr="00F25EBD" w:rsidRDefault="00EA2B5F" w:rsidP="00FC7062">
      <w:pPr>
        <w:spacing w:after="0" w:line="276" w:lineRule="auto"/>
        <w:jc w:val="both"/>
        <w:rPr>
          <w:rFonts w:asciiTheme="majorHAnsi" w:hAnsiTheme="majorHAnsi" w:cstheme="majorHAnsi"/>
        </w:rPr>
      </w:pPr>
    </w:p>
    <w:p w14:paraId="06B56059" w14:textId="77777777" w:rsidR="00EA2B5F" w:rsidRPr="00F25EBD" w:rsidRDefault="00EA2B5F" w:rsidP="00FC7062">
      <w:pPr>
        <w:spacing w:after="0" w:line="276" w:lineRule="auto"/>
        <w:jc w:val="both"/>
        <w:rPr>
          <w:rFonts w:asciiTheme="majorHAnsi" w:hAnsiTheme="majorHAnsi" w:cstheme="majorHAnsi"/>
        </w:rPr>
      </w:pPr>
      <w:r w:rsidRPr="00F25EBD">
        <w:rPr>
          <w:rFonts w:asciiTheme="majorHAnsi" w:hAnsiTheme="majorHAnsi" w:cstheme="majorHAnsi"/>
        </w:rPr>
        <w:t>Największą jednostką terytorialną Południowych Mazur jest powiat szczycieński (</w:t>
      </w:r>
      <w:r w:rsidRPr="00F25EBD">
        <w:rPr>
          <w:rFonts w:asciiTheme="majorHAnsi" w:eastAsia="Times New Roman" w:hAnsiTheme="majorHAnsi" w:cstheme="majorHAnsi"/>
          <w:lang w:eastAsia="pl-PL"/>
        </w:rPr>
        <w:t>1.933 km</w:t>
      </w:r>
      <w:r w:rsidRPr="00F25EBD">
        <w:rPr>
          <w:rFonts w:asciiTheme="majorHAnsi" w:eastAsia="Times New Roman" w:hAnsiTheme="majorHAnsi" w:cstheme="majorHAnsi"/>
          <w:vertAlign w:val="superscript"/>
          <w:lang w:eastAsia="pl-PL"/>
        </w:rPr>
        <w:t>2</w:t>
      </w:r>
      <w:r w:rsidRPr="00F25EBD">
        <w:rPr>
          <w:rFonts w:asciiTheme="majorHAnsi" w:hAnsiTheme="majorHAnsi" w:cstheme="majorHAnsi"/>
        </w:rPr>
        <w:t>), drugi pod względem powierzchni powiat województwa, natomiast najmniejszą</w:t>
      </w:r>
      <w:r w:rsidR="00336D76" w:rsidRPr="00F25EBD">
        <w:rPr>
          <w:rFonts w:asciiTheme="majorHAnsi" w:hAnsiTheme="majorHAnsi" w:cstheme="majorHAnsi"/>
        </w:rPr>
        <w:t xml:space="preserve"> - </w:t>
      </w:r>
      <w:r w:rsidRPr="00F25EBD">
        <w:rPr>
          <w:rFonts w:asciiTheme="majorHAnsi" w:hAnsiTheme="majorHAnsi" w:cstheme="majorHAnsi"/>
        </w:rPr>
        <w:t>powiat działdowski (954 km</w:t>
      </w:r>
      <w:r w:rsidRPr="00F25EBD">
        <w:rPr>
          <w:rFonts w:asciiTheme="majorHAnsi" w:hAnsiTheme="majorHAnsi" w:cstheme="majorHAnsi"/>
          <w:vertAlign w:val="superscript"/>
        </w:rPr>
        <w:t>2</w:t>
      </w:r>
      <w:r w:rsidRPr="00F25EBD">
        <w:rPr>
          <w:rFonts w:asciiTheme="majorHAnsi" w:hAnsiTheme="majorHAnsi" w:cstheme="majorHAnsi"/>
        </w:rPr>
        <w:t>; 14. miejsce w regionie). W skład analizowanego obszaru wchodzi też największa obszarowo gmina w Polsce, tj. Pisz (634 km</w:t>
      </w:r>
      <w:r w:rsidRPr="00F25EBD">
        <w:rPr>
          <w:rFonts w:asciiTheme="majorHAnsi" w:hAnsiTheme="majorHAnsi" w:cstheme="majorHAnsi"/>
          <w:vertAlign w:val="superscript"/>
        </w:rPr>
        <w:t>2</w:t>
      </w:r>
      <w:r w:rsidRPr="00F25EBD">
        <w:rPr>
          <w:rFonts w:asciiTheme="majorHAnsi" w:hAnsiTheme="majorHAnsi" w:cstheme="majorHAnsi"/>
        </w:rPr>
        <w:t>)</w:t>
      </w:r>
      <w:r w:rsidRPr="00F25EBD">
        <w:rPr>
          <w:rStyle w:val="Odwoanieprzypisudolnego"/>
          <w:rFonts w:asciiTheme="majorHAnsi" w:hAnsiTheme="majorHAnsi" w:cstheme="majorHAnsi"/>
        </w:rPr>
        <w:footnoteReference w:id="9"/>
      </w:r>
      <w:r w:rsidRPr="00F25EBD">
        <w:rPr>
          <w:rFonts w:asciiTheme="majorHAnsi" w:hAnsiTheme="majorHAnsi" w:cstheme="majorHAnsi"/>
        </w:rPr>
        <w:t xml:space="preserve"> (tab.). </w:t>
      </w:r>
    </w:p>
    <w:p w14:paraId="1B3A1327" w14:textId="4261E983" w:rsidR="00EA2B5F" w:rsidRPr="00F25EBD" w:rsidRDefault="00EA2B5F" w:rsidP="000E5B5A">
      <w:pPr>
        <w:pStyle w:val="nad"/>
      </w:pPr>
      <w:bookmarkStart w:id="11" w:name="_Toc81300527"/>
      <w:r w:rsidRPr="00F25EBD">
        <w:t xml:space="preserve">Tabela </w:t>
      </w:r>
      <w:r w:rsidRPr="00F25EBD">
        <w:rPr>
          <w:noProof/>
        </w:rPr>
        <w:fldChar w:fldCharType="begin"/>
      </w:r>
      <w:r w:rsidRPr="00F25EBD">
        <w:rPr>
          <w:noProof/>
        </w:rPr>
        <w:instrText xml:space="preserve"> SEQ Tabela \* ARABIC </w:instrText>
      </w:r>
      <w:r w:rsidRPr="00F25EBD">
        <w:rPr>
          <w:noProof/>
        </w:rPr>
        <w:fldChar w:fldCharType="separate"/>
      </w:r>
      <w:r w:rsidR="006C7815">
        <w:rPr>
          <w:noProof/>
        </w:rPr>
        <w:t>1</w:t>
      </w:r>
      <w:r w:rsidRPr="00F25EBD">
        <w:rPr>
          <w:noProof/>
        </w:rPr>
        <w:fldChar w:fldCharType="end"/>
      </w:r>
      <w:r w:rsidRPr="00F25EBD">
        <w:t xml:space="preserve">. </w:t>
      </w:r>
      <w:bookmarkStart w:id="12" w:name="_Hlk50719244"/>
      <w:r w:rsidRPr="00F25EBD">
        <w:t>Powierzchnia jednostek administracyjnych obszaru funkcjonalnego Południowe Mazury w 2019</w:t>
      </w:r>
      <w:r w:rsidR="00F7062F">
        <w:t>r.</w:t>
      </w:r>
      <w:bookmarkEnd w:id="11"/>
      <w:bookmarkEnd w:id="12"/>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496"/>
        <w:gridCol w:w="3496"/>
        <w:gridCol w:w="2080"/>
      </w:tblGrid>
      <w:tr w:rsidR="00374AD6" w:rsidRPr="00374AD6" w14:paraId="51C502E3" w14:textId="77777777" w:rsidTr="00374AD6">
        <w:trPr>
          <w:trHeight w:val="576"/>
          <w:tblHeader/>
          <w:jc w:val="center"/>
        </w:trPr>
        <w:tc>
          <w:tcPr>
            <w:tcW w:w="2620" w:type="dxa"/>
            <w:tcBorders>
              <w:top w:val="single" w:sz="4" w:space="0" w:color="FFFFFF" w:themeColor="background1"/>
              <w:left w:val="single" w:sz="4" w:space="0" w:color="FFFFFF" w:themeColor="background1"/>
              <w:bottom w:val="nil"/>
              <w:right w:val="single" w:sz="4" w:space="0" w:color="FFFFFF" w:themeColor="background1"/>
            </w:tcBorders>
            <w:shd w:val="clear" w:color="auto" w:fill="92D050"/>
            <w:vAlign w:val="center"/>
            <w:hideMark/>
          </w:tcPr>
          <w:p w14:paraId="1DFD7F3C" w14:textId="77777777" w:rsidR="00EA2B5F" w:rsidRPr="00374AD6" w:rsidRDefault="00EA2B5F" w:rsidP="00374AD6">
            <w:pPr>
              <w:spacing w:after="0" w:line="240" w:lineRule="auto"/>
              <w:jc w:val="center"/>
              <w:rPr>
                <w:rFonts w:asciiTheme="majorHAnsi" w:eastAsia="Times New Roman" w:hAnsiTheme="majorHAnsi" w:cstheme="majorHAnsi"/>
                <w:color w:val="FFFFFF" w:themeColor="background1"/>
                <w:sz w:val="20"/>
                <w:szCs w:val="20"/>
                <w:lang w:eastAsia="pl-PL"/>
              </w:rPr>
            </w:pPr>
            <w:r w:rsidRPr="00374AD6">
              <w:rPr>
                <w:rFonts w:asciiTheme="majorHAnsi" w:eastAsia="Times New Roman" w:hAnsiTheme="majorHAnsi" w:cstheme="majorHAnsi"/>
                <w:color w:val="FFFFFF" w:themeColor="background1"/>
                <w:sz w:val="20"/>
                <w:szCs w:val="20"/>
                <w:lang w:eastAsia="pl-PL"/>
              </w:rPr>
              <w:t>Nazwa</w:t>
            </w:r>
          </w:p>
        </w:tc>
        <w:tc>
          <w:tcPr>
            <w:tcW w:w="2620" w:type="dxa"/>
            <w:tcBorders>
              <w:top w:val="single" w:sz="4" w:space="0" w:color="FFFFFF" w:themeColor="background1"/>
              <w:left w:val="single" w:sz="4" w:space="0" w:color="FFFFFF" w:themeColor="background1"/>
              <w:bottom w:val="nil"/>
              <w:right w:val="single" w:sz="4" w:space="0" w:color="FFFFFF" w:themeColor="background1"/>
            </w:tcBorders>
            <w:shd w:val="clear" w:color="auto" w:fill="92D050"/>
            <w:vAlign w:val="center"/>
            <w:hideMark/>
          </w:tcPr>
          <w:p w14:paraId="2106DFE4" w14:textId="77777777" w:rsidR="00EA2B5F" w:rsidRPr="00374AD6" w:rsidRDefault="00EA2B5F" w:rsidP="00374AD6">
            <w:pPr>
              <w:spacing w:after="0" w:line="240" w:lineRule="auto"/>
              <w:jc w:val="center"/>
              <w:rPr>
                <w:rFonts w:asciiTheme="majorHAnsi" w:eastAsia="Times New Roman" w:hAnsiTheme="majorHAnsi" w:cstheme="majorHAnsi"/>
                <w:color w:val="FFFFFF" w:themeColor="background1"/>
                <w:sz w:val="20"/>
                <w:szCs w:val="20"/>
                <w:lang w:eastAsia="pl-PL"/>
              </w:rPr>
            </w:pPr>
            <w:r w:rsidRPr="00374AD6">
              <w:rPr>
                <w:rFonts w:asciiTheme="majorHAnsi" w:eastAsia="Times New Roman" w:hAnsiTheme="majorHAnsi" w:cstheme="majorHAnsi"/>
                <w:color w:val="FFFFFF" w:themeColor="background1"/>
                <w:sz w:val="20"/>
                <w:szCs w:val="20"/>
                <w:lang w:eastAsia="pl-PL"/>
              </w:rPr>
              <w:t>Typ gminy</w:t>
            </w:r>
          </w:p>
        </w:tc>
        <w:tc>
          <w:tcPr>
            <w:tcW w:w="1559" w:type="dxa"/>
            <w:tcBorders>
              <w:top w:val="single" w:sz="4" w:space="0" w:color="FFFFFF" w:themeColor="background1"/>
              <w:left w:val="single" w:sz="4" w:space="0" w:color="FFFFFF" w:themeColor="background1"/>
              <w:bottom w:val="nil"/>
              <w:right w:val="single" w:sz="4" w:space="0" w:color="FFFFFF" w:themeColor="background1"/>
            </w:tcBorders>
            <w:shd w:val="clear" w:color="auto" w:fill="92D050"/>
            <w:vAlign w:val="center"/>
            <w:hideMark/>
          </w:tcPr>
          <w:p w14:paraId="1FC7DF0F" w14:textId="77777777" w:rsidR="00EA2B5F" w:rsidRPr="00374AD6" w:rsidRDefault="00EA2B5F" w:rsidP="00374AD6">
            <w:pPr>
              <w:spacing w:after="0" w:line="240" w:lineRule="auto"/>
              <w:jc w:val="center"/>
              <w:rPr>
                <w:rFonts w:asciiTheme="majorHAnsi" w:eastAsia="Times New Roman" w:hAnsiTheme="majorHAnsi" w:cstheme="majorHAnsi"/>
                <w:color w:val="FFFFFF" w:themeColor="background1"/>
                <w:sz w:val="20"/>
                <w:szCs w:val="20"/>
                <w:lang w:eastAsia="pl-PL"/>
              </w:rPr>
            </w:pPr>
            <w:r w:rsidRPr="00374AD6">
              <w:rPr>
                <w:rFonts w:asciiTheme="majorHAnsi" w:eastAsia="Times New Roman" w:hAnsiTheme="majorHAnsi" w:cstheme="majorHAnsi"/>
                <w:color w:val="FFFFFF" w:themeColor="background1"/>
                <w:sz w:val="20"/>
                <w:szCs w:val="20"/>
                <w:lang w:eastAsia="pl-PL"/>
              </w:rPr>
              <w:t xml:space="preserve">Powierzchnia </w:t>
            </w:r>
            <w:r w:rsidRPr="00374AD6">
              <w:rPr>
                <w:rFonts w:asciiTheme="majorHAnsi" w:eastAsia="Times New Roman" w:hAnsiTheme="majorHAnsi" w:cstheme="majorHAnsi"/>
                <w:color w:val="FFFFFF" w:themeColor="background1"/>
                <w:sz w:val="20"/>
                <w:szCs w:val="20"/>
                <w:lang w:eastAsia="pl-PL"/>
              </w:rPr>
              <w:br/>
              <w:t>w km</w:t>
            </w:r>
            <w:r w:rsidRPr="00374AD6">
              <w:rPr>
                <w:rFonts w:asciiTheme="majorHAnsi" w:eastAsia="Times New Roman" w:hAnsiTheme="majorHAnsi" w:cstheme="majorHAnsi"/>
                <w:color w:val="FFFFFF" w:themeColor="background1"/>
                <w:sz w:val="20"/>
                <w:szCs w:val="20"/>
                <w:vertAlign w:val="superscript"/>
                <w:lang w:eastAsia="pl-PL"/>
              </w:rPr>
              <w:t>2</w:t>
            </w:r>
          </w:p>
        </w:tc>
      </w:tr>
      <w:tr w:rsidR="00EA2B5F" w:rsidRPr="00F25EBD" w14:paraId="5810644E" w14:textId="77777777" w:rsidTr="00374AD6">
        <w:trPr>
          <w:trHeight w:val="288"/>
          <w:jc w:val="center"/>
        </w:trPr>
        <w:tc>
          <w:tcPr>
            <w:tcW w:w="5240" w:type="dxa"/>
            <w:gridSpan w:val="2"/>
            <w:tcBorders>
              <w:top w:val="nil"/>
              <w:left w:val="nil"/>
              <w:bottom w:val="single" w:sz="4" w:space="0" w:color="A6A6A6" w:themeColor="background1" w:themeShade="A6"/>
              <w:right w:val="nil"/>
            </w:tcBorders>
            <w:shd w:val="clear" w:color="auto" w:fill="DEEAF6" w:themeFill="accent1" w:themeFillTint="33"/>
            <w:noWrap/>
            <w:vAlign w:val="bottom"/>
            <w:hideMark/>
          </w:tcPr>
          <w:p w14:paraId="0E0CA066" w14:textId="77777777" w:rsidR="00EA2B5F" w:rsidRPr="00F25EBD" w:rsidRDefault="00EA2B5F" w:rsidP="00374AD6">
            <w:pPr>
              <w:spacing w:after="0" w:line="240" w:lineRule="auto"/>
              <w:rPr>
                <w:rFonts w:asciiTheme="majorHAnsi" w:eastAsia="Times New Roman" w:hAnsiTheme="majorHAnsi" w:cstheme="majorHAnsi"/>
                <w:sz w:val="20"/>
                <w:szCs w:val="20"/>
                <w:lang w:eastAsia="pl-PL"/>
              </w:rPr>
            </w:pPr>
            <w:r w:rsidRPr="00F25EBD">
              <w:rPr>
                <w:rFonts w:asciiTheme="majorHAnsi" w:eastAsia="Times New Roman" w:hAnsiTheme="majorHAnsi" w:cstheme="majorHAnsi"/>
                <w:sz w:val="20"/>
                <w:szCs w:val="20"/>
                <w:lang w:eastAsia="pl-PL"/>
              </w:rPr>
              <w:t>Powiat działdowski</w:t>
            </w:r>
          </w:p>
        </w:tc>
        <w:tc>
          <w:tcPr>
            <w:tcW w:w="1559" w:type="dxa"/>
            <w:tcBorders>
              <w:top w:val="nil"/>
              <w:left w:val="nil"/>
              <w:bottom w:val="single" w:sz="4" w:space="0" w:color="A6A6A6" w:themeColor="background1" w:themeShade="A6"/>
              <w:right w:val="nil"/>
            </w:tcBorders>
            <w:shd w:val="clear" w:color="auto" w:fill="DEEAF6" w:themeFill="accent1" w:themeFillTint="33"/>
            <w:noWrap/>
            <w:vAlign w:val="bottom"/>
            <w:hideMark/>
          </w:tcPr>
          <w:p w14:paraId="15722C0B" w14:textId="77777777" w:rsidR="00EA2B5F" w:rsidRPr="00F25EBD" w:rsidRDefault="00EA2B5F" w:rsidP="00374AD6">
            <w:pPr>
              <w:spacing w:after="0" w:line="240" w:lineRule="auto"/>
              <w:ind w:right="503"/>
              <w:jc w:val="right"/>
              <w:rPr>
                <w:rFonts w:asciiTheme="majorHAnsi" w:eastAsia="Times New Roman" w:hAnsiTheme="majorHAnsi" w:cstheme="majorHAnsi"/>
                <w:sz w:val="20"/>
                <w:szCs w:val="20"/>
                <w:lang w:eastAsia="pl-PL"/>
              </w:rPr>
            </w:pPr>
            <w:r w:rsidRPr="00F25EBD">
              <w:rPr>
                <w:rFonts w:asciiTheme="majorHAnsi" w:eastAsia="Times New Roman" w:hAnsiTheme="majorHAnsi" w:cstheme="majorHAnsi"/>
                <w:sz w:val="20"/>
                <w:szCs w:val="20"/>
                <w:lang w:eastAsia="pl-PL"/>
              </w:rPr>
              <w:t>954</w:t>
            </w:r>
          </w:p>
        </w:tc>
      </w:tr>
      <w:tr w:rsidR="00EA2B5F" w:rsidRPr="00F25EBD" w14:paraId="7C1458B1" w14:textId="77777777" w:rsidTr="00374AD6">
        <w:trPr>
          <w:trHeight w:val="288"/>
          <w:jc w:val="center"/>
        </w:trPr>
        <w:tc>
          <w:tcPr>
            <w:tcW w:w="2620" w:type="dxa"/>
            <w:tcBorders>
              <w:top w:val="single" w:sz="4" w:space="0" w:color="A6A6A6" w:themeColor="background1" w:themeShade="A6"/>
              <w:left w:val="nil"/>
              <w:bottom w:val="single" w:sz="4" w:space="0" w:color="A6A6A6" w:themeColor="background1" w:themeShade="A6"/>
              <w:right w:val="nil"/>
            </w:tcBorders>
            <w:shd w:val="clear" w:color="auto" w:fill="auto"/>
            <w:noWrap/>
            <w:vAlign w:val="bottom"/>
            <w:hideMark/>
          </w:tcPr>
          <w:p w14:paraId="07E4FB07" w14:textId="77777777" w:rsidR="00EA2B5F" w:rsidRPr="00F25EBD" w:rsidRDefault="00EA2B5F" w:rsidP="00374AD6">
            <w:pPr>
              <w:spacing w:after="0" w:line="240" w:lineRule="auto"/>
              <w:rPr>
                <w:rFonts w:asciiTheme="majorHAnsi" w:eastAsia="Times New Roman" w:hAnsiTheme="majorHAnsi" w:cstheme="majorHAnsi"/>
                <w:sz w:val="20"/>
                <w:szCs w:val="20"/>
                <w:lang w:eastAsia="pl-PL"/>
              </w:rPr>
            </w:pPr>
            <w:r w:rsidRPr="00F25EBD">
              <w:rPr>
                <w:rFonts w:asciiTheme="majorHAnsi" w:eastAsia="Times New Roman" w:hAnsiTheme="majorHAnsi" w:cstheme="majorHAnsi"/>
                <w:sz w:val="20"/>
                <w:szCs w:val="20"/>
                <w:lang w:eastAsia="pl-PL"/>
              </w:rPr>
              <w:t xml:space="preserve">Działdowo </w:t>
            </w:r>
          </w:p>
        </w:tc>
        <w:tc>
          <w:tcPr>
            <w:tcW w:w="2620" w:type="dxa"/>
            <w:tcBorders>
              <w:top w:val="single" w:sz="4" w:space="0" w:color="A6A6A6" w:themeColor="background1" w:themeShade="A6"/>
              <w:left w:val="nil"/>
              <w:bottom w:val="single" w:sz="4" w:space="0" w:color="A6A6A6" w:themeColor="background1" w:themeShade="A6"/>
              <w:right w:val="nil"/>
            </w:tcBorders>
            <w:shd w:val="clear" w:color="auto" w:fill="auto"/>
            <w:noWrap/>
            <w:vAlign w:val="bottom"/>
            <w:hideMark/>
          </w:tcPr>
          <w:p w14:paraId="767EE43A" w14:textId="77777777" w:rsidR="00EA2B5F" w:rsidRPr="00F25EBD" w:rsidRDefault="00EA2B5F" w:rsidP="00374AD6">
            <w:pPr>
              <w:spacing w:after="0" w:line="240" w:lineRule="auto"/>
              <w:jc w:val="center"/>
              <w:rPr>
                <w:rFonts w:asciiTheme="majorHAnsi" w:eastAsia="Times New Roman" w:hAnsiTheme="majorHAnsi" w:cstheme="majorHAnsi"/>
                <w:sz w:val="20"/>
                <w:szCs w:val="20"/>
                <w:lang w:eastAsia="pl-PL"/>
              </w:rPr>
            </w:pPr>
            <w:r w:rsidRPr="00F25EBD">
              <w:rPr>
                <w:rFonts w:asciiTheme="majorHAnsi" w:eastAsia="Times New Roman" w:hAnsiTheme="majorHAnsi" w:cstheme="majorHAnsi"/>
                <w:sz w:val="20"/>
                <w:szCs w:val="20"/>
                <w:lang w:eastAsia="pl-PL"/>
              </w:rPr>
              <w:t>miejska</w:t>
            </w:r>
          </w:p>
        </w:tc>
        <w:tc>
          <w:tcPr>
            <w:tcW w:w="1559" w:type="dxa"/>
            <w:tcBorders>
              <w:top w:val="single" w:sz="4" w:space="0" w:color="A6A6A6" w:themeColor="background1" w:themeShade="A6"/>
              <w:left w:val="nil"/>
              <w:bottom w:val="single" w:sz="4" w:space="0" w:color="A6A6A6" w:themeColor="background1" w:themeShade="A6"/>
              <w:right w:val="nil"/>
            </w:tcBorders>
            <w:shd w:val="clear" w:color="auto" w:fill="auto"/>
            <w:noWrap/>
            <w:vAlign w:val="bottom"/>
            <w:hideMark/>
          </w:tcPr>
          <w:p w14:paraId="7D06771C" w14:textId="77777777" w:rsidR="00EA2B5F" w:rsidRPr="00F25EBD" w:rsidRDefault="00EA2B5F" w:rsidP="00374AD6">
            <w:pPr>
              <w:spacing w:after="0" w:line="240" w:lineRule="auto"/>
              <w:ind w:right="503"/>
              <w:jc w:val="right"/>
              <w:rPr>
                <w:rFonts w:asciiTheme="majorHAnsi" w:eastAsia="Times New Roman" w:hAnsiTheme="majorHAnsi" w:cstheme="majorHAnsi"/>
                <w:sz w:val="20"/>
                <w:szCs w:val="20"/>
                <w:lang w:eastAsia="pl-PL"/>
              </w:rPr>
            </w:pPr>
            <w:r w:rsidRPr="00F25EBD">
              <w:rPr>
                <w:rFonts w:asciiTheme="majorHAnsi" w:eastAsia="Times New Roman" w:hAnsiTheme="majorHAnsi" w:cstheme="majorHAnsi"/>
                <w:sz w:val="20"/>
                <w:szCs w:val="20"/>
                <w:lang w:eastAsia="pl-PL"/>
              </w:rPr>
              <w:t>11</w:t>
            </w:r>
          </w:p>
        </w:tc>
      </w:tr>
      <w:tr w:rsidR="00EA2B5F" w:rsidRPr="00F25EBD" w14:paraId="4D2DC279" w14:textId="77777777" w:rsidTr="00374AD6">
        <w:trPr>
          <w:trHeight w:val="288"/>
          <w:jc w:val="center"/>
        </w:trPr>
        <w:tc>
          <w:tcPr>
            <w:tcW w:w="2620" w:type="dxa"/>
            <w:tcBorders>
              <w:top w:val="single" w:sz="4" w:space="0" w:color="A6A6A6" w:themeColor="background1" w:themeShade="A6"/>
              <w:left w:val="nil"/>
              <w:bottom w:val="single" w:sz="4" w:space="0" w:color="A6A6A6" w:themeColor="background1" w:themeShade="A6"/>
              <w:right w:val="nil"/>
            </w:tcBorders>
            <w:shd w:val="clear" w:color="auto" w:fill="auto"/>
            <w:noWrap/>
            <w:vAlign w:val="bottom"/>
            <w:hideMark/>
          </w:tcPr>
          <w:p w14:paraId="339B7151" w14:textId="77777777" w:rsidR="00EA2B5F" w:rsidRPr="00F25EBD" w:rsidRDefault="00EA2B5F" w:rsidP="00374AD6">
            <w:pPr>
              <w:spacing w:after="0" w:line="240" w:lineRule="auto"/>
              <w:rPr>
                <w:rFonts w:asciiTheme="majorHAnsi" w:eastAsia="Times New Roman" w:hAnsiTheme="majorHAnsi" w:cstheme="majorHAnsi"/>
                <w:sz w:val="20"/>
                <w:szCs w:val="20"/>
                <w:lang w:eastAsia="pl-PL"/>
              </w:rPr>
            </w:pPr>
            <w:r w:rsidRPr="00F25EBD">
              <w:rPr>
                <w:rFonts w:asciiTheme="majorHAnsi" w:eastAsia="Times New Roman" w:hAnsiTheme="majorHAnsi" w:cstheme="majorHAnsi"/>
                <w:sz w:val="20"/>
                <w:szCs w:val="20"/>
                <w:lang w:eastAsia="pl-PL"/>
              </w:rPr>
              <w:t xml:space="preserve">Działdowo </w:t>
            </w:r>
          </w:p>
        </w:tc>
        <w:tc>
          <w:tcPr>
            <w:tcW w:w="2620" w:type="dxa"/>
            <w:tcBorders>
              <w:top w:val="single" w:sz="4" w:space="0" w:color="A6A6A6" w:themeColor="background1" w:themeShade="A6"/>
              <w:left w:val="nil"/>
              <w:bottom w:val="single" w:sz="4" w:space="0" w:color="A6A6A6" w:themeColor="background1" w:themeShade="A6"/>
              <w:right w:val="nil"/>
            </w:tcBorders>
            <w:shd w:val="clear" w:color="auto" w:fill="auto"/>
            <w:noWrap/>
            <w:vAlign w:val="bottom"/>
            <w:hideMark/>
          </w:tcPr>
          <w:p w14:paraId="6D57035E" w14:textId="77777777" w:rsidR="00EA2B5F" w:rsidRPr="00F25EBD" w:rsidRDefault="00EA2B5F" w:rsidP="00374AD6">
            <w:pPr>
              <w:spacing w:after="0" w:line="240" w:lineRule="auto"/>
              <w:jc w:val="center"/>
              <w:rPr>
                <w:rFonts w:asciiTheme="majorHAnsi" w:eastAsia="Times New Roman" w:hAnsiTheme="majorHAnsi" w:cstheme="majorHAnsi"/>
                <w:sz w:val="20"/>
                <w:szCs w:val="20"/>
                <w:lang w:eastAsia="pl-PL"/>
              </w:rPr>
            </w:pPr>
            <w:r w:rsidRPr="00F25EBD">
              <w:rPr>
                <w:rFonts w:asciiTheme="majorHAnsi" w:eastAsia="Times New Roman" w:hAnsiTheme="majorHAnsi" w:cstheme="majorHAnsi"/>
                <w:sz w:val="20"/>
                <w:szCs w:val="20"/>
                <w:lang w:eastAsia="pl-PL"/>
              </w:rPr>
              <w:t>wiejska</w:t>
            </w:r>
          </w:p>
        </w:tc>
        <w:tc>
          <w:tcPr>
            <w:tcW w:w="1559" w:type="dxa"/>
            <w:tcBorders>
              <w:top w:val="single" w:sz="4" w:space="0" w:color="A6A6A6" w:themeColor="background1" w:themeShade="A6"/>
              <w:left w:val="nil"/>
              <w:bottom w:val="single" w:sz="4" w:space="0" w:color="A6A6A6" w:themeColor="background1" w:themeShade="A6"/>
              <w:right w:val="nil"/>
            </w:tcBorders>
            <w:shd w:val="clear" w:color="auto" w:fill="auto"/>
            <w:noWrap/>
            <w:vAlign w:val="bottom"/>
            <w:hideMark/>
          </w:tcPr>
          <w:p w14:paraId="3E293046" w14:textId="77777777" w:rsidR="00EA2B5F" w:rsidRPr="00F25EBD" w:rsidRDefault="00EA2B5F" w:rsidP="00374AD6">
            <w:pPr>
              <w:spacing w:after="0" w:line="240" w:lineRule="auto"/>
              <w:ind w:right="503"/>
              <w:jc w:val="right"/>
              <w:rPr>
                <w:rFonts w:asciiTheme="majorHAnsi" w:eastAsia="Times New Roman" w:hAnsiTheme="majorHAnsi" w:cstheme="majorHAnsi"/>
                <w:sz w:val="20"/>
                <w:szCs w:val="20"/>
                <w:lang w:eastAsia="pl-PL"/>
              </w:rPr>
            </w:pPr>
            <w:r w:rsidRPr="00F25EBD">
              <w:rPr>
                <w:rFonts w:asciiTheme="majorHAnsi" w:eastAsia="Times New Roman" w:hAnsiTheme="majorHAnsi" w:cstheme="majorHAnsi"/>
                <w:sz w:val="20"/>
                <w:szCs w:val="20"/>
                <w:lang w:eastAsia="pl-PL"/>
              </w:rPr>
              <w:t>273</w:t>
            </w:r>
          </w:p>
        </w:tc>
      </w:tr>
      <w:tr w:rsidR="00EA2B5F" w:rsidRPr="00F25EBD" w14:paraId="68CDC948" w14:textId="77777777" w:rsidTr="00374AD6">
        <w:trPr>
          <w:trHeight w:val="288"/>
          <w:jc w:val="center"/>
        </w:trPr>
        <w:tc>
          <w:tcPr>
            <w:tcW w:w="2620" w:type="dxa"/>
            <w:tcBorders>
              <w:top w:val="single" w:sz="4" w:space="0" w:color="A6A6A6" w:themeColor="background1" w:themeShade="A6"/>
              <w:left w:val="nil"/>
              <w:bottom w:val="single" w:sz="4" w:space="0" w:color="A6A6A6" w:themeColor="background1" w:themeShade="A6"/>
              <w:right w:val="nil"/>
            </w:tcBorders>
            <w:shd w:val="clear" w:color="auto" w:fill="auto"/>
            <w:noWrap/>
            <w:vAlign w:val="bottom"/>
            <w:hideMark/>
          </w:tcPr>
          <w:p w14:paraId="6F8A7C03" w14:textId="77777777" w:rsidR="00EA2B5F" w:rsidRPr="00F25EBD" w:rsidRDefault="00EA2B5F" w:rsidP="00374AD6">
            <w:pPr>
              <w:spacing w:after="0" w:line="240" w:lineRule="auto"/>
              <w:rPr>
                <w:rFonts w:asciiTheme="majorHAnsi" w:eastAsia="Times New Roman" w:hAnsiTheme="majorHAnsi" w:cstheme="majorHAnsi"/>
                <w:sz w:val="20"/>
                <w:szCs w:val="20"/>
                <w:lang w:eastAsia="pl-PL"/>
              </w:rPr>
            </w:pPr>
            <w:r w:rsidRPr="00F25EBD">
              <w:rPr>
                <w:rFonts w:asciiTheme="majorHAnsi" w:eastAsia="Times New Roman" w:hAnsiTheme="majorHAnsi" w:cstheme="majorHAnsi"/>
                <w:sz w:val="20"/>
                <w:szCs w:val="20"/>
                <w:lang w:eastAsia="pl-PL"/>
              </w:rPr>
              <w:t xml:space="preserve">Iłowo-Osada </w:t>
            </w:r>
          </w:p>
        </w:tc>
        <w:tc>
          <w:tcPr>
            <w:tcW w:w="2620" w:type="dxa"/>
            <w:tcBorders>
              <w:top w:val="single" w:sz="4" w:space="0" w:color="A6A6A6" w:themeColor="background1" w:themeShade="A6"/>
              <w:left w:val="nil"/>
              <w:bottom w:val="single" w:sz="4" w:space="0" w:color="A6A6A6" w:themeColor="background1" w:themeShade="A6"/>
              <w:right w:val="nil"/>
            </w:tcBorders>
            <w:shd w:val="clear" w:color="auto" w:fill="auto"/>
            <w:noWrap/>
            <w:vAlign w:val="bottom"/>
            <w:hideMark/>
          </w:tcPr>
          <w:p w14:paraId="2EC47A0C" w14:textId="77777777" w:rsidR="00EA2B5F" w:rsidRPr="00F25EBD" w:rsidRDefault="00EA2B5F" w:rsidP="00374AD6">
            <w:pPr>
              <w:spacing w:after="0" w:line="240" w:lineRule="auto"/>
              <w:jc w:val="center"/>
              <w:rPr>
                <w:rFonts w:asciiTheme="majorHAnsi" w:eastAsia="Times New Roman" w:hAnsiTheme="majorHAnsi" w:cstheme="majorHAnsi"/>
                <w:sz w:val="20"/>
                <w:szCs w:val="20"/>
                <w:lang w:eastAsia="pl-PL"/>
              </w:rPr>
            </w:pPr>
            <w:r w:rsidRPr="00F25EBD">
              <w:rPr>
                <w:rFonts w:asciiTheme="majorHAnsi" w:eastAsia="Times New Roman" w:hAnsiTheme="majorHAnsi" w:cstheme="majorHAnsi"/>
                <w:sz w:val="20"/>
                <w:szCs w:val="20"/>
                <w:lang w:eastAsia="pl-PL"/>
              </w:rPr>
              <w:t>wiejska</w:t>
            </w:r>
          </w:p>
        </w:tc>
        <w:tc>
          <w:tcPr>
            <w:tcW w:w="1559" w:type="dxa"/>
            <w:tcBorders>
              <w:top w:val="single" w:sz="4" w:space="0" w:color="A6A6A6" w:themeColor="background1" w:themeShade="A6"/>
              <w:left w:val="nil"/>
              <w:bottom w:val="single" w:sz="4" w:space="0" w:color="A6A6A6" w:themeColor="background1" w:themeShade="A6"/>
              <w:right w:val="nil"/>
            </w:tcBorders>
            <w:shd w:val="clear" w:color="auto" w:fill="auto"/>
            <w:noWrap/>
            <w:vAlign w:val="bottom"/>
            <w:hideMark/>
          </w:tcPr>
          <w:p w14:paraId="428AFB0C" w14:textId="77777777" w:rsidR="00EA2B5F" w:rsidRPr="00F25EBD" w:rsidRDefault="00EA2B5F" w:rsidP="00374AD6">
            <w:pPr>
              <w:spacing w:after="0" w:line="240" w:lineRule="auto"/>
              <w:ind w:right="503"/>
              <w:jc w:val="right"/>
              <w:rPr>
                <w:rFonts w:asciiTheme="majorHAnsi" w:eastAsia="Times New Roman" w:hAnsiTheme="majorHAnsi" w:cstheme="majorHAnsi"/>
                <w:sz w:val="20"/>
                <w:szCs w:val="20"/>
                <w:lang w:eastAsia="pl-PL"/>
              </w:rPr>
            </w:pPr>
            <w:r w:rsidRPr="00F25EBD">
              <w:rPr>
                <w:rFonts w:asciiTheme="majorHAnsi" w:eastAsia="Times New Roman" w:hAnsiTheme="majorHAnsi" w:cstheme="majorHAnsi"/>
                <w:sz w:val="20"/>
                <w:szCs w:val="20"/>
                <w:lang w:eastAsia="pl-PL"/>
              </w:rPr>
              <w:t>104</w:t>
            </w:r>
          </w:p>
        </w:tc>
      </w:tr>
      <w:tr w:rsidR="00EA2B5F" w:rsidRPr="00F25EBD" w14:paraId="6B211EA9" w14:textId="77777777" w:rsidTr="00374AD6">
        <w:trPr>
          <w:trHeight w:val="288"/>
          <w:jc w:val="center"/>
        </w:trPr>
        <w:tc>
          <w:tcPr>
            <w:tcW w:w="2620" w:type="dxa"/>
            <w:tcBorders>
              <w:top w:val="single" w:sz="4" w:space="0" w:color="A6A6A6" w:themeColor="background1" w:themeShade="A6"/>
              <w:left w:val="nil"/>
              <w:bottom w:val="single" w:sz="4" w:space="0" w:color="A6A6A6" w:themeColor="background1" w:themeShade="A6"/>
              <w:right w:val="nil"/>
            </w:tcBorders>
            <w:shd w:val="clear" w:color="auto" w:fill="auto"/>
            <w:noWrap/>
            <w:vAlign w:val="bottom"/>
            <w:hideMark/>
          </w:tcPr>
          <w:p w14:paraId="39AFCBC3" w14:textId="77777777" w:rsidR="00EA2B5F" w:rsidRPr="00F25EBD" w:rsidRDefault="00EA2B5F" w:rsidP="00374AD6">
            <w:pPr>
              <w:spacing w:after="0" w:line="240" w:lineRule="auto"/>
              <w:rPr>
                <w:rFonts w:asciiTheme="majorHAnsi" w:eastAsia="Times New Roman" w:hAnsiTheme="majorHAnsi" w:cstheme="majorHAnsi"/>
                <w:sz w:val="20"/>
                <w:szCs w:val="20"/>
                <w:lang w:eastAsia="pl-PL"/>
              </w:rPr>
            </w:pPr>
            <w:r w:rsidRPr="00F25EBD">
              <w:rPr>
                <w:rFonts w:asciiTheme="majorHAnsi" w:eastAsia="Times New Roman" w:hAnsiTheme="majorHAnsi" w:cstheme="majorHAnsi"/>
                <w:sz w:val="20"/>
                <w:szCs w:val="20"/>
                <w:lang w:eastAsia="pl-PL"/>
              </w:rPr>
              <w:t xml:space="preserve">Lidzbark </w:t>
            </w:r>
          </w:p>
        </w:tc>
        <w:tc>
          <w:tcPr>
            <w:tcW w:w="2620" w:type="dxa"/>
            <w:tcBorders>
              <w:top w:val="single" w:sz="4" w:space="0" w:color="A6A6A6" w:themeColor="background1" w:themeShade="A6"/>
              <w:left w:val="nil"/>
              <w:bottom w:val="single" w:sz="4" w:space="0" w:color="A6A6A6" w:themeColor="background1" w:themeShade="A6"/>
              <w:right w:val="nil"/>
            </w:tcBorders>
            <w:shd w:val="clear" w:color="auto" w:fill="auto"/>
            <w:noWrap/>
            <w:vAlign w:val="bottom"/>
            <w:hideMark/>
          </w:tcPr>
          <w:p w14:paraId="2828D44E" w14:textId="77777777" w:rsidR="00EA2B5F" w:rsidRPr="00F25EBD" w:rsidRDefault="00EA2B5F" w:rsidP="00374AD6">
            <w:pPr>
              <w:spacing w:after="0" w:line="240" w:lineRule="auto"/>
              <w:jc w:val="center"/>
              <w:rPr>
                <w:rFonts w:asciiTheme="majorHAnsi" w:eastAsia="Times New Roman" w:hAnsiTheme="majorHAnsi" w:cstheme="majorHAnsi"/>
                <w:sz w:val="20"/>
                <w:szCs w:val="20"/>
                <w:lang w:eastAsia="pl-PL"/>
              </w:rPr>
            </w:pPr>
            <w:r w:rsidRPr="00F25EBD">
              <w:rPr>
                <w:rFonts w:asciiTheme="majorHAnsi" w:eastAsia="Times New Roman" w:hAnsiTheme="majorHAnsi" w:cstheme="majorHAnsi"/>
                <w:sz w:val="20"/>
                <w:szCs w:val="20"/>
                <w:lang w:eastAsia="pl-PL"/>
              </w:rPr>
              <w:t>miejsko-wiejska</w:t>
            </w:r>
          </w:p>
        </w:tc>
        <w:tc>
          <w:tcPr>
            <w:tcW w:w="1559" w:type="dxa"/>
            <w:tcBorders>
              <w:top w:val="single" w:sz="4" w:space="0" w:color="A6A6A6" w:themeColor="background1" w:themeShade="A6"/>
              <w:left w:val="nil"/>
              <w:bottom w:val="single" w:sz="4" w:space="0" w:color="A6A6A6" w:themeColor="background1" w:themeShade="A6"/>
              <w:right w:val="nil"/>
            </w:tcBorders>
            <w:shd w:val="clear" w:color="auto" w:fill="auto"/>
            <w:noWrap/>
            <w:vAlign w:val="bottom"/>
            <w:hideMark/>
          </w:tcPr>
          <w:p w14:paraId="41656D5B" w14:textId="77777777" w:rsidR="00EA2B5F" w:rsidRPr="00F25EBD" w:rsidRDefault="00EA2B5F" w:rsidP="00374AD6">
            <w:pPr>
              <w:spacing w:after="0" w:line="240" w:lineRule="auto"/>
              <w:ind w:right="503"/>
              <w:jc w:val="right"/>
              <w:rPr>
                <w:rFonts w:asciiTheme="majorHAnsi" w:eastAsia="Times New Roman" w:hAnsiTheme="majorHAnsi" w:cstheme="majorHAnsi"/>
                <w:sz w:val="20"/>
                <w:szCs w:val="20"/>
                <w:lang w:eastAsia="pl-PL"/>
              </w:rPr>
            </w:pPr>
            <w:r w:rsidRPr="00F25EBD">
              <w:rPr>
                <w:rFonts w:asciiTheme="majorHAnsi" w:eastAsia="Times New Roman" w:hAnsiTheme="majorHAnsi" w:cstheme="majorHAnsi"/>
                <w:sz w:val="20"/>
                <w:szCs w:val="20"/>
                <w:lang w:eastAsia="pl-PL"/>
              </w:rPr>
              <w:t>255</w:t>
            </w:r>
          </w:p>
        </w:tc>
      </w:tr>
      <w:tr w:rsidR="00EA2B5F" w:rsidRPr="00F25EBD" w14:paraId="1BB27168" w14:textId="77777777" w:rsidTr="00374AD6">
        <w:trPr>
          <w:trHeight w:val="288"/>
          <w:jc w:val="center"/>
        </w:trPr>
        <w:tc>
          <w:tcPr>
            <w:tcW w:w="2620" w:type="dxa"/>
            <w:tcBorders>
              <w:top w:val="single" w:sz="4" w:space="0" w:color="A6A6A6" w:themeColor="background1" w:themeShade="A6"/>
              <w:left w:val="nil"/>
              <w:bottom w:val="single" w:sz="4" w:space="0" w:color="A6A6A6" w:themeColor="background1" w:themeShade="A6"/>
              <w:right w:val="nil"/>
            </w:tcBorders>
            <w:shd w:val="clear" w:color="auto" w:fill="auto"/>
            <w:noWrap/>
            <w:vAlign w:val="bottom"/>
            <w:hideMark/>
          </w:tcPr>
          <w:p w14:paraId="70A23B18" w14:textId="77777777" w:rsidR="00EA2B5F" w:rsidRPr="00F25EBD" w:rsidRDefault="00EA2B5F" w:rsidP="00374AD6">
            <w:pPr>
              <w:spacing w:after="0" w:line="240" w:lineRule="auto"/>
              <w:rPr>
                <w:rFonts w:asciiTheme="majorHAnsi" w:eastAsia="Times New Roman" w:hAnsiTheme="majorHAnsi" w:cstheme="majorHAnsi"/>
                <w:sz w:val="20"/>
                <w:szCs w:val="20"/>
                <w:lang w:eastAsia="pl-PL"/>
              </w:rPr>
            </w:pPr>
            <w:r w:rsidRPr="00F25EBD">
              <w:rPr>
                <w:rFonts w:asciiTheme="majorHAnsi" w:eastAsia="Times New Roman" w:hAnsiTheme="majorHAnsi" w:cstheme="majorHAnsi"/>
                <w:sz w:val="20"/>
                <w:szCs w:val="20"/>
                <w:lang w:eastAsia="pl-PL"/>
              </w:rPr>
              <w:t xml:space="preserve">Płośnica </w:t>
            </w:r>
          </w:p>
        </w:tc>
        <w:tc>
          <w:tcPr>
            <w:tcW w:w="2620" w:type="dxa"/>
            <w:tcBorders>
              <w:top w:val="single" w:sz="4" w:space="0" w:color="A6A6A6" w:themeColor="background1" w:themeShade="A6"/>
              <w:left w:val="nil"/>
              <w:bottom w:val="single" w:sz="4" w:space="0" w:color="A6A6A6" w:themeColor="background1" w:themeShade="A6"/>
              <w:right w:val="nil"/>
            </w:tcBorders>
            <w:shd w:val="clear" w:color="auto" w:fill="auto"/>
            <w:noWrap/>
            <w:vAlign w:val="bottom"/>
            <w:hideMark/>
          </w:tcPr>
          <w:p w14:paraId="1AC1F1BF" w14:textId="77777777" w:rsidR="00EA2B5F" w:rsidRPr="00F25EBD" w:rsidRDefault="00EA2B5F" w:rsidP="00374AD6">
            <w:pPr>
              <w:spacing w:after="0" w:line="240" w:lineRule="auto"/>
              <w:jc w:val="center"/>
              <w:rPr>
                <w:rFonts w:asciiTheme="majorHAnsi" w:eastAsia="Times New Roman" w:hAnsiTheme="majorHAnsi" w:cstheme="majorHAnsi"/>
                <w:sz w:val="20"/>
                <w:szCs w:val="20"/>
                <w:lang w:eastAsia="pl-PL"/>
              </w:rPr>
            </w:pPr>
            <w:r w:rsidRPr="00F25EBD">
              <w:rPr>
                <w:rFonts w:asciiTheme="majorHAnsi" w:eastAsia="Times New Roman" w:hAnsiTheme="majorHAnsi" w:cstheme="majorHAnsi"/>
                <w:sz w:val="20"/>
                <w:szCs w:val="20"/>
                <w:lang w:eastAsia="pl-PL"/>
              </w:rPr>
              <w:t>wiejska</w:t>
            </w:r>
          </w:p>
        </w:tc>
        <w:tc>
          <w:tcPr>
            <w:tcW w:w="1559" w:type="dxa"/>
            <w:tcBorders>
              <w:top w:val="single" w:sz="4" w:space="0" w:color="A6A6A6" w:themeColor="background1" w:themeShade="A6"/>
              <w:left w:val="nil"/>
              <w:bottom w:val="single" w:sz="4" w:space="0" w:color="A6A6A6" w:themeColor="background1" w:themeShade="A6"/>
              <w:right w:val="nil"/>
            </w:tcBorders>
            <w:shd w:val="clear" w:color="auto" w:fill="auto"/>
            <w:noWrap/>
            <w:vAlign w:val="bottom"/>
            <w:hideMark/>
          </w:tcPr>
          <w:p w14:paraId="1D63E0C4" w14:textId="77777777" w:rsidR="00EA2B5F" w:rsidRPr="00F25EBD" w:rsidRDefault="00EA2B5F" w:rsidP="00374AD6">
            <w:pPr>
              <w:spacing w:after="0" w:line="240" w:lineRule="auto"/>
              <w:ind w:right="503"/>
              <w:jc w:val="right"/>
              <w:rPr>
                <w:rFonts w:asciiTheme="majorHAnsi" w:eastAsia="Times New Roman" w:hAnsiTheme="majorHAnsi" w:cstheme="majorHAnsi"/>
                <w:sz w:val="20"/>
                <w:szCs w:val="20"/>
                <w:lang w:eastAsia="pl-PL"/>
              </w:rPr>
            </w:pPr>
            <w:r w:rsidRPr="00F25EBD">
              <w:rPr>
                <w:rFonts w:asciiTheme="majorHAnsi" w:eastAsia="Times New Roman" w:hAnsiTheme="majorHAnsi" w:cstheme="majorHAnsi"/>
                <w:sz w:val="20"/>
                <w:szCs w:val="20"/>
                <w:lang w:eastAsia="pl-PL"/>
              </w:rPr>
              <w:t>163</w:t>
            </w:r>
          </w:p>
        </w:tc>
      </w:tr>
      <w:tr w:rsidR="00EA2B5F" w:rsidRPr="00F25EBD" w14:paraId="1539A38F" w14:textId="77777777" w:rsidTr="00374AD6">
        <w:trPr>
          <w:trHeight w:val="288"/>
          <w:jc w:val="center"/>
        </w:trPr>
        <w:tc>
          <w:tcPr>
            <w:tcW w:w="2620" w:type="dxa"/>
            <w:tcBorders>
              <w:top w:val="single" w:sz="4" w:space="0" w:color="A6A6A6" w:themeColor="background1" w:themeShade="A6"/>
              <w:left w:val="nil"/>
              <w:bottom w:val="single" w:sz="4" w:space="0" w:color="A6A6A6" w:themeColor="background1" w:themeShade="A6"/>
              <w:right w:val="nil"/>
            </w:tcBorders>
            <w:shd w:val="clear" w:color="auto" w:fill="auto"/>
            <w:noWrap/>
            <w:vAlign w:val="bottom"/>
            <w:hideMark/>
          </w:tcPr>
          <w:p w14:paraId="27B57115" w14:textId="77777777" w:rsidR="00EA2B5F" w:rsidRPr="00F25EBD" w:rsidRDefault="00EA2B5F" w:rsidP="00374AD6">
            <w:pPr>
              <w:spacing w:after="0" w:line="240" w:lineRule="auto"/>
              <w:rPr>
                <w:rFonts w:asciiTheme="majorHAnsi" w:eastAsia="Times New Roman" w:hAnsiTheme="majorHAnsi" w:cstheme="majorHAnsi"/>
                <w:sz w:val="20"/>
                <w:szCs w:val="20"/>
                <w:lang w:eastAsia="pl-PL"/>
              </w:rPr>
            </w:pPr>
            <w:r w:rsidRPr="00F25EBD">
              <w:rPr>
                <w:rFonts w:asciiTheme="majorHAnsi" w:eastAsia="Times New Roman" w:hAnsiTheme="majorHAnsi" w:cstheme="majorHAnsi"/>
                <w:sz w:val="20"/>
                <w:szCs w:val="20"/>
                <w:lang w:eastAsia="pl-PL"/>
              </w:rPr>
              <w:t xml:space="preserve">Rybno </w:t>
            </w:r>
          </w:p>
        </w:tc>
        <w:tc>
          <w:tcPr>
            <w:tcW w:w="2620" w:type="dxa"/>
            <w:tcBorders>
              <w:top w:val="single" w:sz="4" w:space="0" w:color="A6A6A6" w:themeColor="background1" w:themeShade="A6"/>
              <w:left w:val="nil"/>
              <w:bottom w:val="single" w:sz="4" w:space="0" w:color="A6A6A6" w:themeColor="background1" w:themeShade="A6"/>
              <w:right w:val="nil"/>
            </w:tcBorders>
            <w:shd w:val="clear" w:color="auto" w:fill="auto"/>
            <w:noWrap/>
            <w:vAlign w:val="bottom"/>
            <w:hideMark/>
          </w:tcPr>
          <w:p w14:paraId="76C00559" w14:textId="77777777" w:rsidR="00EA2B5F" w:rsidRPr="00F25EBD" w:rsidRDefault="00EA2B5F" w:rsidP="00374AD6">
            <w:pPr>
              <w:spacing w:after="0" w:line="240" w:lineRule="auto"/>
              <w:jc w:val="center"/>
              <w:rPr>
                <w:rFonts w:asciiTheme="majorHAnsi" w:eastAsia="Times New Roman" w:hAnsiTheme="majorHAnsi" w:cstheme="majorHAnsi"/>
                <w:sz w:val="20"/>
                <w:szCs w:val="20"/>
                <w:lang w:eastAsia="pl-PL"/>
              </w:rPr>
            </w:pPr>
            <w:r w:rsidRPr="00F25EBD">
              <w:rPr>
                <w:rFonts w:asciiTheme="majorHAnsi" w:eastAsia="Times New Roman" w:hAnsiTheme="majorHAnsi" w:cstheme="majorHAnsi"/>
                <w:sz w:val="20"/>
                <w:szCs w:val="20"/>
                <w:lang w:eastAsia="pl-PL"/>
              </w:rPr>
              <w:t>wiejska</w:t>
            </w:r>
          </w:p>
        </w:tc>
        <w:tc>
          <w:tcPr>
            <w:tcW w:w="1559" w:type="dxa"/>
            <w:tcBorders>
              <w:top w:val="single" w:sz="4" w:space="0" w:color="A6A6A6" w:themeColor="background1" w:themeShade="A6"/>
              <w:left w:val="nil"/>
              <w:bottom w:val="single" w:sz="4" w:space="0" w:color="A6A6A6" w:themeColor="background1" w:themeShade="A6"/>
              <w:right w:val="nil"/>
            </w:tcBorders>
            <w:shd w:val="clear" w:color="auto" w:fill="auto"/>
            <w:noWrap/>
            <w:vAlign w:val="bottom"/>
            <w:hideMark/>
          </w:tcPr>
          <w:p w14:paraId="3F9A158D" w14:textId="77777777" w:rsidR="00EA2B5F" w:rsidRPr="00F25EBD" w:rsidRDefault="00EA2B5F" w:rsidP="00374AD6">
            <w:pPr>
              <w:spacing w:after="0" w:line="240" w:lineRule="auto"/>
              <w:ind w:right="503"/>
              <w:jc w:val="right"/>
              <w:rPr>
                <w:rFonts w:asciiTheme="majorHAnsi" w:eastAsia="Times New Roman" w:hAnsiTheme="majorHAnsi" w:cstheme="majorHAnsi"/>
                <w:sz w:val="20"/>
                <w:szCs w:val="20"/>
                <w:lang w:eastAsia="pl-PL"/>
              </w:rPr>
            </w:pPr>
            <w:r w:rsidRPr="00F25EBD">
              <w:rPr>
                <w:rFonts w:asciiTheme="majorHAnsi" w:eastAsia="Times New Roman" w:hAnsiTheme="majorHAnsi" w:cstheme="majorHAnsi"/>
                <w:sz w:val="20"/>
                <w:szCs w:val="20"/>
                <w:lang w:eastAsia="pl-PL"/>
              </w:rPr>
              <w:t>148</w:t>
            </w:r>
          </w:p>
        </w:tc>
      </w:tr>
      <w:tr w:rsidR="00EA2B5F" w:rsidRPr="00F25EBD" w14:paraId="6D391C30" w14:textId="77777777" w:rsidTr="00374AD6">
        <w:trPr>
          <w:trHeight w:val="288"/>
          <w:jc w:val="center"/>
        </w:trPr>
        <w:tc>
          <w:tcPr>
            <w:tcW w:w="5240" w:type="dxa"/>
            <w:gridSpan w:val="2"/>
            <w:tcBorders>
              <w:top w:val="single" w:sz="4" w:space="0" w:color="A6A6A6" w:themeColor="background1" w:themeShade="A6"/>
              <w:left w:val="nil"/>
              <w:bottom w:val="single" w:sz="4" w:space="0" w:color="A6A6A6" w:themeColor="background1" w:themeShade="A6"/>
              <w:right w:val="nil"/>
            </w:tcBorders>
            <w:shd w:val="clear" w:color="auto" w:fill="DEEAF6" w:themeFill="accent1" w:themeFillTint="33"/>
            <w:noWrap/>
            <w:vAlign w:val="bottom"/>
            <w:hideMark/>
          </w:tcPr>
          <w:p w14:paraId="5F44568D" w14:textId="77777777" w:rsidR="00EA2B5F" w:rsidRPr="00F25EBD" w:rsidRDefault="00EA2B5F" w:rsidP="00374AD6">
            <w:pPr>
              <w:spacing w:after="0" w:line="240" w:lineRule="auto"/>
              <w:rPr>
                <w:rFonts w:asciiTheme="majorHAnsi" w:eastAsia="Times New Roman" w:hAnsiTheme="majorHAnsi" w:cstheme="majorHAnsi"/>
                <w:sz w:val="20"/>
                <w:szCs w:val="20"/>
                <w:lang w:eastAsia="pl-PL"/>
              </w:rPr>
            </w:pPr>
            <w:r w:rsidRPr="00F25EBD">
              <w:rPr>
                <w:rFonts w:asciiTheme="majorHAnsi" w:eastAsia="Times New Roman" w:hAnsiTheme="majorHAnsi" w:cstheme="majorHAnsi"/>
                <w:sz w:val="20"/>
                <w:szCs w:val="20"/>
                <w:lang w:eastAsia="pl-PL"/>
              </w:rPr>
              <w:t>Powiat nidzicki</w:t>
            </w:r>
          </w:p>
        </w:tc>
        <w:tc>
          <w:tcPr>
            <w:tcW w:w="1559" w:type="dxa"/>
            <w:tcBorders>
              <w:top w:val="single" w:sz="4" w:space="0" w:color="A6A6A6" w:themeColor="background1" w:themeShade="A6"/>
              <w:left w:val="nil"/>
              <w:bottom w:val="single" w:sz="4" w:space="0" w:color="A6A6A6" w:themeColor="background1" w:themeShade="A6"/>
              <w:right w:val="nil"/>
            </w:tcBorders>
            <w:shd w:val="clear" w:color="auto" w:fill="DEEAF6" w:themeFill="accent1" w:themeFillTint="33"/>
            <w:noWrap/>
            <w:vAlign w:val="bottom"/>
            <w:hideMark/>
          </w:tcPr>
          <w:p w14:paraId="5BB94280" w14:textId="77777777" w:rsidR="00EA2B5F" w:rsidRPr="00F25EBD" w:rsidRDefault="00EA2B5F" w:rsidP="00374AD6">
            <w:pPr>
              <w:spacing w:after="0" w:line="240" w:lineRule="auto"/>
              <w:ind w:right="503"/>
              <w:jc w:val="right"/>
              <w:rPr>
                <w:rFonts w:asciiTheme="majorHAnsi" w:eastAsia="Times New Roman" w:hAnsiTheme="majorHAnsi" w:cstheme="majorHAnsi"/>
                <w:sz w:val="20"/>
                <w:szCs w:val="20"/>
                <w:lang w:eastAsia="pl-PL"/>
              </w:rPr>
            </w:pPr>
            <w:r w:rsidRPr="00F25EBD">
              <w:rPr>
                <w:rFonts w:asciiTheme="majorHAnsi" w:eastAsia="Times New Roman" w:hAnsiTheme="majorHAnsi" w:cstheme="majorHAnsi"/>
                <w:sz w:val="20"/>
                <w:szCs w:val="20"/>
                <w:lang w:eastAsia="pl-PL"/>
              </w:rPr>
              <w:t>961</w:t>
            </w:r>
          </w:p>
        </w:tc>
      </w:tr>
      <w:tr w:rsidR="00EA2B5F" w:rsidRPr="00F25EBD" w14:paraId="3738E0EC" w14:textId="77777777" w:rsidTr="00374AD6">
        <w:trPr>
          <w:trHeight w:val="288"/>
          <w:jc w:val="center"/>
        </w:trPr>
        <w:tc>
          <w:tcPr>
            <w:tcW w:w="2620" w:type="dxa"/>
            <w:tcBorders>
              <w:top w:val="single" w:sz="4" w:space="0" w:color="A6A6A6" w:themeColor="background1" w:themeShade="A6"/>
              <w:left w:val="nil"/>
              <w:bottom w:val="single" w:sz="4" w:space="0" w:color="A6A6A6" w:themeColor="background1" w:themeShade="A6"/>
              <w:right w:val="nil"/>
            </w:tcBorders>
            <w:shd w:val="clear" w:color="auto" w:fill="auto"/>
            <w:noWrap/>
            <w:vAlign w:val="bottom"/>
            <w:hideMark/>
          </w:tcPr>
          <w:p w14:paraId="42FB48A9" w14:textId="77777777" w:rsidR="00EA2B5F" w:rsidRPr="00F25EBD" w:rsidRDefault="00EA2B5F" w:rsidP="00374AD6">
            <w:pPr>
              <w:spacing w:after="0" w:line="240" w:lineRule="auto"/>
              <w:rPr>
                <w:rFonts w:asciiTheme="majorHAnsi" w:eastAsia="Times New Roman" w:hAnsiTheme="majorHAnsi" w:cstheme="majorHAnsi"/>
                <w:sz w:val="20"/>
                <w:szCs w:val="20"/>
                <w:lang w:eastAsia="pl-PL"/>
              </w:rPr>
            </w:pPr>
            <w:r w:rsidRPr="00F25EBD">
              <w:rPr>
                <w:rFonts w:asciiTheme="majorHAnsi" w:eastAsia="Times New Roman" w:hAnsiTheme="majorHAnsi" w:cstheme="majorHAnsi"/>
                <w:sz w:val="20"/>
                <w:szCs w:val="20"/>
                <w:lang w:eastAsia="pl-PL"/>
              </w:rPr>
              <w:t xml:space="preserve">Janowiec Kościelny </w:t>
            </w:r>
          </w:p>
        </w:tc>
        <w:tc>
          <w:tcPr>
            <w:tcW w:w="2620" w:type="dxa"/>
            <w:tcBorders>
              <w:top w:val="single" w:sz="4" w:space="0" w:color="A6A6A6" w:themeColor="background1" w:themeShade="A6"/>
              <w:left w:val="nil"/>
              <w:bottom w:val="single" w:sz="4" w:space="0" w:color="A6A6A6" w:themeColor="background1" w:themeShade="A6"/>
              <w:right w:val="nil"/>
            </w:tcBorders>
            <w:shd w:val="clear" w:color="auto" w:fill="auto"/>
            <w:noWrap/>
            <w:vAlign w:val="bottom"/>
            <w:hideMark/>
          </w:tcPr>
          <w:p w14:paraId="3D1F5289" w14:textId="77777777" w:rsidR="00EA2B5F" w:rsidRPr="00F25EBD" w:rsidRDefault="00EA2B5F" w:rsidP="00374AD6">
            <w:pPr>
              <w:spacing w:after="0" w:line="240" w:lineRule="auto"/>
              <w:jc w:val="center"/>
              <w:rPr>
                <w:rFonts w:asciiTheme="majorHAnsi" w:eastAsia="Times New Roman" w:hAnsiTheme="majorHAnsi" w:cstheme="majorHAnsi"/>
                <w:sz w:val="20"/>
                <w:szCs w:val="20"/>
                <w:lang w:eastAsia="pl-PL"/>
              </w:rPr>
            </w:pPr>
            <w:r w:rsidRPr="00F25EBD">
              <w:rPr>
                <w:rFonts w:asciiTheme="majorHAnsi" w:eastAsia="Times New Roman" w:hAnsiTheme="majorHAnsi" w:cstheme="majorHAnsi"/>
                <w:sz w:val="20"/>
                <w:szCs w:val="20"/>
                <w:lang w:eastAsia="pl-PL"/>
              </w:rPr>
              <w:t>wiejska</w:t>
            </w:r>
          </w:p>
        </w:tc>
        <w:tc>
          <w:tcPr>
            <w:tcW w:w="1559" w:type="dxa"/>
            <w:tcBorders>
              <w:top w:val="single" w:sz="4" w:space="0" w:color="A6A6A6" w:themeColor="background1" w:themeShade="A6"/>
              <w:left w:val="nil"/>
              <w:bottom w:val="single" w:sz="4" w:space="0" w:color="A6A6A6" w:themeColor="background1" w:themeShade="A6"/>
              <w:right w:val="nil"/>
            </w:tcBorders>
            <w:shd w:val="clear" w:color="auto" w:fill="auto"/>
            <w:noWrap/>
            <w:vAlign w:val="bottom"/>
            <w:hideMark/>
          </w:tcPr>
          <w:p w14:paraId="75AE351F" w14:textId="77777777" w:rsidR="00EA2B5F" w:rsidRPr="00F25EBD" w:rsidRDefault="00EA2B5F" w:rsidP="00374AD6">
            <w:pPr>
              <w:spacing w:after="0" w:line="240" w:lineRule="auto"/>
              <w:ind w:right="503"/>
              <w:jc w:val="right"/>
              <w:rPr>
                <w:rFonts w:asciiTheme="majorHAnsi" w:eastAsia="Times New Roman" w:hAnsiTheme="majorHAnsi" w:cstheme="majorHAnsi"/>
                <w:sz w:val="20"/>
                <w:szCs w:val="20"/>
                <w:lang w:eastAsia="pl-PL"/>
              </w:rPr>
            </w:pPr>
            <w:r w:rsidRPr="00F25EBD">
              <w:rPr>
                <w:rFonts w:asciiTheme="majorHAnsi" w:eastAsia="Times New Roman" w:hAnsiTheme="majorHAnsi" w:cstheme="majorHAnsi"/>
                <w:sz w:val="20"/>
                <w:szCs w:val="20"/>
                <w:lang w:eastAsia="pl-PL"/>
              </w:rPr>
              <w:t>136</w:t>
            </w:r>
          </w:p>
        </w:tc>
      </w:tr>
      <w:tr w:rsidR="00EA2B5F" w:rsidRPr="00F25EBD" w14:paraId="65B065BF" w14:textId="77777777" w:rsidTr="00374AD6">
        <w:trPr>
          <w:trHeight w:val="288"/>
          <w:jc w:val="center"/>
        </w:trPr>
        <w:tc>
          <w:tcPr>
            <w:tcW w:w="2620" w:type="dxa"/>
            <w:tcBorders>
              <w:top w:val="single" w:sz="4" w:space="0" w:color="A6A6A6" w:themeColor="background1" w:themeShade="A6"/>
              <w:left w:val="nil"/>
              <w:bottom w:val="single" w:sz="4" w:space="0" w:color="A6A6A6" w:themeColor="background1" w:themeShade="A6"/>
              <w:right w:val="nil"/>
            </w:tcBorders>
            <w:shd w:val="clear" w:color="auto" w:fill="auto"/>
            <w:noWrap/>
            <w:vAlign w:val="bottom"/>
            <w:hideMark/>
          </w:tcPr>
          <w:p w14:paraId="1C197E8D" w14:textId="77777777" w:rsidR="00EA2B5F" w:rsidRPr="00F25EBD" w:rsidRDefault="00EA2B5F" w:rsidP="00374AD6">
            <w:pPr>
              <w:spacing w:after="0" w:line="240" w:lineRule="auto"/>
              <w:rPr>
                <w:rFonts w:asciiTheme="majorHAnsi" w:eastAsia="Times New Roman" w:hAnsiTheme="majorHAnsi" w:cstheme="majorHAnsi"/>
                <w:sz w:val="20"/>
                <w:szCs w:val="20"/>
                <w:lang w:eastAsia="pl-PL"/>
              </w:rPr>
            </w:pPr>
            <w:r w:rsidRPr="00F25EBD">
              <w:rPr>
                <w:rFonts w:asciiTheme="majorHAnsi" w:eastAsia="Times New Roman" w:hAnsiTheme="majorHAnsi" w:cstheme="majorHAnsi"/>
                <w:sz w:val="20"/>
                <w:szCs w:val="20"/>
                <w:lang w:eastAsia="pl-PL"/>
              </w:rPr>
              <w:t xml:space="preserve">Janowo </w:t>
            </w:r>
          </w:p>
        </w:tc>
        <w:tc>
          <w:tcPr>
            <w:tcW w:w="2620" w:type="dxa"/>
            <w:tcBorders>
              <w:top w:val="single" w:sz="4" w:space="0" w:color="A6A6A6" w:themeColor="background1" w:themeShade="A6"/>
              <w:left w:val="nil"/>
              <w:bottom w:val="single" w:sz="4" w:space="0" w:color="A6A6A6" w:themeColor="background1" w:themeShade="A6"/>
              <w:right w:val="nil"/>
            </w:tcBorders>
            <w:shd w:val="clear" w:color="auto" w:fill="auto"/>
            <w:noWrap/>
            <w:vAlign w:val="bottom"/>
            <w:hideMark/>
          </w:tcPr>
          <w:p w14:paraId="19189F46" w14:textId="77777777" w:rsidR="00EA2B5F" w:rsidRPr="00F25EBD" w:rsidRDefault="00EA2B5F" w:rsidP="00374AD6">
            <w:pPr>
              <w:spacing w:after="0" w:line="240" w:lineRule="auto"/>
              <w:jc w:val="center"/>
              <w:rPr>
                <w:rFonts w:asciiTheme="majorHAnsi" w:eastAsia="Times New Roman" w:hAnsiTheme="majorHAnsi" w:cstheme="majorHAnsi"/>
                <w:sz w:val="20"/>
                <w:szCs w:val="20"/>
                <w:lang w:eastAsia="pl-PL"/>
              </w:rPr>
            </w:pPr>
            <w:r w:rsidRPr="00F25EBD">
              <w:rPr>
                <w:rFonts w:asciiTheme="majorHAnsi" w:eastAsia="Times New Roman" w:hAnsiTheme="majorHAnsi" w:cstheme="majorHAnsi"/>
                <w:sz w:val="20"/>
                <w:szCs w:val="20"/>
                <w:lang w:eastAsia="pl-PL"/>
              </w:rPr>
              <w:t>wiejska</w:t>
            </w:r>
          </w:p>
        </w:tc>
        <w:tc>
          <w:tcPr>
            <w:tcW w:w="1559" w:type="dxa"/>
            <w:tcBorders>
              <w:top w:val="single" w:sz="4" w:space="0" w:color="A6A6A6" w:themeColor="background1" w:themeShade="A6"/>
              <w:left w:val="nil"/>
              <w:bottom w:val="single" w:sz="4" w:space="0" w:color="A6A6A6" w:themeColor="background1" w:themeShade="A6"/>
              <w:right w:val="nil"/>
            </w:tcBorders>
            <w:shd w:val="clear" w:color="auto" w:fill="auto"/>
            <w:noWrap/>
            <w:vAlign w:val="bottom"/>
            <w:hideMark/>
          </w:tcPr>
          <w:p w14:paraId="60A2EECF" w14:textId="77777777" w:rsidR="00EA2B5F" w:rsidRPr="00F25EBD" w:rsidRDefault="00EA2B5F" w:rsidP="00374AD6">
            <w:pPr>
              <w:spacing w:after="0" w:line="240" w:lineRule="auto"/>
              <w:ind w:right="503"/>
              <w:jc w:val="right"/>
              <w:rPr>
                <w:rFonts w:asciiTheme="majorHAnsi" w:eastAsia="Times New Roman" w:hAnsiTheme="majorHAnsi" w:cstheme="majorHAnsi"/>
                <w:sz w:val="20"/>
                <w:szCs w:val="20"/>
                <w:lang w:eastAsia="pl-PL"/>
              </w:rPr>
            </w:pPr>
            <w:r w:rsidRPr="00F25EBD">
              <w:rPr>
                <w:rFonts w:asciiTheme="majorHAnsi" w:eastAsia="Times New Roman" w:hAnsiTheme="majorHAnsi" w:cstheme="majorHAnsi"/>
                <w:sz w:val="20"/>
                <w:szCs w:val="20"/>
                <w:lang w:eastAsia="pl-PL"/>
              </w:rPr>
              <w:t>192</w:t>
            </w:r>
          </w:p>
        </w:tc>
      </w:tr>
      <w:tr w:rsidR="00EA2B5F" w:rsidRPr="00F25EBD" w14:paraId="73DC5D25" w14:textId="77777777" w:rsidTr="00374AD6">
        <w:trPr>
          <w:trHeight w:val="288"/>
          <w:jc w:val="center"/>
        </w:trPr>
        <w:tc>
          <w:tcPr>
            <w:tcW w:w="2620" w:type="dxa"/>
            <w:tcBorders>
              <w:top w:val="single" w:sz="4" w:space="0" w:color="A6A6A6" w:themeColor="background1" w:themeShade="A6"/>
              <w:left w:val="nil"/>
              <w:bottom w:val="single" w:sz="4" w:space="0" w:color="A6A6A6" w:themeColor="background1" w:themeShade="A6"/>
              <w:right w:val="nil"/>
            </w:tcBorders>
            <w:shd w:val="clear" w:color="auto" w:fill="auto"/>
            <w:noWrap/>
            <w:vAlign w:val="bottom"/>
            <w:hideMark/>
          </w:tcPr>
          <w:p w14:paraId="3B3C3577" w14:textId="77777777" w:rsidR="00EA2B5F" w:rsidRPr="00F25EBD" w:rsidRDefault="00EA2B5F" w:rsidP="00374AD6">
            <w:pPr>
              <w:spacing w:after="0" w:line="240" w:lineRule="auto"/>
              <w:rPr>
                <w:rFonts w:asciiTheme="majorHAnsi" w:eastAsia="Times New Roman" w:hAnsiTheme="majorHAnsi" w:cstheme="majorHAnsi"/>
                <w:sz w:val="20"/>
                <w:szCs w:val="20"/>
                <w:lang w:eastAsia="pl-PL"/>
              </w:rPr>
            </w:pPr>
            <w:r w:rsidRPr="00F25EBD">
              <w:rPr>
                <w:rFonts w:asciiTheme="majorHAnsi" w:eastAsia="Times New Roman" w:hAnsiTheme="majorHAnsi" w:cstheme="majorHAnsi"/>
                <w:sz w:val="20"/>
                <w:szCs w:val="20"/>
                <w:lang w:eastAsia="pl-PL"/>
              </w:rPr>
              <w:t xml:space="preserve">Kozłowo </w:t>
            </w:r>
          </w:p>
        </w:tc>
        <w:tc>
          <w:tcPr>
            <w:tcW w:w="2620" w:type="dxa"/>
            <w:tcBorders>
              <w:top w:val="single" w:sz="4" w:space="0" w:color="A6A6A6" w:themeColor="background1" w:themeShade="A6"/>
              <w:left w:val="nil"/>
              <w:bottom w:val="single" w:sz="4" w:space="0" w:color="A6A6A6" w:themeColor="background1" w:themeShade="A6"/>
              <w:right w:val="nil"/>
            </w:tcBorders>
            <w:shd w:val="clear" w:color="auto" w:fill="auto"/>
            <w:noWrap/>
            <w:vAlign w:val="bottom"/>
            <w:hideMark/>
          </w:tcPr>
          <w:p w14:paraId="0FDBF159" w14:textId="77777777" w:rsidR="00EA2B5F" w:rsidRPr="00F25EBD" w:rsidRDefault="00EA2B5F" w:rsidP="00374AD6">
            <w:pPr>
              <w:spacing w:after="0" w:line="240" w:lineRule="auto"/>
              <w:jc w:val="center"/>
              <w:rPr>
                <w:rFonts w:asciiTheme="majorHAnsi" w:eastAsia="Times New Roman" w:hAnsiTheme="majorHAnsi" w:cstheme="majorHAnsi"/>
                <w:sz w:val="20"/>
                <w:szCs w:val="20"/>
                <w:lang w:eastAsia="pl-PL"/>
              </w:rPr>
            </w:pPr>
            <w:r w:rsidRPr="00F25EBD">
              <w:rPr>
                <w:rFonts w:asciiTheme="majorHAnsi" w:eastAsia="Times New Roman" w:hAnsiTheme="majorHAnsi" w:cstheme="majorHAnsi"/>
                <w:sz w:val="20"/>
                <w:szCs w:val="20"/>
                <w:lang w:eastAsia="pl-PL"/>
              </w:rPr>
              <w:t>wiejska</w:t>
            </w:r>
          </w:p>
        </w:tc>
        <w:tc>
          <w:tcPr>
            <w:tcW w:w="1559" w:type="dxa"/>
            <w:tcBorders>
              <w:top w:val="single" w:sz="4" w:space="0" w:color="A6A6A6" w:themeColor="background1" w:themeShade="A6"/>
              <w:left w:val="nil"/>
              <w:bottom w:val="single" w:sz="4" w:space="0" w:color="A6A6A6" w:themeColor="background1" w:themeShade="A6"/>
              <w:right w:val="nil"/>
            </w:tcBorders>
            <w:shd w:val="clear" w:color="auto" w:fill="auto"/>
            <w:noWrap/>
            <w:vAlign w:val="bottom"/>
            <w:hideMark/>
          </w:tcPr>
          <w:p w14:paraId="03C69204" w14:textId="77777777" w:rsidR="00EA2B5F" w:rsidRPr="00F25EBD" w:rsidRDefault="00EA2B5F" w:rsidP="00374AD6">
            <w:pPr>
              <w:spacing w:after="0" w:line="240" w:lineRule="auto"/>
              <w:ind w:right="503"/>
              <w:jc w:val="right"/>
              <w:rPr>
                <w:rFonts w:asciiTheme="majorHAnsi" w:eastAsia="Times New Roman" w:hAnsiTheme="majorHAnsi" w:cstheme="majorHAnsi"/>
                <w:sz w:val="20"/>
                <w:szCs w:val="20"/>
                <w:lang w:eastAsia="pl-PL"/>
              </w:rPr>
            </w:pPr>
            <w:r w:rsidRPr="00F25EBD">
              <w:rPr>
                <w:rFonts w:asciiTheme="majorHAnsi" w:eastAsia="Times New Roman" w:hAnsiTheme="majorHAnsi" w:cstheme="majorHAnsi"/>
                <w:sz w:val="20"/>
                <w:szCs w:val="20"/>
                <w:lang w:eastAsia="pl-PL"/>
              </w:rPr>
              <w:t>254</w:t>
            </w:r>
          </w:p>
        </w:tc>
      </w:tr>
      <w:tr w:rsidR="00EA2B5F" w:rsidRPr="00F25EBD" w14:paraId="175D4686" w14:textId="77777777" w:rsidTr="00374AD6">
        <w:trPr>
          <w:trHeight w:val="288"/>
          <w:jc w:val="center"/>
        </w:trPr>
        <w:tc>
          <w:tcPr>
            <w:tcW w:w="2620" w:type="dxa"/>
            <w:tcBorders>
              <w:top w:val="single" w:sz="4" w:space="0" w:color="A6A6A6" w:themeColor="background1" w:themeShade="A6"/>
              <w:left w:val="nil"/>
              <w:bottom w:val="single" w:sz="4" w:space="0" w:color="A6A6A6" w:themeColor="background1" w:themeShade="A6"/>
              <w:right w:val="nil"/>
            </w:tcBorders>
            <w:shd w:val="clear" w:color="auto" w:fill="auto"/>
            <w:noWrap/>
            <w:vAlign w:val="bottom"/>
            <w:hideMark/>
          </w:tcPr>
          <w:p w14:paraId="67EE4F66" w14:textId="77777777" w:rsidR="00EA2B5F" w:rsidRPr="00F25EBD" w:rsidRDefault="00EA2B5F" w:rsidP="00374AD6">
            <w:pPr>
              <w:spacing w:after="0" w:line="240" w:lineRule="auto"/>
              <w:rPr>
                <w:rFonts w:asciiTheme="majorHAnsi" w:eastAsia="Times New Roman" w:hAnsiTheme="majorHAnsi" w:cstheme="majorHAnsi"/>
                <w:sz w:val="20"/>
                <w:szCs w:val="20"/>
                <w:lang w:eastAsia="pl-PL"/>
              </w:rPr>
            </w:pPr>
            <w:r w:rsidRPr="00F25EBD">
              <w:rPr>
                <w:rFonts w:asciiTheme="majorHAnsi" w:eastAsia="Times New Roman" w:hAnsiTheme="majorHAnsi" w:cstheme="majorHAnsi"/>
                <w:sz w:val="20"/>
                <w:szCs w:val="20"/>
                <w:lang w:eastAsia="pl-PL"/>
              </w:rPr>
              <w:t xml:space="preserve">Nidzica </w:t>
            </w:r>
          </w:p>
        </w:tc>
        <w:tc>
          <w:tcPr>
            <w:tcW w:w="2620" w:type="dxa"/>
            <w:tcBorders>
              <w:top w:val="single" w:sz="4" w:space="0" w:color="A6A6A6" w:themeColor="background1" w:themeShade="A6"/>
              <w:left w:val="nil"/>
              <w:bottom w:val="single" w:sz="4" w:space="0" w:color="A6A6A6" w:themeColor="background1" w:themeShade="A6"/>
              <w:right w:val="nil"/>
            </w:tcBorders>
            <w:shd w:val="clear" w:color="auto" w:fill="auto"/>
            <w:noWrap/>
            <w:vAlign w:val="bottom"/>
            <w:hideMark/>
          </w:tcPr>
          <w:p w14:paraId="3C68D8BE" w14:textId="77777777" w:rsidR="00EA2B5F" w:rsidRPr="00F25EBD" w:rsidRDefault="00EA2B5F" w:rsidP="00374AD6">
            <w:pPr>
              <w:spacing w:after="0" w:line="240" w:lineRule="auto"/>
              <w:jc w:val="center"/>
              <w:rPr>
                <w:rFonts w:asciiTheme="majorHAnsi" w:eastAsia="Times New Roman" w:hAnsiTheme="majorHAnsi" w:cstheme="majorHAnsi"/>
                <w:sz w:val="20"/>
                <w:szCs w:val="20"/>
                <w:lang w:eastAsia="pl-PL"/>
              </w:rPr>
            </w:pPr>
            <w:r w:rsidRPr="00F25EBD">
              <w:rPr>
                <w:rFonts w:asciiTheme="majorHAnsi" w:eastAsia="Times New Roman" w:hAnsiTheme="majorHAnsi" w:cstheme="majorHAnsi"/>
                <w:sz w:val="20"/>
                <w:szCs w:val="20"/>
                <w:lang w:eastAsia="pl-PL"/>
              </w:rPr>
              <w:t>miejsko-wiejska</w:t>
            </w:r>
          </w:p>
        </w:tc>
        <w:tc>
          <w:tcPr>
            <w:tcW w:w="1559" w:type="dxa"/>
            <w:tcBorders>
              <w:top w:val="single" w:sz="4" w:space="0" w:color="A6A6A6" w:themeColor="background1" w:themeShade="A6"/>
              <w:left w:val="nil"/>
              <w:bottom w:val="single" w:sz="4" w:space="0" w:color="A6A6A6" w:themeColor="background1" w:themeShade="A6"/>
              <w:right w:val="nil"/>
            </w:tcBorders>
            <w:shd w:val="clear" w:color="auto" w:fill="auto"/>
            <w:noWrap/>
            <w:vAlign w:val="bottom"/>
            <w:hideMark/>
          </w:tcPr>
          <w:p w14:paraId="1D4FBEF4" w14:textId="77777777" w:rsidR="00EA2B5F" w:rsidRPr="00F25EBD" w:rsidRDefault="00EA2B5F" w:rsidP="00374AD6">
            <w:pPr>
              <w:spacing w:after="0" w:line="240" w:lineRule="auto"/>
              <w:ind w:right="503"/>
              <w:jc w:val="right"/>
              <w:rPr>
                <w:rFonts w:asciiTheme="majorHAnsi" w:eastAsia="Times New Roman" w:hAnsiTheme="majorHAnsi" w:cstheme="majorHAnsi"/>
                <w:sz w:val="20"/>
                <w:szCs w:val="20"/>
                <w:lang w:eastAsia="pl-PL"/>
              </w:rPr>
            </w:pPr>
            <w:r w:rsidRPr="00F25EBD">
              <w:rPr>
                <w:rFonts w:asciiTheme="majorHAnsi" w:eastAsia="Times New Roman" w:hAnsiTheme="majorHAnsi" w:cstheme="majorHAnsi"/>
                <w:sz w:val="20"/>
                <w:szCs w:val="20"/>
                <w:lang w:eastAsia="pl-PL"/>
              </w:rPr>
              <w:t>379</w:t>
            </w:r>
          </w:p>
        </w:tc>
      </w:tr>
      <w:tr w:rsidR="00EA2B5F" w:rsidRPr="00F25EBD" w14:paraId="0D521488" w14:textId="77777777" w:rsidTr="00374AD6">
        <w:trPr>
          <w:trHeight w:val="288"/>
          <w:jc w:val="center"/>
        </w:trPr>
        <w:tc>
          <w:tcPr>
            <w:tcW w:w="5240" w:type="dxa"/>
            <w:gridSpan w:val="2"/>
            <w:tcBorders>
              <w:top w:val="single" w:sz="4" w:space="0" w:color="A6A6A6" w:themeColor="background1" w:themeShade="A6"/>
              <w:left w:val="nil"/>
              <w:bottom w:val="single" w:sz="4" w:space="0" w:color="A6A6A6" w:themeColor="background1" w:themeShade="A6"/>
              <w:right w:val="nil"/>
            </w:tcBorders>
            <w:shd w:val="clear" w:color="auto" w:fill="DEEAF6" w:themeFill="accent1" w:themeFillTint="33"/>
            <w:noWrap/>
            <w:vAlign w:val="bottom"/>
            <w:hideMark/>
          </w:tcPr>
          <w:p w14:paraId="706738C6" w14:textId="77777777" w:rsidR="00EA2B5F" w:rsidRPr="00F25EBD" w:rsidRDefault="00EA2B5F" w:rsidP="00374AD6">
            <w:pPr>
              <w:spacing w:after="0" w:line="240" w:lineRule="auto"/>
              <w:rPr>
                <w:rFonts w:asciiTheme="majorHAnsi" w:eastAsia="Times New Roman" w:hAnsiTheme="majorHAnsi" w:cstheme="majorHAnsi"/>
                <w:sz w:val="20"/>
                <w:szCs w:val="20"/>
                <w:lang w:eastAsia="pl-PL"/>
              </w:rPr>
            </w:pPr>
            <w:r w:rsidRPr="00F25EBD">
              <w:rPr>
                <w:rFonts w:asciiTheme="majorHAnsi" w:eastAsia="Times New Roman" w:hAnsiTheme="majorHAnsi" w:cstheme="majorHAnsi"/>
                <w:sz w:val="20"/>
                <w:szCs w:val="20"/>
                <w:lang w:eastAsia="pl-PL"/>
              </w:rPr>
              <w:t>Powiat piski</w:t>
            </w:r>
          </w:p>
        </w:tc>
        <w:tc>
          <w:tcPr>
            <w:tcW w:w="1559" w:type="dxa"/>
            <w:tcBorders>
              <w:top w:val="single" w:sz="4" w:space="0" w:color="A6A6A6" w:themeColor="background1" w:themeShade="A6"/>
              <w:left w:val="nil"/>
              <w:bottom w:val="single" w:sz="4" w:space="0" w:color="A6A6A6" w:themeColor="background1" w:themeShade="A6"/>
              <w:right w:val="nil"/>
            </w:tcBorders>
            <w:shd w:val="clear" w:color="auto" w:fill="DEEAF6" w:themeFill="accent1" w:themeFillTint="33"/>
            <w:noWrap/>
            <w:vAlign w:val="bottom"/>
            <w:hideMark/>
          </w:tcPr>
          <w:p w14:paraId="42FA09AD" w14:textId="77777777" w:rsidR="00EA2B5F" w:rsidRPr="00F25EBD" w:rsidRDefault="00EA2B5F" w:rsidP="00374AD6">
            <w:pPr>
              <w:spacing w:after="0" w:line="240" w:lineRule="auto"/>
              <w:ind w:right="503"/>
              <w:jc w:val="right"/>
              <w:rPr>
                <w:rFonts w:asciiTheme="majorHAnsi" w:eastAsia="Times New Roman" w:hAnsiTheme="majorHAnsi" w:cstheme="majorHAnsi"/>
                <w:sz w:val="20"/>
                <w:szCs w:val="20"/>
                <w:lang w:eastAsia="pl-PL"/>
              </w:rPr>
            </w:pPr>
            <w:r w:rsidRPr="00F25EBD">
              <w:rPr>
                <w:rFonts w:asciiTheme="majorHAnsi" w:eastAsia="Times New Roman" w:hAnsiTheme="majorHAnsi" w:cstheme="majorHAnsi"/>
                <w:sz w:val="20"/>
                <w:szCs w:val="20"/>
                <w:lang w:eastAsia="pl-PL"/>
              </w:rPr>
              <w:t>1 775</w:t>
            </w:r>
          </w:p>
        </w:tc>
      </w:tr>
      <w:tr w:rsidR="00EA2B5F" w:rsidRPr="00F25EBD" w14:paraId="5F26EEED" w14:textId="77777777" w:rsidTr="00374AD6">
        <w:trPr>
          <w:trHeight w:val="288"/>
          <w:jc w:val="center"/>
        </w:trPr>
        <w:tc>
          <w:tcPr>
            <w:tcW w:w="2620" w:type="dxa"/>
            <w:tcBorders>
              <w:top w:val="single" w:sz="4" w:space="0" w:color="A6A6A6" w:themeColor="background1" w:themeShade="A6"/>
              <w:left w:val="nil"/>
              <w:bottom w:val="single" w:sz="4" w:space="0" w:color="A6A6A6" w:themeColor="background1" w:themeShade="A6"/>
              <w:right w:val="nil"/>
            </w:tcBorders>
            <w:shd w:val="clear" w:color="auto" w:fill="auto"/>
            <w:noWrap/>
            <w:vAlign w:val="bottom"/>
            <w:hideMark/>
          </w:tcPr>
          <w:p w14:paraId="20EA615A" w14:textId="77777777" w:rsidR="00EA2B5F" w:rsidRPr="00F25EBD" w:rsidRDefault="00EA2B5F" w:rsidP="00374AD6">
            <w:pPr>
              <w:spacing w:after="0" w:line="240" w:lineRule="auto"/>
              <w:rPr>
                <w:rFonts w:asciiTheme="majorHAnsi" w:eastAsia="Times New Roman" w:hAnsiTheme="majorHAnsi" w:cstheme="majorHAnsi"/>
                <w:sz w:val="20"/>
                <w:szCs w:val="20"/>
                <w:lang w:eastAsia="pl-PL"/>
              </w:rPr>
            </w:pPr>
            <w:r w:rsidRPr="00F25EBD">
              <w:rPr>
                <w:rFonts w:asciiTheme="majorHAnsi" w:eastAsia="Times New Roman" w:hAnsiTheme="majorHAnsi" w:cstheme="majorHAnsi"/>
                <w:sz w:val="20"/>
                <w:szCs w:val="20"/>
                <w:lang w:eastAsia="pl-PL"/>
              </w:rPr>
              <w:t xml:space="preserve">Biała Piska </w:t>
            </w:r>
          </w:p>
        </w:tc>
        <w:tc>
          <w:tcPr>
            <w:tcW w:w="2620" w:type="dxa"/>
            <w:tcBorders>
              <w:top w:val="single" w:sz="4" w:space="0" w:color="A6A6A6" w:themeColor="background1" w:themeShade="A6"/>
              <w:left w:val="nil"/>
              <w:bottom w:val="single" w:sz="4" w:space="0" w:color="A6A6A6" w:themeColor="background1" w:themeShade="A6"/>
              <w:right w:val="nil"/>
            </w:tcBorders>
            <w:shd w:val="clear" w:color="auto" w:fill="auto"/>
            <w:noWrap/>
            <w:vAlign w:val="bottom"/>
            <w:hideMark/>
          </w:tcPr>
          <w:p w14:paraId="5AA57929" w14:textId="77777777" w:rsidR="00EA2B5F" w:rsidRPr="00F25EBD" w:rsidRDefault="00EA2B5F" w:rsidP="00374AD6">
            <w:pPr>
              <w:spacing w:after="0" w:line="240" w:lineRule="auto"/>
              <w:jc w:val="center"/>
              <w:rPr>
                <w:rFonts w:asciiTheme="majorHAnsi" w:eastAsia="Times New Roman" w:hAnsiTheme="majorHAnsi" w:cstheme="majorHAnsi"/>
                <w:sz w:val="20"/>
                <w:szCs w:val="20"/>
                <w:lang w:eastAsia="pl-PL"/>
              </w:rPr>
            </w:pPr>
            <w:r w:rsidRPr="00F25EBD">
              <w:rPr>
                <w:rFonts w:asciiTheme="majorHAnsi" w:eastAsia="Times New Roman" w:hAnsiTheme="majorHAnsi" w:cstheme="majorHAnsi"/>
                <w:sz w:val="20"/>
                <w:szCs w:val="20"/>
                <w:lang w:eastAsia="pl-PL"/>
              </w:rPr>
              <w:t>miejsko-wiejska</w:t>
            </w:r>
          </w:p>
        </w:tc>
        <w:tc>
          <w:tcPr>
            <w:tcW w:w="1559" w:type="dxa"/>
            <w:tcBorders>
              <w:top w:val="single" w:sz="4" w:space="0" w:color="A6A6A6" w:themeColor="background1" w:themeShade="A6"/>
              <w:left w:val="nil"/>
              <w:bottom w:val="single" w:sz="4" w:space="0" w:color="A6A6A6" w:themeColor="background1" w:themeShade="A6"/>
              <w:right w:val="nil"/>
            </w:tcBorders>
            <w:shd w:val="clear" w:color="auto" w:fill="auto"/>
            <w:noWrap/>
            <w:vAlign w:val="bottom"/>
            <w:hideMark/>
          </w:tcPr>
          <w:p w14:paraId="1925EDF7" w14:textId="77777777" w:rsidR="00EA2B5F" w:rsidRPr="00F25EBD" w:rsidRDefault="00EA2B5F" w:rsidP="00374AD6">
            <w:pPr>
              <w:spacing w:after="0" w:line="240" w:lineRule="auto"/>
              <w:ind w:right="503"/>
              <w:jc w:val="right"/>
              <w:rPr>
                <w:rFonts w:asciiTheme="majorHAnsi" w:eastAsia="Times New Roman" w:hAnsiTheme="majorHAnsi" w:cstheme="majorHAnsi"/>
                <w:sz w:val="20"/>
                <w:szCs w:val="20"/>
                <w:lang w:eastAsia="pl-PL"/>
              </w:rPr>
            </w:pPr>
            <w:r w:rsidRPr="00F25EBD">
              <w:rPr>
                <w:rFonts w:asciiTheme="majorHAnsi" w:eastAsia="Times New Roman" w:hAnsiTheme="majorHAnsi" w:cstheme="majorHAnsi"/>
                <w:sz w:val="20"/>
                <w:szCs w:val="20"/>
                <w:lang w:eastAsia="pl-PL"/>
              </w:rPr>
              <w:t>420</w:t>
            </w:r>
          </w:p>
        </w:tc>
      </w:tr>
      <w:tr w:rsidR="00EA2B5F" w:rsidRPr="00F25EBD" w14:paraId="23856A21" w14:textId="77777777" w:rsidTr="00374AD6">
        <w:trPr>
          <w:trHeight w:val="288"/>
          <w:jc w:val="center"/>
        </w:trPr>
        <w:tc>
          <w:tcPr>
            <w:tcW w:w="2620" w:type="dxa"/>
            <w:tcBorders>
              <w:top w:val="single" w:sz="4" w:space="0" w:color="A6A6A6" w:themeColor="background1" w:themeShade="A6"/>
              <w:left w:val="nil"/>
              <w:bottom w:val="single" w:sz="4" w:space="0" w:color="A6A6A6" w:themeColor="background1" w:themeShade="A6"/>
              <w:right w:val="nil"/>
            </w:tcBorders>
            <w:shd w:val="clear" w:color="auto" w:fill="auto"/>
            <w:noWrap/>
            <w:vAlign w:val="bottom"/>
            <w:hideMark/>
          </w:tcPr>
          <w:p w14:paraId="73A8DDE6" w14:textId="77777777" w:rsidR="00EA2B5F" w:rsidRPr="00F25EBD" w:rsidRDefault="00EA2B5F" w:rsidP="00374AD6">
            <w:pPr>
              <w:spacing w:after="0" w:line="240" w:lineRule="auto"/>
              <w:rPr>
                <w:rFonts w:asciiTheme="majorHAnsi" w:eastAsia="Times New Roman" w:hAnsiTheme="majorHAnsi" w:cstheme="majorHAnsi"/>
                <w:sz w:val="20"/>
                <w:szCs w:val="20"/>
                <w:lang w:eastAsia="pl-PL"/>
              </w:rPr>
            </w:pPr>
            <w:r w:rsidRPr="00F25EBD">
              <w:rPr>
                <w:rFonts w:asciiTheme="majorHAnsi" w:eastAsia="Times New Roman" w:hAnsiTheme="majorHAnsi" w:cstheme="majorHAnsi"/>
                <w:sz w:val="20"/>
                <w:szCs w:val="20"/>
                <w:lang w:eastAsia="pl-PL"/>
              </w:rPr>
              <w:t xml:space="preserve">Orzysz </w:t>
            </w:r>
          </w:p>
        </w:tc>
        <w:tc>
          <w:tcPr>
            <w:tcW w:w="2620" w:type="dxa"/>
            <w:tcBorders>
              <w:top w:val="single" w:sz="4" w:space="0" w:color="A6A6A6" w:themeColor="background1" w:themeShade="A6"/>
              <w:left w:val="nil"/>
              <w:bottom w:val="single" w:sz="4" w:space="0" w:color="A6A6A6" w:themeColor="background1" w:themeShade="A6"/>
              <w:right w:val="nil"/>
            </w:tcBorders>
            <w:shd w:val="clear" w:color="auto" w:fill="auto"/>
            <w:noWrap/>
            <w:vAlign w:val="bottom"/>
            <w:hideMark/>
          </w:tcPr>
          <w:p w14:paraId="3055BEA9" w14:textId="77777777" w:rsidR="00EA2B5F" w:rsidRPr="00F25EBD" w:rsidRDefault="00EA2B5F" w:rsidP="00374AD6">
            <w:pPr>
              <w:spacing w:after="0" w:line="240" w:lineRule="auto"/>
              <w:jc w:val="center"/>
              <w:rPr>
                <w:rFonts w:asciiTheme="majorHAnsi" w:eastAsia="Times New Roman" w:hAnsiTheme="majorHAnsi" w:cstheme="majorHAnsi"/>
                <w:sz w:val="20"/>
                <w:szCs w:val="20"/>
                <w:lang w:eastAsia="pl-PL"/>
              </w:rPr>
            </w:pPr>
            <w:r w:rsidRPr="00F25EBD">
              <w:rPr>
                <w:rFonts w:asciiTheme="majorHAnsi" w:eastAsia="Times New Roman" w:hAnsiTheme="majorHAnsi" w:cstheme="majorHAnsi"/>
                <w:sz w:val="20"/>
                <w:szCs w:val="20"/>
                <w:lang w:eastAsia="pl-PL"/>
              </w:rPr>
              <w:t>miejsko-wiejska</w:t>
            </w:r>
          </w:p>
        </w:tc>
        <w:tc>
          <w:tcPr>
            <w:tcW w:w="1559" w:type="dxa"/>
            <w:tcBorders>
              <w:top w:val="single" w:sz="4" w:space="0" w:color="A6A6A6" w:themeColor="background1" w:themeShade="A6"/>
              <w:left w:val="nil"/>
              <w:bottom w:val="single" w:sz="4" w:space="0" w:color="A6A6A6" w:themeColor="background1" w:themeShade="A6"/>
              <w:right w:val="nil"/>
            </w:tcBorders>
            <w:shd w:val="clear" w:color="auto" w:fill="auto"/>
            <w:noWrap/>
            <w:vAlign w:val="bottom"/>
            <w:hideMark/>
          </w:tcPr>
          <w:p w14:paraId="648027D8" w14:textId="77777777" w:rsidR="00EA2B5F" w:rsidRPr="00F25EBD" w:rsidRDefault="00EA2B5F" w:rsidP="00374AD6">
            <w:pPr>
              <w:spacing w:after="0" w:line="240" w:lineRule="auto"/>
              <w:ind w:right="503"/>
              <w:jc w:val="right"/>
              <w:rPr>
                <w:rFonts w:asciiTheme="majorHAnsi" w:eastAsia="Times New Roman" w:hAnsiTheme="majorHAnsi" w:cstheme="majorHAnsi"/>
                <w:sz w:val="20"/>
                <w:szCs w:val="20"/>
                <w:lang w:eastAsia="pl-PL"/>
              </w:rPr>
            </w:pPr>
            <w:r w:rsidRPr="00F25EBD">
              <w:rPr>
                <w:rFonts w:asciiTheme="majorHAnsi" w:eastAsia="Times New Roman" w:hAnsiTheme="majorHAnsi" w:cstheme="majorHAnsi"/>
                <w:sz w:val="20"/>
                <w:szCs w:val="20"/>
                <w:lang w:eastAsia="pl-PL"/>
              </w:rPr>
              <w:t>363</w:t>
            </w:r>
          </w:p>
        </w:tc>
      </w:tr>
      <w:tr w:rsidR="00EA2B5F" w:rsidRPr="00F25EBD" w14:paraId="1FBBB9C6" w14:textId="77777777" w:rsidTr="00374AD6">
        <w:trPr>
          <w:trHeight w:val="288"/>
          <w:jc w:val="center"/>
        </w:trPr>
        <w:tc>
          <w:tcPr>
            <w:tcW w:w="2620" w:type="dxa"/>
            <w:tcBorders>
              <w:top w:val="single" w:sz="4" w:space="0" w:color="A6A6A6" w:themeColor="background1" w:themeShade="A6"/>
              <w:left w:val="nil"/>
              <w:bottom w:val="single" w:sz="4" w:space="0" w:color="A6A6A6" w:themeColor="background1" w:themeShade="A6"/>
              <w:right w:val="nil"/>
            </w:tcBorders>
            <w:shd w:val="clear" w:color="auto" w:fill="auto"/>
            <w:noWrap/>
            <w:vAlign w:val="bottom"/>
            <w:hideMark/>
          </w:tcPr>
          <w:p w14:paraId="5045339A" w14:textId="77777777" w:rsidR="00EA2B5F" w:rsidRPr="00F25EBD" w:rsidRDefault="00EA2B5F" w:rsidP="00374AD6">
            <w:pPr>
              <w:spacing w:after="0" w:line="240" w:lineRule="auto"/>
              <w:rPr>
                <w:rFonts w:asciiTheme="majorHAnsi" w:eastAsia="Times New Roman" w:hAnsiTheme="majorHAnsi" w:cstheme="majorHAnsi"/>
                <w:sz w:val="20"/>
                <w:szCs w:val="20"/>
                <w:lang w:eastAsia="pl-PL"/>
              </w:rPr>
            </w:pPr>
            <w:r w:rsidRPr="00F25EBD">
              <w:rPr>
                <w:rFonts w:asciiTheme="majorHAnsi" w:eastAsia="Times New Roman" w:hAnsiTheme="majorHAnsi" w:cstheme="majorHAnsi"/>
                <w:sz w:val="20"/>
                <w:szCs w:val="20"/>
                <w:lang w:eastAsia="pl-PL"/>
              </w:rPr>
              <w:t xml:space="preserve">Pisz </w:t>
            </w:r>
          </w:p>
        </w:tc>
        <w:tc>
          <w:tcPr>
            <w:tcW w:w="2620" w:type="dxa"/>
            <w:tcBorders>
              <w:top w:val="single" w:sz="4" w:space="0" w:color="A6A6A6" w:themeColor="background1" w:themeShade="A6"/>
              <w:left w:val="nil"/>
              <w:bottom w:val="single" w:sz="4" w:space="0" w:color="A6A6A6" w:themeColor="background1" w:themeShade="A6"/>
              <w:right w:val="nil"/>
            </w:tcBorders>
            <w:shd w:val="clear" w:color="auto" w:fill="auto"/>
            <w:noWrap/>
            <w:vAlign w:val="bottom"/>
            <w:hideMark/>
          </w:tcPr>
          <w:p w14:paraId="09D97CF5" w14:textId="77777777" w:rsidR="00EA2B5F" w:rsidRPr="00F25EBD" w:rsidRDefault="00EA2B5F" w:rsidP="00374AD6">
            <w:pPr>
              <w:spacing w:after="0" w:line="240" w:lineRule="auto"/>
              <w:jc w:val="center"/>
              <w:rPr>
                <w:rFonts w:asciiTheme="majorHAnsi" w:eastAsia="Times New Roman" w:hAnsiTheme="majorHAnsi" w:cstheme="majorHAnsi"/>
                <w:sz w:val="20"/>
                <w:szCs w:val="20"/>
                <w:lang w:eastAsia="pl-PL"/>
              </w:rPr>
            </w:pPr>
            <w:r w:rsidRPr="00F25EBD">
              <w:rPr>
                <w:rFonts w:asciiTheme="majorHAnsi" w:eastAsia="Times New Roman" w:hAnsiTheme="majorHAnsi" w:cstheme="majorHAnsi"/>
                <w:sz w:val="20"/>
                <w:szCs w:val="20"/>
                <w:lang w:eastAsia="pl-PL"/>
              </w:rPr>
              <w:t>miejsko-wiejska</w:t>
            </w:r>
          </w:p>
        </w:tc>
        <w:tc>
          <w:tcPr>
            <w:tcW w:w="1559" w:type="dxa"/>
            <w:tcBorders>
              <w:top w:val="single" w:sz="4" w:space="0" w:color="A6A6A6" w:themeColor="background1" w:themeShade="A6"/>
              <w:left w:val="nil"/>
              <w:bottom w:val="single" w:sz="4" w:space="0" w:color="A6A6A6" w:themeColor="background1" w:themeShade="A6"/>
              <w:right w:val="nil"/>
            </w:tcBorders>
            <w:shd w:val="clear" w:color="auto" w:fill="auto"/>
            <w:noWrap/>
            <w:vAlign w:val="bottom"/>
            <w:hideMark/>
          </w:tcPr>
          <w:p w14:paraId="779B6697" w14:textId="77777777" w:rsidR="00EA2B5F" w:rsidRPr="00F25EBD" w:rsidRDefault="00EA2B5F" w:rsidP="00374AD6">
            <w:pPr>
              <w:spacing w:after="0" w:line="240" w:lineRule="auto"/>
              <w:ind w:right="503"/>
              <w:jc w:val="right"/>
              <w:rPr>
                <w:rFonts w:asciiTheme="majorHAnsi" w:eastAsia="Times New Roman" w:hAnsiTheme="majorHAnsi" w:cstheme="majorHAnsi"/>
                <w:sz w:val="20"/>
                <w:szCs w:val="20"/>
                <w:lang w:eastAsia="pl-PL"/>
              </w:rPr>
            </w:pPr>
            <w:r w:rsidRPr="00F25EBD">
              <w:rPr>
                <w:rFonts w:asciiTheme="majorHAnsi" w:eastAsia="Times New Roman" w:hAnsiTheme="majorHAnsi" w:cstheme="majorHAnsi"/>
                <w:sz w:val="20"/>
                <w:szCs w:val="20"/>
                <w:lang w:eastAsia="pl-PL"/>
              </w:rPr>
              <w:t>634</w:t>
            </w:r>
          </w:p>
        </w:tc>
      </w:tr>
      <w:tr w:rsidR="00EA2B5F" w:rsidRPr="00F25EBD" w14:paraId="17D3F0DC" w14:textId="77777777" w:rsidTr="00374AD6">
        <w:trPr>
          <w:trHeight w:val="288"/>
          <w:jc w:val="center"/>
        </w:trPr>
        <w:tc>
          <w:tcPr>
            <w:tcW w:w="2620" w:type="dxa"/>
            <w:tcBorders>
              <w:top w:val="single" w:sz="4" w:space="0" w:color="A6A6A6" w:themeColor="background1" w:themeShade="A6"/>
              <w:left w:val="nil"/>
              <w:bottom w:val="single" w:sz="4" w:space="0" w:color="A6A6A6" w:themeColor="background1" w:themeShade="A6"/>
              <w:right w:val="nil"/>
            </w:tcBorders>
            <w:shd w:val="clear" w:color="auto" w:fill="auto"/>
            <w:noWrap/>
            <w:vAlign w:val="bottom"/>
            <w:hideMark/>
          </w:tcPr>
          <w:p w14:paraId="7FD2B1C6" w14:textId="77777777" w:rsidR="00EA2B5F" w:rsidRPr="00F25EBD" w:rsidRDefault="00EA2B5F" w:rsidP="00374AD6">
            <w:pPr>
              <w:spacing w:after="0" w:line="240" w:lineRule="auto"/>
              <w:rPr>
                <w:rFonts w:asciiTheme="majorHAnsi" w:eastAsia="Times New Roman" w:hAnsiTheme="majorHAnsi" w:cstheme="majorHAnsi"/>
                <w:sz w:val="20"/>
                <w:szCs w:val="20"/>
                <w:lang w:eastAsia="pl-PL"/>
              </w:rPr>
            </w:pPr>
            <w:proofErr w:type="spellStart"/>
            <w:r w:rsidRPr="00F25EBD">
              <w:rPr>
                <w:rFonts w:asciiTheme="majorHAnsi" w:eastAsia="Times New Roman" w:hAnsiTheme="majorHAnsi" w:cstheme="majorHAnsi"/>
                <w:sz w:val="20"/>
                <w:szCs w:val="20"/>
                <w:lang w:eastAsia="pl-PL"/>
              </w:rPr>
              <w:t>Ruciane-Nida</w:t>
            </w:r>
            <w:proofErr w:type="spellEnd"/>
            <w:r w:rsidRPr="00F25EBD">
              <w:rPr>
                <w:rFonts w:asciiTheme="majorHAnsi" w:eastAsia="Times New Roman" w:hAnsiTheme="majorHAnsi" w:cstheme="majorHAnsi"/>
                <w:sz w:val="20"/>
                <w:szCs w:val="20"/>
                <w:lang w:eastAsia="pl-PL"/>
              </w:rPr>
              <w:t xml:space="preserve"> </w:t>
            </w:r>
          </w:p>
        </w:tc>
        <w:tc>
          <w:tcPr>
            <w:tcW w:w="2620" w:type="dxa"/>
            <w:tcBorders>
              <w:top w:val="single" w:sz="4" w:space="0" w:color="A6A6A6" w:themeColor="background1" w:themeShade="A6"/>
              <w:left w:val="nil"/>
              <w:bottom w:val="single" w:sz="4" w:space="0" w:color="A6A6A6" w:themeColor="background1" w:themeShade="A6"/>
              <w:right w:val="nil"/>
            </w:tcBorders>
            <w:shd w:val="clear" w:color="auto" w:fill="auto"/>
            <w:noWrap/>
            <w:vAlign w:val="bottom"/>
            <w:hideMark/>
          </w:tcPr>
          <w:p w14:paraId="50FAF8C2" w14:textId="77777777" w:rsidR="00EA2B5F" w:rsidRPr="00F25EBD" w:rsidRDefault="00EA2B5F" w:rsidP="00374AD6">
            <w:pPr>
              <w:spacing w:after="0" w:line="240" w:lineRule="auto"/>
              <w:jc w:val="center"/>
              <w:rPr>
                <w:rFonts w:asciiTheme="majorHAnsi" w:eastAsia="Times New Roman" w:hAnsiTheme="majorHAnsi" w:cstheme="majorHAnsi"/>
                <w:sz w:val="20"/>
                <w:szCs w:val="20"/>
                <w:lang w:eastAsia="pl-PL"/>
              </w:rPr>
            </w:pPr>
            <w:r w:rsidRPr="00F25EBD">
              <w:rPr>
                <w:rFonts w:asciiTheme="majorHAnsi" w:eastAsia="Times New Roman" w:hAnsiTheme="majorHAnsi" w:cstheme="majorHAnsi"/>
                <w:sz w:val="20"/>
                <w:szCs w:val="20"/>
                <w:lang w:eastAsia="pl-PL"/>
              </w:rPr>
              <w:t>miejsko-wiejska</w:t>
            </w:r>
          </w:p>
        </w:tc>
        <w:tc>
          <w:tcPr>
            <w:tcW w:w="1559" w:type="dxa"/>
            <w:tcBorders>
              <w:top w:val="single" w:sz="4" w:space="0" w:color="A6A6A6" w:themeColor="background1" w:themeShade="A6"/>
              <w:left w:val="nil"/>
              <w:bottom w:val="single" w:sz="4" w:space="0" w:color="A6A6A6" w:themeColor="background1" w:themeShade="A6"/>
              <w:right w:val="nil"/>
            </w:tcBorders>
            <w:shd w:val="clear" w:color="auto" w:fill="auto"/>
            <w:noWrap/>
            <w:vAlign w:val="bottom"/>
            <w:hideMark/>
          </w:tcPr>
          <w:p w14:paraId="4725FFD2" w14:textId="77777777" w:rsidR="00EA2B5F" w:rsidRPr="00F25EBD" w:rsidRDefault="00EA2B5F" w:rsidP="00374AD6">
            <w:pPr>
              <w:spacing w:after="0" w:line="240" w:lineRule="auto"/>
              <w:ind w:right="503"/>
              <w:jc w:val="right"/>
              <w:rPr>
                <w:rFonts w:asciiTheme="majorHAnsi" w:eastAsia="Times New Roman" w:hAnsiTheme="majorHAnsi" w:cstheme="majorHAnsi"/>
                <w:sz w:val="20"/>
                <w:szCs w:val="20"/>
                <w:lang w:eastAsia="pl-PL"/>
              </w:rPr>
            </w:pPr>
            <w:r w:rsidRPr="00F25EBD">
              <w:rPr>
                <w:rFonts w:asciiTheme="majorHAnsi" w:eastAsia="Times New Roman" w:hAnsiTheme="majorHAnsi" w:cstheme="majorHAnsi"/>
                <w:sz w:val="20"/>
                <w:szCs w:val="20"/>
                <w:lang w:eastAsia="pl-PL"/>
              </w:rPr>
              <w:t>358</w:t>
            </w:r>
          </w:p>
        </w:tc>
      </w:tr>
      <w:tr w:rsidR="00EA2B5F" w:rsidRPr="00F25EBD" w14:paraId="3F07F1B0" w14:textId="77777777" w:rsidTr="00374AD6">
        <w:trPr>
          <w:trHeight w:val="288"/>
          <w:jc w:val="center"/>
        </w:trPr>
        <w:tc>
          <w:tcPr>
            <w:tcW w:w="5240" w:type="dxa"/>
            <w:gridSpan w:val="2"/>
            <w:tcBorders>
              <w:top w:val="single" w:sz="4" w:space="0" w:color="A6A6A6" w:themeColor="background1" w:themeShade="A6"/>
              <w:left w:val="nil"/>
              <w:bottom w:val="single" w:sz="4" w:space="0" w:color="A6A6A6" w:themeColor="background1" w:themeShade="A6"/>
              <w:right w:val="nil"/>
            </w:tcBorders>
            <w:shd w:val="clear" w:color="auto" w:fill="DEEAF6" w:themeFill="accent1" w:themeFillTint="33"/>
            <w:noWrap/>
            <w:vAlign w:val="bottom"/>
            <w:hideMark/>
          </w:tcPr>
          <w:p w14:paraId="38CBEC08" w14:textId="77777777" w:rsidR="00EA2B5F" w:rsidRPr="00F25EBD" w:rsidRDefault="00EA2B5F" w:rsidP="00374AD6">
            <w:pPr>
              <w:spacing w:after="0" w:line="240" w:lineRule="auto"/>
              <w:rPr>
                <w:rFonts w:asciiTheme="majorHAnsi" w:eastAsia="Times New Roman" w:hAnsiTheme="majorHAnsi" w:cstheme="majorHAnsi"/>
                <w:sz w:val="20"/>
                <w:szCs w:val="20"/>
                <w:lang w:eastAsia="pl-PL"/>
              </w:rPr>
            </w:pPr>
            <w:r w:rsidRPr="00F25EBD">
              <w:rPr>
                <w:rFonts w:asciiTheme="majorHAnsi" w:eastAsia="Times New Roman" w:hAnsiTheme="majorHAnsi" w:cstheme="majorHAnsi"/>
                <w:sz w:val="20"/>
                <w:szCs w:val="20"/>
                <w:lang w:eastAsia="pl-PL"/>
              </w:rPr>
              <w:t>Powiat szczycieński</w:t>
            </w:r>
          </w:p>
        </w:tc>
        <w:tc>
          <w:tcPr>
            <w:tcW w:w="1559" w:type="dxa"/>
            <w:tcBorders>
              <w:top w:val="single" w:sz="4" w:space="0" w:color="A6A6A6" w:themeColor="background1" w:themeShade="A6"/>
              <w:left w:val="nil"/>
              <w:bottom w:val="single" w:sz="4" w:space="0" w:color="A6A6A6" w:themeColor="background1" w:themeShade="A6"/>
              <w:right w:val="nil"/>
            </w:tcBorders>
            <w:shd w:val="clear" w:color="auto" w:fill="DEEAF6" w:themeFill="accent1" w:themeFillTint="33"/>
            <w:noWrap/>
            <w:vAlign w:val="bottom"/>
            <w:hideMark/>
          </w:tcPr>
          <w:p w14:paraId="022ACD05" w14:textId="77777777" w:rsidR="00EA2B5F" w:rsidRPr="00F25EBD" w:rsidRDefault="00EA2B5F" w:rsidP="00374AD6">
            <w:pPr>
              <w:spacing w:after="0" w:line="240" w:lineRule="auto"/>
              <w:ind w:right="503"/>
              <w:jc w:val="right"/>
              <w:rPr>
                <w:rFonts w:asciiTheme="majorHAnsi" w:eastAsia="Times New Roman" w:hAnsiTheme="majorHAnsi" w:cstheme="majorHAnsi"/>
                <w:sz w:val="20"/>
                <w:szCs w:val="20"/>
                <w:lang w:eastAsia="pl-PL"/>
              </w:rPr>
            </w:pPr>
            <w:r w:rsidRPr="00F25EBD">
              <w:rPr>
                <w:rFonts w:asciiTheme="majorHAnsi" w:eastAsia="Times New Roman" w:hAnsiTheme="majorHAnsi" w:cstheme="majorHAnsi"/>
                <w:sz w:val="20"/>
                <w:szCs w:val="20"/>
                <w:lang w:eastAsia="pl-PL"/>
              </w:rPr>
              <w:t>1 933</w:t>
            </w:r>
          </w:p>
        </w:tc>
      </w:tr>
      <w:tr w:rsidR="00EA2B5F" w:rsidRPr="00F25EBD" w14:paraId="186BF402" w14:textId="77777777" w:rsidTr="00374AD6">
        <w:trPr>
          <w:trHeight w:val="288"/>
          <w:jc w:val="center"/>
        </w:trPr>
        <w:tc>
          <w:tcPr>
            <w:tcW w:w="2620" w:type="dxa"/>
            <w:tcBorders>
              <w:top w:val="single" w:sz="4" w:space="0" w:color="A6A6A6" w:themeColor="background1" w:themeShade="A6"/>
              <w:left w:val="nil"/>
              <w:bottom w:val="single" w:sz="4" w:space="0" w:color="A6A6A6" w:themeColor="background1" w:themeShade="A6"/>
              <w:right w:val="nil"/>
            </w:tcBorders>
            <w:shd w:val="clear" w:color="auto" w:fill="auto"/>
            <w:noWrap/>
            <w:vAlign w:val="bottom"/>
            <w:hideMark/>
          </w:tcPr>
          <w:p w14:paraId="2ECFC19C" w14:textId="77777777" w:rsidR="00EA2B5F" w:rsidRPr="00F25EBD" w:rsidRDefault="00EA2B5F" w:rsidP="00374AD6">
            <w:pPr>
              <w:spacing w:after="0" w:line="240" w:lineRule="auto"/>
              <w:rPr>
                <w:rFonts w:asciiTheme="majorHAnsi" w:eastAsia="Times New Roman" w:hAnsiTheme="majorHAnsi" w:cstheme="majorHAnsi"/>
                <w:sz w:val="20"/>
                <w:szCs w:val="20"/>
                <w:lang w:eastAsia="pl-PL"/>
              </w:rPr>
            </w:pPr>
            <w:r w:rsidRPr="00F25EBD">
              <w:rPr>
                <w:rFonts w:asciiTheme="majorHAnsi" w:eastAsia="Times New Roman" w:hAnsiTheme="majorHAnsi" w:cstheme="majorHAnsi"/>
                <w:sz w:val="20"/>
                <w:szCs w:val="20"/>
                <w:lang w:eastAsia="pl-PL"/>
              </w:rPr>
              <w:t xml:space="preserve">Szczytno </w:t>
            </w:r>
          </w:p>
        </w:tc>
        <w:tc>
          <w:tcPr>
            <w:tcW w:w="2620" w:type="dxa"/>
            <w:tcBorders>
              <w:top w:val="single" w:sz="4" w:space="0" w:color="A6A6A6" w:themeColor="background1" w:themeShade="A6"/>
              <w:left w:val="nil"/>
              <w:bottom w:val="single" w:sz="4" w:space="0" w:color="A6A6A6" w:themeColor="background1" w:themeShade="A6"/>
              <w:right w:val="nil"/>
            </w:tcBorders>
            <w:shd w:val="clear" w:color="auto" w:fill="auto"/>
            <w:noWrap/>
            <w:vAlign w:val="bottom"/>
            <w:hideMark/>
          </w:tcPr>
          <w:p w14:paraId="734351E3" w14:textId="77777777" w:rsidR="00EA2B5F" w:rsidRPr="00F25EBD" w:rsidRDefault="00EA2B5F" w:rsidP="00374AD6">
            <w:pPr>
              <w:spacing w:after="0" w:line="240" w:lineRule="auto"/>
              <w:jc w:val="center"/>
              <w:rPr>
                <w:rFonts w:asciiTheme="majorHAnsi" w:eastAsia="Times New Roman" w:hAnsiTheme="majorHAnsi" w:cstheme="majorHAnsi"/>
                <w:sz w:val="20"/>
                <w:szCs w:val="20"/>
                <w:lang w:eastAsia="pl-PL"/>
              </w:rPr>
            </w:pPr>
            <w:r w:rsidRPr="00F25EBD">
              <w:rPr>
                <w:rFonts w:asciiTheme="majorHAnsi" w:eastAsia="Times New Roman" w:hAnsiTheme="majorHAnsi" w:cstheme="majorHAnsi"/>
                <w:sz w:val="20"/>
                <w:szCs w:val="20"/>
                <w:lang w:eastAsia="pl-PL"/>
              </w:rPr>
              <w:t>miejska</w:t>
            </w:r>
          </w:p>
        </w:tc>
        <w:tc>
          <w:tcPr>
            <w:tcW w:w="1559" w:type="dxa"/>
            <w:tcBorders>
              <w:top w:val="single" w:sz="4" w:space="0" w:color="A6A6A6" w:themeColor="background1" w:themeShade="A6"/>
              <w:left w:val="nil"/>
              <w:bottom w:val="single" w:sz="4" w:space="0" w:color="A6A6A6" w:themeColor="background1" w:themeShade="A6"/>
              <w:right w:val="nil"/>
            </w:tcBorders>
            <w:shd w:val="clear" w:color="auto" w:fill="auto"/>
            <w:noWrap/>
            <w:vAlign w:val="bottom"/>
            <w:hideMark/>
          </w:tcPr>
          <w:p w14:paraId="78A977F5" w14:textId="77777777" w:rsidR="00EA2B5F" w:rsidRPr="00F25EBD" w:rsidRDefault="00EA2B5F" w:rsidP="00374AD6">
            <w:pPr>
              <w:spacing w:after="0" w:line="240" w:lineRule="auto"/>
              <w:ind w:right="503"/>
              <w:jc w:val="right"/>
              <w:rPr>
                <w:rFonts w:asciiTheme="majorHAnsi" w:eastAsia="Times New Roman" w:hAnsiTheme="majorHAnsi" w:cstheme="majorHAnsi"/>
                <w:sz w:val="20"/>
                <w:szCs w:val="20"/>
                <w:lang w:eastAsia="pl-PL"/>
              </w:rPr>
            </w:pPr>
            <w:r w:rsidRPr="00F25EBD">
              <w:rPr>
                <w:rFonts w:asciiTheme="majorHAnsi" w:eastAsia="Times New Roman" w:hAnsiTheme="majorHAnsi" w:cstheme="majorHAnsi"/>
                <w:sz w:val="20"/>
                <w:szCs w:val="20"/>
                <w:lang w:eastAsia="pl-PL"/>
              </w:rPr>
              <w:t>11</w:t>
            </w:r>
          </w:p>
        </w:tc>
      </w:tr>
      <w:tr w:rsidR="00EA2B5F" w:rsidRPr="00F25EBD" w14:paraId="7A68EB7D" w14:textId="77777777" w:rsidTr="00374AD6">
        <w:trPr>
          <w:trHeight w:val="288"/>
          <w:jc w:val="center"/>
        </w:trPr>
        <w:tc>
          <w:tcPr>
            <w:tcW w:w="2620" w:type="dxa"/>
            <w:tcBorders>
              <w:top w:val="single" w:sz="4" w:space="0" w:color="A6A6A6" w:themeColor="background1" w:themeShade="A6"/>
              <w:left w:val="nil"/>
              <w:bottom w:val="single" w:sz="4" w:space="0" w:color="A6A6A6" w:themeColor="background1" w:themeShade="A6"/>
              <w:right w:val="nil"/>
            </w:tcBorders>
            <w:shd w:val="clear" w:color="auto" w:fill="auto"/>
            <w:noWrap/>
            <w:vAlign w:val="bottom"/>
            <w:hideMark/>
          </w:tcPr>
          <w:p w14:paraId="007CA9E7" w14:textId="77777777" w:rsidR="00EA2B5F" w:rsidRPr="00F25EBD" w:rsidRDefault="00EA2B5F" w:rsidP="00374AD6">
            <w:pPr>
              <w:spacing w:after="0" w:line="240" w:lineRule="auto"/>
              <w:rPr>
                <w:rFonts w:asciiTheme="majorHAnsi" w:eastAsia="Times New Roman" w:hAnsiTheme="majorHAnsi" w:cstheme="majorHAnsi"/>
                <w:sz w:val="20"/>
                <w:szCs w:val="20"/>
                <w:lang w:eastAsia="pl-PL"/>
              </w:rPr>
            </w:pPr>
            <w:r w:rsidRPr="00F25EBD">
              <w:rPr>
                <w:rFonts w:asciiTheme="majorHAnsi" w:eastAsia="Times New Roman" w:hAnsiTheme="majorHAnsi" w:cstheme="majorHAnsi"/>
                <w:sz w:val="20"/>
                <w:szCs w:val="20"/>
                <w:lang w:eastAsia="pl-PL"/>
              </w:rPr>
              <w:t xml:space="preserve">Dźwierzuty </w:t>
            </w:r>
          </w:p>
        </w:tc>
        <w:tc>
          <w:tcPr>
            <w:tcW w:w="2620" w:type="dxa"/>
            <w:tcBorders>
              <w:top w:val="single" w:sz="4" w:space="0" w:color="A6A6A6" w:themeColor="background1" w:themeShade="A6"/>
              <w:left w:val="nil"/>
              <w:bottom w:val="single" w:sz="4" w:space="0" w:color="A6A6A6" w:themeColor="background1" w:themeShade="A6"/>
              <w:right w:val="nil"/>
            </w:tcBorders>
            <w:shd w:val="clear" w:color="auto" w:fill="auto"/>
            <w:noWrap/>
            <w:vAlign w:val="bottom"/>
            <w:hideMark/>
          </w:tcPr>
          <w:p w14:paraId="498EA6BC" w14:textId="77777777" w:rsidR="00EA2B5F" w:rsidRPr="00F25EBD" w:rsidRDefault="00EA2B5F" w:rsidP="00374AD6">
            <w:pPr>
              <w:spacing w:after="0" w:line="240" w:lineRule="auto"/>
              <w:jc w:val="center"/>
              <w:rPr>
                <w:rFonts w:asciiTheme="majorHAnsi" w:eastAsia="Times New Roman" w:hAnsiTheme="majorHAnsi" w:cstheme="majorHAnsi"/>
                <w:sz w:val="20"/>
                <w:szCs w:val="20"/>
                <w:lang w:eastAsia="pl-PL"/>
              </w:rPr>
            </w:pPr>
            <w:r w:rsidRPr="00F25EBD">
              <w:rPr>
                <w:rFonts w:asciiTheme="majorHAnsi" w:eastAsia="Times New Roman" w:hAnsiTheme="majorHAnsi" w:cstheme="majorHAnsi"/>
                <w:sz w:val="20"/>
                <w:szCs w:val="20"/>
                <w:lang w:eastAsia="pl-PL"/>
              </w:rPr>
              <w:t>wiejska</w:t>
            </w:r>
          </w:p>
        </w:tc>
        <w:tc>
          <w:tcPr>
            <w:tcW w:w="1559" w:type="dxa"/>
            <w:tcBorders>
              <w:top w:val="single" w:sz="4" w:space="0" w:color="A6A6A6" w:themeColor="background1" w:themeShade="A6"/>
              <w:left w:val="nil"/>
              <w:bottom w:val="single" w:sz="4" w:space="0" w:color="A6A6A6" w:themeColor="background1" w:themeShade="A6"/>
              <w:right w:val="nil"/>
            </w:tcBorders>
            <w:shd w:val="clear" w:color="auto" w:fill="auto"/>
            <w:noWrap/>
            <w:vAlign w:val="bottom"/>
            <w:hideMark/>
          </w:tcPr>
          <w:p w14:paraId="009F4D66" w14:textId="77777777" w:rsidR="00EA2B5F" w:rsidRPr="00F25EBD" w:rsidRDefault="00EA2B5F" w:rsidP="00374AD6">
            <w:pPr>
              <w:spacing w:after="0" w:line="240" w:lineRule="auto"/>
              <w:ind w:right="503"/>
              <w:jc w:val="right"/>
              <w:rPr>
                <w:rFonts w:asciiTheme="majorHAnsi" w:eastAsia="Times New Roman" w:hAnsiTheme="majorHAnsi" w:cstheme="majorHAnsi"/>
                <w:sz w:val="20"/>
                <w:szCs w:val="20"/>
                <w:lang w:eastAsia="pl-PL"/>
              </w:rPr>
            </w:pPr>
            <w:r w:rsidRPr="00F25EBD">
              <w:rPr>
                <w:rFonts w:asciiTheme="majorHAnsi" w:eastAsia="Times New Roman" w:hAnsiTheme="majorHAnsi" w:cstheme="majorHAnsi"/>
                <w:sz w:val="20"/>
                <w:szCs w:val="20"/>
                <w:lang w:eastAsia="pl-PL"/>
              </w:rPr>
              <w:t>263</w:t>
            </w:r>
          </w:p>
        </w:tc>
      </w:tr>
      <w:tr w:rsidR="00EA2B5F" w:rsidRPr="00F25EBD" w14:paraId="5DF97272" w14:textId="77777777" w:rsidTr="00374AD6">
        <w:trPr>
          <w:trHeight w:val="288"/>
          <w:jc w:val="center"/>
        </w:trPr>
        <w:tc>
          <w:tcPr>
            <w:tcW w:w="2620" w:type="dxa"/>
            <w:tcBorders>
              <w:top w:val="single" w:sz="4" w:space="0" w:color="A6A6A6" w:themeColor="background1" w:themeShade="A6"/>
              <w:left w:val="nil"/>
              <w:bottom w:val="single" w:sz="4" w:space="0" w:color="A6A6A6" w:themeColor="background1" w:themeShade="A6"/>
              <w:right w:val="nil"/>
            </w:tcBorders>
            <w:shd w:val="clear" w:color="auto" w:fill="auto"/>
            <w:noWrap/>
            <w:vAlign w:val="bottom"/>
            <w:hideMark/>
          </w:tcPr>
          <w:p w14:paraId="261F0569" w14:textId="77777777" w:rsidR="00EA2B5F" w:rsidRPr="00F25EBD" w:rsidRDefault="00EA2B5F" w:rsidP="00374AD6">
            <w:pPr>
              <w:spacing w:after="0" w:line="240" w:lineRule="auto"/>
              <w:rPr>
                <w:rFonts w:asciiTheme="majorHAnsi" w:eastAsia="Times New Roman" w:hAnsiTheme="majorHAnsi" w:cstheme="majorHAnsi"/>
                <w:sz w:val="20"/>
                <w:szCs w:val="20"/>
                <w:lang w:eastAsia="pl-PL"/>
              </w:rPr>
            </w:pPr>
            <w:r w:rsidRPr="00F25EBD">
              <w:rPr>
                <w:rFonts w:asciiTheme="majorHAnsi" w:eastAsia="Times New Roman" w:hAnsiTheme="majorHAnsi" w:cstheme="majorHAnsi"/>
                <w:sz w:val="20"/>
                <w:szCs w:val="20"/>
                <w:lang w:eastAsia="pl-PL"/>
              </w:rPr>
              <w:t xml:space="preserve">Jedwabno </w:t>
            </w:r>
          </w:p>
        </w:tc>
        <w:tc>
          <w:tcPr>
            <w:tcW w:w="2620" w:type="dxa"/>
            <w:tcBorders>
              <w:top w:val="single" w:sz="4" w:space="0" w:color="A6A6A6" w:themeColor="background1" w:themeShade="A6"/>
              <w:left w:val="nil"/>
              <w:bottom w:val="single" w:sz="4" w:space="0" w:color="A6A6A6" w:themeColor="background1" w:themeShade="A6"/>
              <w:right w:val="nil"/>
            </w:tcBorders>
            <w:shd w:val="clear" w:color="auto" w:fill="auto"/>
            <w:noWrap/>
            <w:vAlign w:val="bottom"/>
            <w:hideMark/>
          </w:tcPr>
          <w:p w14:paraId="0F1F5AD9" w14:textId="77777777" w:rsidR="00EA2B5F" w:rsidRPr="00F25EBD" w:rsidRDefault="00EA2B5F" w:rsidP="00374AD6">
            <w:pPr>
              <w:spacing w:after="0" w:line="240" w:lineRule="auto"/>
              <w:jc w:val="center"/>
              <w:rPr>
                <w:rFonts w:asciiTheme="majorHAnsi" w:eastAsia="Times New Roman" w:hAnsiTheme="majorHAnsi" w:cstheme="majorHAnsi"/>
                <w:sz w:val="20"/>
                <w:szCs w:val="20"/>
                <w:lang w:eastAsia="pl-PL"/>
              </w:rPr>
            </w:pPr>
            <w:r w:rsidRPr="00F25EBD">
              <w:rPr>
                <w:rFonts w:asciiTheme="majorHAnsi" w:eastAsia="Times New Roman" w:hAnsiTheme="majorHAnsi" w:cstheme="majorHAnsi"/>
                <w:sz w:val="20"/>
                <w:szCs w:val="20"/>
                <w:lang w:eastAsia="pl-PL"/>
              </w:rPr>
              <w:t>wiejska</w:t>
            </w:r>
          </w:p>
        </w:tc>
        <w:tc>
          <w:tcPr>
            <w:tcW w:w="1559" w:type="dxa"/>
            <w:tcBorders>
              <w:top w:val="single" w:sz="4" w:space="0" w:color="A6A6A6" w:themeColor="background1" w:themeShade="A6"/>
              <w:left w:val="nil"/>
              <w:bottom w:val="single" w:sz="4" w:space="0" w:color="A6A6A6" w:themeColor="background1" w:themeShade="A6"/>
              <w:right w:val="nil"/>
            </w:tcBorders>
            <w:shd w:val="clear" w:color="auto" w:fill="auto"/>
            <w:noWrap/>
            <w:vAlign w:val="bottom"/>
            <w:hideMark/>
          </w:tcPr>
          <w:p w14:paraId="40ECF82B" w14:textId="77777777" w:rsidR="00EA2B5F" w:rsidRPr="00F25EBD" w:rsidRDefault="00EA2B5F" w:rsidP="00374AD6">
            <w:pPr>
              <w:spacing w:after="0" w:line="240" w:lineRule="auto"/>
              <w:ind w:right="503"/>
              <w:jc w:val="right"/>
              <w:rPr>
                <w:rFonts w:asciiTheme="majorHAnsi" w:eastAsia="Times New Roman" w:hAnsiTheme="majorHAnsi" w:cstheme="majorHAnsi"/>
                <w:sz w:val="20"/>
                <w:szCs w:val="20"/>
                <w:lang w:eastAsia="pl-PL"/>
              </w:rPr>
            </w:pPr>
            <w:r w:rsidRPr="00F25EBD">
              <w:rPr>
                <w:rFonts w:asciiTheme="majorHAnsi" w:eastAsia="Times New Roman" w:hAnsiTheme="majorHAnsi" w:cstheme="majorHAnsi"/>
                <w:sz w:val="20"/>
                <w:szCs w:val="20"/>
                <w:lang w:eastAsia="pl-PL"/>
              </w:rPr>
              <w:t>312</w:t>
            </w:r>
          </w:p>
        </w:tc>
      </w:tr>
      <w:tr w:rsidR="00EA2B5F" w:rsidRPr="00F25EBD" w14:paraId="175B3DD6" w14:textId="77777777" w:rsidTr="00374AD6">
        <w:trPr>
          <w:trHeight w:val="288"/>
          <w:jc w:val="center"/>
        </w:trPr>
        <w:tc>
          <w:tcPr>
            <w:tcW w:w="2620" w:type="dxa"/>
            <w:tcBorders>
              <w:top w:val="single" w:sz="4" w:space="0" w:color="A6A6A6" w:themeColor="background1" w:themeShade="A6"/>
              <w:left w:val="nil"/>
              <w:bottom w:val="single" w:sz="4" w:space="0" w:color="A6A6A6" w:themeColor="background1" w:themeShade="A6"/>
              <w:right w:val="nil"/>
            </w:tcBorders>
            <w:shd w:val="clear" w:color="auto" w:fill="auto"/>
            <w:noWrap/>
            <w:vAlign w:val="bottom"/>
            <w:hideMark/>
          </w:tcPr>
          <w:p w14:paraId="45A85DAD" w14:textId="77777777" w:rsidR="00EA2B5F" w:rsidRPr="00F25EBD" w:rsidRDefault="00EA2B5F" w:rsidP="00374AD6">
            <w:pPr>
              <w:spacing w:after="0" w:line="240" w:lineRule="auto"/>
              <w:rPr>
                <w:rFonts w:asciiTheme="majorHAnsi" w:eastAsia="Times New Roman" w:hAnsiTheme="majorHAnsi" w:cstheme="majorHAnsi"/>
                <w:sz w:val="20"/>
                <w:szCs w:val="20"/>
                <w:lang w:eastAsia="pl-PL"/>
              </w:rPr>
            </w:pPr>
            <w:r w:rsidRPr="00F25EBD">
              <w:rPr>
                <w:rFonts w:asciiTheme="majorHAnsi" w:eastAsia="Times New Roman" w:hAnsiTheme="majorHAnsi" w:cstheme="majorHAnsi"/>
                <w:sz w:val="20"/>
                <w:szCs w:val="20"/>
                <w:lang w:eastAsia="pl-PL"/>
              </w:rPr>
              <w:t xml:space="preserve">Pasym </w:t>
            </w:r>
          </w:p>
        </w:tc>
        <w:tc>
          <w:tcPr>
            <w:tcW w:w="2620" w:type="dxa"/>
            <w:tcBorders>
              <w:top w:val="single" w:sz="4" w:space="0" w:color="A6A6A6" w:themeColor="background1" w:themeShade="A6"/>
              <w:left w:val="nil"/>
              <w:bottom w:val="single" w:sz="4" w:space="0" w:color="A6A6A6" w:themeColor="background1" w:themeShade="A6"/>
              <w:right w:val="nil"/>
            </w:tcBorders>
            <w:shd w:val="clear" w:color="auto" w:fill="auto"/>
            <w:noWrap/>
            <w:vAlign w:val="bottom"/>
            <w:hideMark/>
          </w:tcPr>
          <w:p w14:paraId="671E7CA7" w14:textId="77777777" w:rsidR="00EA2B5F" w:rsidRPr="00F25EBD" w:rsidRDefault="00EA2B5F" w:rsidP="00374AD6">
            <w:pPr>
              <w:spacing w:after="0" w:line="240" w:lineRule="auto"/>
              <w:jc w:val="center"/>
              <w:rPr>
                <w:rFonts w:asciiTheme="majorHAnsi" w:eastAsia="Times New Roman" w:hAnsiTheme="majorHAnsi" w:cstheme="majorHAnsi"/>
                <w:sz w:val="20"/>
                <w:szCs w:val="20"/>
                <w:lang w:eastAsia="pl-PL"/>
              </w:rPr>
            </w:pPr>
            <w:r w:rsidRPr="00F25EBD">
              <w:rPr>
                <w:rFonts w:asciiTheme="majorHAnsi" w:eastAsia="Times New Roman" w:hAnsiTheme="majorHAnsi" w:cstheme="majorHAnsi"/>
                <w:sz w:val="20"/>
                <w:szCs w:val="20"/>
                <w:lang w:eastAsia="pl-PL"/>
              </w:rPr>
              <w:t>miejsko-wiejska</w:t>
            </w:r>
          </w:p>
        </w:tc>
        <w:tc>
          <w:tcPr>
            <w:tcW w:w="1559" w:type="dxa"/>
            <w:tcBorders>
              <w:top w:val="single" w:sz="4" w:space="0" w:color="A6A6A6" w:themeColor="background1" w:themeShade="A6"/>
              <w:left w:val="nil"/>
              <w:bottom w:val="single" w:sz="4" w:space="0" w:color="A6A6A6" w:themeColor="background1" w:themeShade="A6"/>
              <w:right w:val="nil"/>
            </w:tcBorders>
            <w:shd w:val="clear" w:color="auto" w:fill="auto"/>
            <w:noWrap/>
            <w:vAlign w:val="bottom"/>
            <w:hideMark/>
          </w:tcPr>
          <w:p w14:paraId="17A10576" w14:textId="77777777" w:rsidR="00EA2B5F" w:rsidRPr="00F25EBD" w:rsidRDefault="00EA2B5F" w:rsidP="00374AD6">
            <w:pPr>
              <w:spacing w:after="0" w:line="240" w:lineRule="auto"/>
              <w:ind w:right="503"/>
              <w:jc w:val="right"/>
              <w:rPr>
                <w:rFonts w:asciiTheme="majorHAnsi" w:eastAsia="Times New Roman" w:hAnsiTheme="majorHAnsi" w:cstheme="majorHAnsi"/>
                <w:sz w:val="20"/>
                <w:szCs w:val="20"/>
                <w:lang w:eastAsia="pl-PL"/>
              </w:rPr>
            </w:pPr>
            <w:r w:rsidRPr="00F25EBD">
              <w:rPr>
                <w:rFonts w:asciiTheme="majorHAnsi" w:eastAsia="Times New Roman" w:hAnsiTheme="majorHAnsi" w:cstheme="majorHAnsi"/>
                <w:sz w:val="20"/>
                <w:szCs w:val="20"/>
                <w:lang w:eastAsia="pl-PL"/>
              </w:rPr>
              <w:t>149</w:t>
            </w:r>
          </w:p>
        </w:tc>
      </w:tr>
      <w:tr w:rsidR="00EA2B5F" w:rsidRPr="00F25EBD" w14:paraId="5A676933" w14:textId="77777777" w:rsidTr="00374AD6">
        <w:trPr>
          <w:trHeight w:val="288"/>
          <w:jc w:val="center"/>
        </w:trPr>
        <w:tc>
          <w:tcPr>
            <w:tcW w:w="2620" w:type="dxa"/>
            <w:tcBorders>
              <w:top w:val="single" w:sz="4" w:space="0" w:color="A6A6A6" w:themeColor="background1" w:themeShade="A6"/>
              <w:left w:val="nil"/>
              <w:bottom w:val="single" w:sz="4" w:space="0" w:color="A6A6A6" w:themeColor="background1" w:themeShade="A6"/>
              <w:right w:val="nil"/>
            </w:tcBorders>
            <w:shd w:val="clear" w:color="auto" w:fill="auto"/>
            <w:noWrap/>
            <w:vAlign w:val="bottom"/>
            <w:hideMark/>
          </w:tcPr>
          <w:p w14:paraId="225FF689" w14:textId="77777777" w:rsidR="00EA2B5F" w:rsidRPr="00F25EBD" w:rsidRDefault="00EA2B5F" w:rsidP="00374AD6">
            <w:pPr>
              <w:spacing w:after="0" w:line="240" w:lineRule="auto"/>
              <w:rPr>
                <w:rFonts w:asciiTheme="majorHAnsi" w:eastAsia="Times New Roman" w:hAnsiTheme="majorHAnsi" w:cstheme="majorHAnsi"/>
                <w:sz w:val="20"/>
                <w:szCs w:val="20"/>
                <w:lang w:eastAsia="pl-PL"/>
              </w:rPr>
            </w:pPr>
            <w:r w:rsidRPr="00F25EBD">
              <w:rPr>
                <w:rFonts w:asciiTheme="majorHAnsi" w:eastAsia="Times New Roman" w:hAnsiTheme="majorHAnsi" w:cstheme="majorHAnsi"/>
                <w:sz w:val="20"/>
                <w:szCs w:val="20"/>
                <w:lang w:eastAsia="pl-PL"/>
              </w:rPr>
              <w:t xml:space="preserve">Rozogi </w:t>
            </w:r>
          </w:p>
        </w:tc>
        <w:tc>
          <w:tcPr>
            <w:tcW w:w="2620" w:type="dxa"/>
            <w:tcBorders>
              <w:top w:val="single" w:sz="4" w:space="0" w:color="A6A6A6" w:themeColor="background1" w:themeShade="A6"/>
              <w:left w:val="nil"/>
              <w:bottom w:val="single" w:sz="4" w:space="0" w:color="A6A6A6" w:themeColor="background1" w:themeShade="A6"/>
              <w:right w:val="nil"/>
            </w:tcBorders>
            <w:shd w:val="clear" w:color="auto" w:fill="auto"/>
            <w:noWrap/>
            <w:vAlign w:val="bottom"/>
            <w:hideMark/>
          </w:tcPr>
          <w:p w14:paraId="5681BDA9" w14:textId="77777777" w:rsidR="00EA2B5F" w:rsidRPr="00F25EBD" w:rsidRDefault="00EA2B5F" w:rsidP="00374AD6">
            <w:pPr>
              <w:spacing w:after="0" w:line="240" w:lineRule="auto"/>
              <w:jc w:val="center"/>
              <w:rPr>
                <w:rFonts w:asciiTheme="majorHAnsi" w:eastAsia="Times New Roman" w:hAnsiTheme="majorHAnsi" w:cstheme="majorHAnsi"/>
                <w:sz w:val="20"/>
                <w:szCs w:val="20"/>
                <w:lang w:eastAsia="pl-PL"/>
              </w:rPr>
            </w:pPr>
            <w:r w:rsidRPr="00F25EBD">
              <w:rPr>
                <w:rFonts w:asciiTheme="majorHAnsi" w:eastAsia="Times New Roman" w:hAnsiTheme="majorHAnsi" w:cstheme="majorHAnsi"/>
                <w:sz w:val="20"/>
                <w:szCs w:val="20"/>
                <w:lang w:eastAsia="pl-PL"/>
              </w:rPr>
              <w:t>wiejska</w:t>
            </w:r>
          </w:p>
        </w:tc>
        <w:tc>
          <w:tcPr>
            <w:tcW w:w="1559" w:type="dxa"/>
            <w:tcBorders>
              <w:top w:val="single" w:sz="4" w:space="0" w:color="A6A6A6" w:themeColor="background1" w:themeShade="A6"/>
              <w:left w:val="nil"/>
              <w:bottom w:val="single" w:sz="4" w:space="0" w:color="A6A6A6" w:themeColor="background1" w:themeShade="A6"/>
              <w:right w:val="nil"/>
            </w:tcBorders>
            <w:shd w:val="clear" w:color="auto" w:fill="auto"/>
            <w:noWrap/>
            <w:vAlign w:val="bottom"/>
            <w:hideMark/>
          </w:tcPr>
          <w:p w14:paraId="4A55D8B5" w14:textId="77777777" w:rsidR="00EA2B5F" w:rsidRPr="00F25EBD" w:rsidRDefault="00EA2B5F" w:rsidP="00374AD6">
            <w:pPr>
              <w:spacing w:after="0" w:line="240" w:lineRule="auto"/>
              <w:ind w:right="503"/>
              <w:jc w:val="right"/>
              <w:rPr>
                <w:rFonts w:asciiTheme="majorHAnsi" w:eastAsia="Times New Roman" w:hAnsiTheme="majorHAnsi" w:cstheme="majorHAnsi"/>
                <w:sz w:val="20"/>
                <w:szCs w:val="20"/>
                <w:lang w:eastAsia="pl-PL"/>
              </w:rPr>
            </w:pPr>
            <w:r w:rsidRPr="00F25EBD">
              <w:rPr>
                <w:rFonts w:asciiTheme="majorHAnsi" w:eastAsia="Times New Roman" w:hAnsiTheme="majorHAnsi" w:cstheme="majorHAnsi"/>
                <w:sz w:val="20"/>
                <w:szCs w:val="20"/>
                <w:lang w:eastAsia="pl-PL"/>
              </w:rPr>
              <w:t>224</w:t>
            </w:r>
          </w:p>
        </w:tc>
      </w:tr>
      <w:tr w:rsidR="00EA2B5F" w:rsidRPr="00F25EBD" w14:paraId="661DFA76" w14:textId="77777777" w:rsidTr="00374AD6">
        <w:trPr>
          <w:trHeight w:val="288"/>
          <w:jc w:val="center"/>
        </w:trPr>
        <w:tc>
          <w:tcPr>
            <w:tcW w:w="2620" w:type="dxa"/>
            <w:tcBorders>
              <w:top w:val="single" w:sz="4" w:space="0" w:color="A6A6A6" w:themeColor="background1" w:themeShade="A6"/>
              <w:left w:val="nil"/>
              <w:bottom w:val="single" w:sz="4" w:space="0" w:color="A6A6A6" w:themeColor="background1" w:themeShade="A6"/>
              <w:right w:val="nil"/>
            </w:tcBorders>
            <w:shd w:val="clear" w:color="auto" w:fill="auto"/>
            <w:noWrap/>
            <w:vAlign w:val="bottom"/>
            <w:hideMark/>
          </w:tcPr>
          <w:p w14:paraId="4C3BB460" w14:textId="77777777" w:rsidR="00EA2B5F" w:rsidRPr="00F25EBD" w:rsidRDefault="00EA2B5F" w:rsidP="00374AD6">
            <w:pPr>
              <w:spacing w:after="0" w:line="240" w:lineRule="auto"/>
              <w:rPr>
                <w:rFonts w:asciiTheme="majorHAnsi" w:eastAsia="Times New Roman" w:hAnsiTheme="majorHAnsi" w:cstheme="majorHAnsi"/>
                <w:sz w:val="20"/>
                <w:szCs w:val="20"/>
                <w:lang w:eastAsia="pl-PL"/>
              </w:rPr>
            </w:pPr>
            <w:r w:rsidRPr="00F25EBD">
              <w:rPr>
                <w:rFonts w:asciiTheme="majorHAnsi" w:eastAsia="Times New Roman" w:hAnsiTheme="majorHAnsi" w:cstheme="majorHAnsi"/>
                <w:sz w:val="20"/>
                <w:szCs w:val="20"/>
                <w:lang w:eastAsia="pl-PL"/>
              </w:rPr>
              <w:t xml:space="preserve">Szczytno </w:t>
            </w:r>
          </w:p>
        </w:tc>
        <w:tc>
          <w:tcPr>
            <w:tcW w:w="2620" w:type="dxa"/>
            <w:tcBorders>
              <w:top w:val="single" w:sz="4" w:space="0" w:color="A6A6A6" w:themeColor="background1" w:themeShade="A6"/>
              <w:left w:val="nil"/>
              <w:bottom w:val="single" w:sz="4" w:space="0" w:color="A6A6A6" w:themeColor="background1" w:themeShade="A6"/>
              <w:right w:val="nil"/>
            </w:tcBorders>
            <w:shd w:val="clear" w:color="auto" w:fill="auto"/>
            <w:noWrap/>
            <w:vAlign w:val="bottom"/>
            <w:hideMark/>
          </w:tcPr>
          <w:p w14:paraId="2983A177" w14:textId="77777777" w:rsidR="00EA2B5F" w:rsidRPr="00F25EBD" w:rsidRDefault="00EA2B5F" w:rsidP="00374AD6">
            <w:pPr>
              <w:spacing w:after="0" w:line="240" w:lineRule="auto"/>
              <w:jc w:val="center"/>
              <w:rPr>
                <w:rFonts w:asciiTheme="majorHAnsi" w:eastAsia="Times New Roman" w:hAnsiTheme="majorHAnsi" w:cstheme="majorHAnsi"/>
                <w:sz w:val="20"/>
                <w:szCs w:val="20"/>
                <w:lang w:eastAsia="pl-PL"/>
              </w:rPr>
            </w:pPr>
            <w:r w:rsidRPr="00F25EBD">
              <w:rPr>
                <w:rFonts w:asciiTheme="majorHAnsi" w:eastAsia="Times New Roman" w:hAnsiTheme="majorHAnsi" w:cstheme="majorHAnsi"/>
                <w:sz w:val="20"/>
                <w:szCs w:val="20"/>
                <w:lang w:eastAsia="pl-PL"/>
              </w:rPr>
              <w:t>wiejska</w:t>
            </w:r>
          </w:p>
        </w:tc>
        <w:tc>
          <w:tcPr>
            <w:tcW w:w="1559" w:type="dxa"/>
            <w:tcBorders>
              <w:top w:val="single" w:sz="4" w:space="0" w:color="A6A6A6" w:themeColor="background1" w:themeShade="A6"/>
              <w:left w:val="nil"/>
              <w:bottom w:val="single" w:sz="4" w:space="0" w:color="A6A6A6" w:themeColor="background1" w:themeShade="A6"/>
              <w:right w:val="nil"/>
            </w:tcBorders>
            <w:shd w:val="clear" w:color="auto" w:fill="auto"/>
            <w:noWrap/>
            <w:vAlign w:val="bottom"/>
            <w:hideMark/>
          </w:tcPr>
          <w:p w14:paraId="39D61CDC" w14:textId="77777777" w:rsidR="00EA2B5F" w:rsidRPr="00F25EBD" w:rsidRDefault="00EA2B5F" w:rsidP="00374AD6">
            <w:pPr>
              <w:spacing w:after="0" w:line="240" w:lineRule="auto"/>
              <w:ind w:right="503"/>
              <w:jc w:val="right"/>
              <w:rPr>
                <w:rFonts w:asciiTheme="majorHAnsi" w:eastAsia="Times New Roman" w:hAnsiTheme="majorHAnsi" w:cstheme="majorHAnsi"/>
                <w:sz w:val="20"/>
                <w:szCs w:val="20"/>
                <w:lang w:eastAsia="pl-PL"/>
              </w:rPr>
            </w:pPr>
            <w:r w:rsidRPr="00F25EBD">
              <w:rPr>
                <w:rFonts w:asciiTheme="majorHAnsi" w:eastAsia="Times New Roman" w:hAnsiTheme="majorHAnsi" w:cstheme="majorHAnsi"/>
                <w:sz w:val="20"/>
                <w:szCs w:val="20"/>
                <w:lang w:eastAsia="pl-PL"/>
              </w:rPr>
              <w:t>346</w:t>
            </w:r>
          </w:p>
        </w:tc>
      </w:tr>
      <w:tr w:rsidR="00EA2B5F" w:rsidRPr="00F25EBD" w14:paraId="4E24EBA9" w14:textId="77777777" w:rsidTr="00374AD6">
        <w:trPr>
          <w:trHeight w:val="288"/>
          <w:jc w:val="center"/>
        </w:trPr>
        <w:tc>
          <w:tcPr>
            <w:tcW w:w="2620" w:type="dxa"/>
            <w:tcBorders>
              <w:top w:val="single" w:sz="4" w:space="0" w:color="A6A6A6" w:themeColor="background1" w:themeShade="A6"/>
              <w:left w:val="nil"/>
              <w:bottom w:val="single" w:sz="4" w:space="0" w:color="A6A6A6" w:themeColor="background1" w:themeShade="A6"/>
              <w:right w:val="nil"/>
            </w:tcBorders>
            <w:shd w:val="clear" w:color="auto" w:fill="auto"/>
            <w:noWrap/>
            <w:vAlign w:val="bottom"/>
            <w:hideMark/>
          </w:tcPr>
          <w:p w14:paraId="271E7934" w14:textId="77777777" w:rsidR="00EA2B5F" w:rsidRPr="00F25EBD" w:rsidRDefault="00EA2B5F" w:rsidP="00374AD6">
            <w:pPr>
              <w:spacing w:after="0" w:line="240" w:lineRule="auto"/>
              <w:rPr>
                <w:rFonts w:asciiTheme="majorHAnsi" w:eastAsia="Times New Roman" w:hAnsiTheme="majorHAnsi" w:cstheme="majorHAnsi"/>
                <w:sz w:val="20"/>
                <w:szCs w:val="20"/>
                <w:lang w:eastAsia="pl-PL"/>
              </w:rPr>
            </w:pPr>
            <w:r w:rsidRPr="00F25EBD">
              <w:rPr>
                <w:rFonts w:asciiTheme="majorHAnsi" w:eastAsia="Times New Roman" w:hAnsiTheme="majorHAnsi" w:cstheme="majorHAnsi"/>
                <w:sz w:val="20"/>
                <w:szCs w:val="20"/>
                <w:lang w:eastAsia="pl-PL"/>
              </w:rPr>
              <w:t xml:space="preserve">Świętajno </w:t>
            </w:r>
          </w:p>
        </w:tc>
        <w:tc>
          <w:tcPr>
            <w:tcW w:w="2620" w:type="dxa"/>
            <w:tcBorders>
              <w:top w:val="single" w:sz="4" w:space="0" w:color="A6A6A6" w:themeColor="background1" w:themeShade="A6"/>
              <w:left w:val="nil"/>
              <w:bottom w:val="single" w:sz="4" w:space="0" w:color="A6A6A6" w:themeColor="background1" w:themeShade="A6"/>
              <w:right w:val="nil"/>
            </w:tcBorders>
            <w:shd w:val="clear" w:color="auto" w:fill="auto"/>
            <w:noWrap/>
            <w:vAlign w:val="bottom"/>
            <w:hideMark/>
          </w:tcPr>
          <w:p w14:paraId="571C8ECA" w14:textId="77777777" w:rsidR="00EA2B5F" w:rsidRPr="00F25EBD" w:rsidRDefault="00EA2B5F" w:rsidP="00374AD6">
            <w:pPr>
              <w:spacing w:after="0" w:line="240" w:lineRule="auto"/>
              <w:jc w:val="center"/>
              <w:rPr>
                <w:rFonts w:asciiTheme="majorHAnsi" w:eastAsia="Times New Roman" w:hAnsiTheme="majorHAnsi" w:cstheme="majorHAnsi"/>
                <w:sz w:val="20"/>
                <w:szCs w:val="20"/>
                <w:lang w:eastAsia="pl-PL"/>
              </w:rPr>
            </w:pPr>
            <w:r w:rsidRPr="00F25EBD">
              <w:rPr>
                <w:rFonts w:asciiTheme="majorHAnsi" w:eastAsia="Times New Roman" w:hAnsiTheme="majorHAnsi" w:cstheme="majorHAnsi"/>
                <w:sz w:val="20"/>
                <w:szCs w:val="20"/>
                <w:lang w:eastAsia="pl-PL"/>
              </w:rPr>
              <w:t>wiejska</w:t>
            </w:r>
          </w:p>
        </w:tc>
        <w:tc>
          <w:tcPr>
            <w:tcW w:w="1559" w:type="dxa"/>
            <w:tcBorders>
              <w:top w:val="single" w:sz="4" w:space="0" w:color="A6A6A6" w:themeColor="background1" w:themeShade="A6"/>
              <w:left w:val="nil"/>
              <w:bottom w:val="single" w:sz="4" w:space="0" w:color="A6A6A6" w:themeColor="background1" w:themeShade="A6"/>
              <w:right w:val="nil"/>
            </w:tcBorders>
            <w:shd w:val="clear" w:color="auto" w:fill="auto"/>
            <w:noWrap/>
            <w:vAlign w:val="bottom"/>
            <w:hideMark/>
          </w:tcPr>
          <w:p w14:paraId="7D9EBF7C" w14:textId="77777777" w:rsidR="00EA2B5F" w:rsidRPr="00F25EBD" w:rsidRDefault="00EA2B5F" w:rsidP="00374AD6">
            <w:pPr>
              <w:spacing w:after="0" w:line="240" w:lineRule="auto"/>
              <w:ind w:right="503"/>
              <w:jc w:val="right"/>
              <w:rPr>
                <w:rFonts w:asciiTheme="majorHAnsi" w:eastAsia="Times New Roman" w:hAnsiTheme="majorHAnsi" w:cstheme="majorHAnsi"/>
                <w:sz w:val="20"/>
                <w:szCs w:val="20"/>
                <w:lang w:eastAsia="pl-PL"/>
              </w:rPr>
            </w:pPr>
            <w:r w:rsidRPr="00F25EBD">
              <w:rPr>
                <w:rFonts w:asciiTheme="majorHAnsi" w:eastAsia="Times New Roman" w:hAnsiTheme="majorHAnsi" w:cstheme="majorHAnsi"/>
                <w:sz w:val="20"/>
                <w:szCs w:val="20"/>
                <w:lang w:eastAsia="pl-PL"/>
              </w:rPr>
              <w:t>280</w:t>
            </w:r>
          </w:p>
        </w:tc>
      </w:tr>
      <w:tr w:rsidR="00EA2B5F" w:rsidRPr="00F25EBD" w14:paraId="1E2974E7" w14:textId="77777777" w:rsidTr="00374AD6">
        <w:trPr>
          <w:trHeight w:val="288"/>
          <w:jc w:val="center"/>
        </w:trPr>
        <w:tc>
          <w:tcPr>
            <w:tcW w:w="2620" w:type="dxa"/>
            <w:tcBorders>
              <w:top w:val="single" w:sz="4" w:space="0" w:color="A6A6A6" w:themeColor="background1" w:themeShade="A6"/>
              <w:left w:val="nil"/>
              <w:bottom w:val="single" w:sz="4" w:space="0" w:color="A6A6A6" w:themeColor="background1" w:themeShade="A6"/>
              <w:right w:val="nil"/>
            </w:tcBorders>
            <w:shd w:val="clear" w:color="auto" w:fill="auto"/>
            <w:noWrap/>
            <w:vAlign w:val="bottom"/>
            <w:hideMark/>
          </w:tcPr>
          <w:p w14:paraId="797196B8" w14:textId="77777777" w:rsidR="00EA2B5F" w:rsidRPr="00F25EBD" w:rsidRDefault="00EA2B5F" w:rsidP="00374AD6">
            <w:pPr>
              <w:spacing w:after="0" w:line="240" w:lineRule="auto"/>
              <w:rPr>
                <w:rFonts w:asciiTheme="majorHAnsi" w:eastAsia="Times New Roman" w:hAnsiTheme="majorHAnsi" w:cstheme="majorHAnsi"/>
                <w:sz w:val="20"/>
                <w:szCs w:val="20"/>
                <w:lang w:eastAsia="pl-PL"/>
              </w:rPr>
            </w:pPr>
            <w:r w:rsidRPr="00F25EBD">
              <w:rPr>
                <w:rFonts w:asciiTheme="majorHAnsi" w:eastAsia="Times New Roman" w:hAnsiTheme="majorHAnsi" w:cstheme="majorHAnsi"/>
                <w:sz w:val="20"/>
                <w:szCs w:val="20"/>
                <w:lang w:eastAsia="pl-PL"/>
              </w:rPr>
              <w:t xml:space="preserve">Wielbark </w:t>
            </w:r>
          </w:p>
        </w:tc>
        <w:tc>
          <w:tcPr>
            <w:tcW w:w="2620" w:type="dxa"/>
            <w:tcBorders>
              <w:top w:val="single" w:sz="4" w:space="0" w:color="A6A6A6" w:themeColor="background1" w:themeShade="A6"/>
              <w:left w:val="nil"/>
              <w:bottom w:val="single" w:sz="4" w:space="0" w:color="A6A6A6" w:themeColor="background1" w:themeShade="A6"/>
              <w:right w:val="nil"/>
            </w:tcBorders>
            <w:shd w:val="clear" w:color="auto" w:fill="auto"/>
            <w:noWrap/>
            <w:vAlign w:val="bottom"/>
            <w:hideMark/>
          </w:tcPr>
          <w:p w14:paraId="15B0195E" w14:textId="77777777" w:rsidR="00EA2B5F" w:rsidRPr="00F25EBD" w:rsidRDefault="00EA2B5F" w:rsidP="00374AD6">
            <w:pPr>
              <w:spacing w:after="0" w:line="240" w:lineRule="auto"/>
              <w:jc w:val="center"/>
              <w:rPr>
                <w:rFonts w:asciiTheme="majorHAnsi" w:eastAsia="Times New Roman" w:hAnsiTheme="majorHAnsi" w:cstheme="majorHAnsi"/>
                <w:sz w:val="20"/>
                <w:szCs w:val="20"/>
                <w:lang w:eastAsia="pl-PL"/>
              </w:rPr>
            </w:pPr>
            <w:r w:rsidRPr="00F25EBD">
              <w:rPr>
                <w:rFonts w:asciiTheme="majorHAnsi" w:eastAsia="Times New Roman" w:hAnsiTheme="majorHAnsi" w:cstheme="majorHAnsi"/>
                <w:sz w:val="20"/>
                <w:szCs w:val="20"/>
                <w:lang w:eastAsia="pl-PL"/>
              </w:rPr>
              <w:t>miejsko-wiejska</w:t>
            </w:r>
          </w:p>
        </w:tc>
        <w:tc>
          <w:tcPr>
            <w:tcW w:w="1559" w:type="dxa"/>
            <w:tcBorders>
              <w:top w:val="single" w:sz="4" w:space="0" w:color="A6A6A6" w:themeColor="background1" w:themeShade="A6"/>
              <w:left w:val="nil"/>
              <w:bottom w:val="single" w:sz="4" w:space="0" w:color="A6A6A6" w:themeColor="background1" w:themeShade="A6"/>
              <w:right w:val="nil"/>
            </w:tcBorders>
            <w:shd w:val="clear" w:color="auto" w:fill="auto"/>
            <w:noWrap/>
            <w:vAlign w:val="bottom"/>
            <w:hideMark/>
          </w:tcPr>
          <w:p w14:paraId="1FC9DCD4" w14:textId="77777777" w:rsidR="00EA2B5F" w:rsidRPr="00F25EBD" w:rsidRDefault="00EA2B5F" w:rsidP="00374AD6">
            <w:pPr>
              <w:spacing w:after="0" w:line="240" w:lineRule="auto"/>
              <w:ind w:right="503"/>
              <w:jc w:val="right"/>
              <w:rPr>
                <w:rFonts w:asciiTheme="majorHAnsi" w:eastAsia="Times New Roman" w:hAnsiTheme="majorHAnsi" w:cstheme="majorHAnsi"/>
                <w:sz w:val="20"/>
                <w:szCs w:val="20"/>
                <w:lang w:eastAsia="pl-PL"/>
              </w:rPr>
            </w:pPr>
            <w:r w:rsidRPr="00F25EBD">
              <w:rPr>
                <w:rFonts w:asciiTheme="majorHAnsi" w:eastAsia="Times New Roman" w:hAnsiTheme="majorHAnsi" w:cstheme="majorHAnsi"/>
                <w:sz w:val="20"/>
                <w:szCs w:val="20"/>
                <w:lang w:eastAsia="pl-PL"/>
              </w:rPr>
              <w:t>348</w:t>
            </w:r>
          </w:p>
        </w:tc>
      </w:tr>
    </w:tbl>
    <w:p w14:paraId="37768B20" w14:textId="77777777" w:rsidR="00EA2B5F" w:rsidRPr="00F25EBD" w:rsidRDefault="00EA2B5F" w:rsidP="00374AD6">
      <w:pPr>
        <w:pStyle w:val="rdo"/>
      </w:pPr>
      <w:r w:rsidRPr="00F25EBD">
        <w:t>Źródło: opracowanie własne na podstawie danych BDL.</w:t>
      </w:r>
    </w:p>
    <w:p w14:paraId="59C40FDC" w14:textId="77777777" w:rsidR="00EA2B5F" w:rsidRPr="00F25EBD" w:rsidRDefault="00EA2B5F" w:rsidP="00FC7062">
      <w:pPr>
        <w:spacing w:after="0" w:line="276" w:lineRule="auto"/>
        <w:jc w:val="both"/>
        <w:rPr>
          <w:rFonts w:asciiTheme="majorHAnsi" w:hAnsiTheme="majorHAnsi" w:cstheme="majorHAnsi"/>
        </w:rPr>
      </w:pPr>
    </w:p>
    <w:p w14:paraId="51A13E77" w14:textId="77777777" w:rsidR="00EA2B5F" w:rsidRPr="00F25EBD" w:rsidRDefault="00EA2B5F" w:rsidP="00FC7062">
      <w:pPr>
        <w:spacing w:after="0" w:line="276" w:lineRule="auto"/>
        <w:jc w:val="both"/>
        <w:rPr>
          <w:rFonts w:asciiTheme="majorHAnsi" w:hAnsiTheme="majorHAnsi" w:cstheme="majorHAnsi"/>
        </w:rPr>
      </w:pPr>
      <w:r w:rsidRPr="00F25EBD">
        <w:rPr>
          <w:rFonts w:asciiTheme="majorHAnsi" w:hAnsiTheme="majorHAnsi" w:cstheme="majorHAnsi"/>
        </w:rPr>
        <w:t xml:space="preserve">W sieci osadniczej Południowych Mazur występują 483 sołectwa (w tym: 135 w powiecie szczycieńskim, 133 w </w:t>
      </w:r>
      <w:proofErr w:type="spellStart"/>
      <w:r w:rsidRPr="00F25EBD">
        <w:rPr>
          <w:rFonts w:asciiTheme="majorHAnsi" w:hAnsiTheme="majorHAnsi" w:cstheme="majorHAnsi"/>
        </w:rPr>
        <w:t>piskim</w:t>
      </w:r>
      <w:proofErr w:type="spellEnd"/>
      <w:r w:rsidRPr="00F25EBD">
        <w:rPr>
          <w:rFonts w:asciiTheme="majorHAnsi" w:hAnsiTheme="majorHAnsi" w:cstheme="majorHAnsi"/>
        </w:rPr>
        <w:t xml:space="preserve">, 110 w nidzickim, 105 w działdowskim) oraz 752 miejscowości (w tym: 228 w powiecie szczycieńskim, 213 w </w:t>
      </w:r>
      <w:proofErr w:type="spellStart"/>
      <w:r w:rsidRPr="00F25EBD">
        <w:rPr>
          <w:rFonts w:asciiTheme="majorHAnsi" w:hAnsiTheme="majorHAnsi" w:cstheme="majorHAnsi"/>
        </w:rPr>
        <w:t>piskim</w:t>
      </w:r>
      <w:proofErr w:type="spellEnd"/>
      <w:r w:rsidRPr="00F25EBD">
        <w:rPr>
          <w:rFonts w:asciiTheme="majorHAnsi" w:hAnsiTheme="majorHAnsi" w:cstheme="majorHAnsi"/>
        </w:rPr>
        <w:t>, 172 w nidzickim, 139 w działdowskim).</w:t>
      </w:r>
    </w:p>
    <w:p w14:paraId="31E64960" w14:textId="77777777" w:rsidR="00EA2B5F" w:rsidRPr="00F25EBD" w:rsidRDefault="00EA2B5F" w:rsidP="00FC7062">
      <w:pPr>
        <w:spacing w:after="0" w:line="276" w:lineRule="auto"/>
        <w:jc w:val="both"/>
        <w:rPr>
          <w:rFonts w:asciiTheme="majorHAnsi" w:hAnsiTheme="majorHAnsi" w:cstheme="majorHAnsi"/>
        </w:rPr>
      </w:pPr>
    </w:p>
    <w:p w14:paraId="6A99C229" w14:textId="0DB61A40" w:rsidR="00EA2B5F" w:rsidRPr="00F25EBD" w:rsidRDefault="00374AD6" w:rsidP="00374AD6">
      <w:pPr>
        <w:pStyle w:val="Nagwek2"/>
        <w:spacing w:before="0"/>
        <w:jc w:val="both"/>
        <w:rPr>
          <w:rFonts w:cstheme="majorHAnsi"/>
        </w:rPr>
      </w:pPr>
      <w:bookmarkStart w:id="13" w:name="_Toc77070600"/>
      <w:r>
        <w:rPr>
          <w:rFonts w:cstheme="majorHAnsi"/>
        </w:rPr>
        <w:t xml:space="preserve">2.3 </w:t>
      </w:r>
      <w:r w:rsidR="00EA2B5F" w:rsidRPr="00F25EBD">
        <w:rPr>
          <w:rFonts w:cstheme="majorHAnsi"/>
        </w:rPr>
        <w:t>Stan zagospodarowania i zasoby naturalne</w:t>
      </w:r>
      <w:bookmarkEnd w:id="13"/>
    </w:p>
    <w:p w14:paraId="3CC13BE7" w14:textId="3B5E0163" w:rsidR="00EA2B5F" w:rsidRPr="00F25EBD" w:rsidRDefault="00EA2B5F" w:rsidP="00FC7062">
      <w:pPr>
        <w:spacing w:after="0" w:line="276" w:lineRule="auto"/>
        <w:jc w:val="both"/>
        <w:rPr>
          <w:rFonts w:asciiTheme="majorHAnsi" w:hAnsiTheme="majorHAnsi" w:cstheme="majorHAnsi"/>
        </w:rPr>
      </w:pPr>
      <w:r w:rsidRPr="00F25EBD">
        <w:rPr>
          <w:rFonts w:asciiTheme="majorHAnsi" w:hAnsiTheme="majorHAnsi" w:cstheme="majorHAnsi"/>
        </w:rPr>
        <w:t xml:space="preserve">Południowe Mazury pod względem użytkowania terenu są obszarem </w:t>
      </w:r>
      <w:r w:rsidRPr="0097790E">
        <w:rPr>
          <w:rFonts w:asciiTheme="majorHAnsi" w:hAnsiTheme="majorHAnsi" w:cstheme="majorHAnsi"/>
          <w:color w:val="FF0000"/>
        </w:rPr>
        <w:t>leśno-rolnym</w:t>
      </w:r>
      <w:r w:rsidRPr="00F25EBD">
        <w:rPr>
          <w:rFonts w:asciiTheme="majorHAnsi" w:hAnsiTheme="majorHAnsi" w:cstheme="majorHAnsi"/>
        </w:rPr>
        <w:t>. W strukturze wykorzystania powierzchni ogółem zdecydowany prym wiodą tu dwa rodzaje zagospodarowania, tj. użytki rolne (42,5%, przy średniej wojewódzkiej = 54,2%) oraz grunty leśne, zadrzewione i</w:t>
      </w:r>
      <w:r w:rsidR="007B04A7">
        <w:rPr>
          <w:rFonts w:asciiTheme="majorHAnsi" w:hAnsiTheme="majorHAnsi" w:cstheme="majorHAnsi"/>
        </w:rPr>
        <w:t xml:space="preserve"> </w:t>
      </w:r>
      <w:r w:rsidRPr="00F25EBD">
        <w:rPr>
          <w:rFonts w:asciiTheme="majorHAnsi" w:hAnsiTheme="majorHAnsi" w:cstheme="majorHAnsi"/>
        </w:rPr>
        <w:t>zakrzewione (46,4%, przy średniej wojewódzkiej = 32,8%) (rys).</w:t>
      </w:r>
    </w:p>
    <w:p w14:paraId="66F12250" w14:textId="08C8B9DA" w:rsidR="00EA2B5F" w:rsidRPr="00F25EBD" w:rsidRDefault="00EA2B5F" w:rsidP="000E5B5A">
      <w:pPr>
        <w:pStyle w:val="nad"/>
      </w:pPr>
      <w:bookmarkStart w:id="14" w:name="_Toc81301531"/>
      <w:r w:rsidRPr="00F25EBD">
        <w:t xml:space="preserve">Rysunek </w:t>
      </w:r>
      <w:r w:rsidRPr="00F25EBD">
        <w:rPr>
          <w:noProof/>
        </w:rPr>
        <w:fldChar w:fldCharType="begin"/>
      </w:r>
      <w:r w:rsidRPr="00F25EBD">
        <w:rPr>
          <w:noProof/>
        </w:rPr>
        <w:instrText xml:space="preserve"> SEQ Rysunek \* ARABIC </w:instrText>
      </w:r>
      <w:r w:rsidRPr="00F25EBD">
        <w:rPr>
          <w:noProof/>
        </w:rPr>
        <w:fldChar w:fldCharType="separate"/>
      </w:r>
      <w:r w:rsidR="006C7815">
        <w:rPr>
          <w:noProof/>
        </w:rPr>
        <w:t>3</w:t>
      </w:r>
      <w:r w:rsidRPr="00F25EBD">
        <w:rPr>
          <w:noProof/>
        </w:rPr>
        <w:fldChar w:fldCharType="end"/>
      </w:r>
      <w:r w:rsidRPr="00F25EBD">
        <w:t xml:space="preserve">. Kierunki wykorzystania powierzchni </w:t>
      </w:r>
      <w:r w:rsidR="00BA0941" w:rsidRPr="00F25EBD">
        <w:t xml:space="preserve">Południowych </w:t>
      </w:r>
      <w:r w:rsidRPr="00F25EBD">
        <w:t>Mazur (2014</w:t>
      </w:r>
      <w:r w:rsidR="00F7062F">
        <w:t>r.</w:t>
      </w:r>
      <w:r w:rsidRPr="00F25EBD">
        <w:rPr>
          <w:rStyle w:val="Odwoanieprzypisudolnego"/>
          <w:rFonts w:cstheme="majorHAnsi"/>
        </w:rPr>
        <w:footnoteReference w:id="10"/>
      </w:r>
      <w:r w:rsidRPr="00F25EBD">
        <w:t>)</w:t>
      </w:r>
      <w:bookmarkEnd w:id="14"/>
    </w:p>
    <w:p w14:paraId="4BBE40DC" w14:textId="77777777" w:rsidR="00EA2B5F" w:rsidRPr="00F25EBD" w:rsidRDefault="00EA2B5F" w:rsidP="00FC7062">
      <w:pPr>
        <w:spacing w:after="0" w:line="276" w:lineRule="auto"/>
        <w:jc w:val="center"/>
        <w:rPr>
          <w:rFonts w:asciiTheme="majorHAnsi" w:hAnsiTheme="majorHAnsi" w:cstheme="majorHAnsi"/>
        </w:rPr>
      </w:pPr>
      <w:r w:rsidRPr="00F25EBD">
        <w:rPr>
          <w:rFonts w:asciiTheme="majorHAnsi" w:hAnsiTheme="majorHAnsi" w:cstheme="majorHAnsi"/>
          <w:noProof/>
          <w:lang w:eastAsia="pl-PL"/>
        </w:rPr>
        <w:drawing>
          <wp:inline distT="0" distB="0" distL="0" distR="0" wp14:anchorId="01A002B3" wp14:editId="19E7D6A2">
            <wp:extent cx="5759450" cy="2398143"/>
            <wp:effectExtent l="0" t="0" r="12700" b="2540"/>
            <wp:docPr id="1" name="Wykres 1">
              <a:extLst xmlns:a="http://schemas.openxmlformats.org/drawingml/2006/main">
                <a:ext uri="{FF2B5EF4-FFF2-40B4-BE49-F238E27FC236}">
                  <a16:creationId xmlns:a16="http://schemas.microsoft.com/office/drawing/2014/main" id="{2CEFA514-50D3-47D4-A6C5-4F09465E55F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5CCB240B" w14:textId="77777777" w:rsidR="00EA2B5F" w:rsidRPr="007A5888" w:rsidRDefault="00EA2B5F" w:rsidP="007A5888">
      <w:pPr>
        <w:pStyle w:val="rdo"/>
      </w:pPr>
      <w:r w:rsidRPr="007A5888">
        <w:t>Źródło: opracowanie własne na podstawie danych BDL.</w:t>
      </w:r>
    </w:p>
    <w:p w14:paraId="4AB0C9A9" w14:textId="77777777" w:rsidR="008A3FED" w:rsidRDefault="008A3FED" w:rsidP="008A3FED">
      <w:pPr>
        <w:spacing w:line="276" w:lineRule="auto"/>
        <w:jc w:val="both"/>
        <w:rPr>
          <w:rFonts w:asciiTheme="majorHAnsi" w:hAnsiTheme="majorHAnsi" w:cstheme="majorHAnsi"/>
        </w:rPr>
      </w:pPr>
    </w:p>
    <w:p w14:paraId="4D2ACFB8" w14:textId="3C3CE06B" w:rsidR="00EA2B5F" w:rsidRDefault="00EA2B5F" w:rsidP="008A3FED">
      <w:pPr>
        <w:spacing w:line="276" w:lineRule="auto"/>
        <w:jc w:val="both"/>
        <w:rPr>
          <w:rFonts w:asciiTheme="majorHAnsi" w:hAnsiTheme="majorHAnsi" w:cstheme="majorHAnsi"/>
        </w:rPr>
      </w:pPr>
      <w:r w:rsidRPr="00F25EBD">
        <w:rPr>
          <w:rFonts w:asciiTheme="majorHAnsi" w:hAnsiTheme="majorHAnsi" w:cstheme="majorHAnsi"/>
        </w:rPr>
        <w:t xml:space="preserve">Najwyższe nasycenie gruntami ornymi widoczne jest w zachodniej części PM i dotyczy szczególnie czterech sąsiadujących ze sobą gmin wiejskich, tj. Płośnicy, Działdowa, Kozłowa i Janowca Kościelnego, w których ponad ¾ terenu przeznaczona jest na cele rolnicze. Koncentracja lasów, </w:t>
      </w:r>
      <w:proofErr w:type="spellStart"/>
      <w:r w:rsidRPr="00F25EBD">
        <w:rPr>
          <w:rFonts w:asciiTheme="majorHAnsi" w:hAnsiTheme="majorHAnsi" w:cstheme="majorHAnsi"/>
        </w:rPr>
        <w:t>zadrzewień</w:t>
      </w:r>
      <w:proofErr w:type="spellEnd"/>
      <w:r w:rsidRPr="00F25EBD">
        <w:rPr>
          <w:rFonts w:asciiTheme="majorHAnsi" w:hAnsiTheme="majorHAnsi" w:cstheme="majorHAnsi"/>
        </w:rPr>
        <w:t xml:space="preserve"> i</w:t>
      </w:r>
      <w:r w:rsidR="001676E7">
        <w:rPr>
          <w:rFonts w:asciiTheme="majorHAnsi" w:hAnsiTheme="majorHAnsi" w:cstheme="majorHAnsi"/>
        </w:rPr>
        <w:t> </w:t>
      </w:r>
      <w:proofErr w:type="spellStart"/>
      <w:r w:rsidRPr="00F25EBD">
        <w:rPr>
          <w:rFonts w:asciiTheme="majorHAnsi" w:hAnsiTheme="majorHAnsi" w:cstheme="majorHAnsi"/>
        </w:rPr>
        <w:t>zakrzewień</w:t>
      </w:r>
      <w:proofErr w:type="spellEnd"/>
      <w:r w:rsidRPr="00F25EBD">
        <w:rPr>
          <w:rFonts w:asciiTheme="majorHAnsi" w:hAnsiTheme="majorHAnsi" w:cstheme="majorHAnsi"/>
        </w:rPr>
        <w:t xml:space="preserve"> występuje w środkowej części analizowanego obszaru, tj. w gminach: </w:t>
      </w:r>
      <w:proofErr w:type="spellStart"/>
      <w:r w:rsidRPr="00F25EBD">
        <w:rPr>
          <w:rFonts w:asciiTheme="majorHAnsi" w:hAnsiTheme="majorHAnsi" w:cstheme="majorHAnsi"/>
        </w:rPr>
        <w:t>Ruciane-Nida</w:t>
      </w:r>
      <w:proofErr w:type="spellEnd"/>
      <w:r w:rsidRPr="00F25EBD">
        <w:rPr>
          <w:rFonts w:asciiTheme="majorHAnsi" w:hAnsiTheme="majorHAnsi" w:cstheme="majorHAnsi"/>
        </w:rPr>
        <w:t xml:space="preserve"> (74,9%), Jedwabno (68,3%), Świętajno (66,4%), Janowo (64,5%) i Wielbark (60,8%). Największy odsetek gruntów znajdujących się pod wodami występuje w gminie Pisz (19,4%), natomiast gruntów zabudowanych i zurbanizowanych</w:t>
      </w:r>
      <w:r w:rsidR="00336D76" w:rsidRPr="00F25EBD">
        <w:rPr>
          <w:rFonts w:asciiTheme="majorHAnsi" w:hAnsiTheme="majorHAnsi" w:cstheme="majorHAnsi"/>
        </w:rPr>
        <w:t xml:space="preserve"> - </w:t>
      </w:r>
      <w:r w:rsidRPr="00F25EBD">
        <w:rPr>
          <w:rFonts w:asciiTheme="majorHAnsi" w:hAnsiTheme="majorHAnsi" w:cstheme="majorHAnsi"/>
        </w:rPr>
        <w:t xml:space="preserve">w obu gminach miejskich regionu, tj. Szczytnie (60,1%) i Działdowie (41,0%). </w:t>
      </w:r>
    </w:p>
    <w:p w14:paraId="1BDAA7E9" w14:textId="1A559DB1" w:rsidR="00EA2B5F" w:rsidRPr="00F25EBD" w:rsidRDefault="00EA2B5F" w:rsidP="00FC7062">
      <w:pPr>
        <w:spacing w:after="0" w:line="276" w:lineRule="auto"/>
        <w:jc w:val="both"/>
        <w:rPr>
          <w:rFonts w:asciiTheme="majorHAnsi" w:hAnsiTheme="majorHAnsi" w:cstheme="majorHAnsi"/>
        </w:rPr>
      </w:pPr>
      <w:r w:rsidRPr="00F25EBD">
        <w:rPr>
          <w:rFonts w:asciiTheme="majorHAnsi" w:hAnsiTheme="majorHAnsi" w:cstheme="majorHAnsi"/>
        </w:rPr>
        <w:t>Na terenie Południowych Mazur występują udokumentowane złoża kredy, piasków i żwirów oraz piasków kwarcowych. Największa liczba złóż eksploatowanych (20) dotyczy piasków i żwirów i</w:t>
      </w:r>
      <w:r w:rsidR="001676E7">
        <w:rPr>
          <w:rFonts w:asciiTheme="majorHAnsi" w:hAnsiTheme="majorHAnsi" w:cstheme="majorHAnsi"/>
        </w:rPr>
        <w:t> </w:t>
      </w:r>
      <w:r w:rsidRPr="00F25EBD">
        <w:rPr>
          <w:rFonts w:asciiTheme="majorHAnsi" w:hAnsiTheme="majorHAnsi" w:cstheme="majorHAnsi"/>
        </w:rPr>
        <w:t>zlokalizowana jest na terenie powiatu szczycieńskiego (tab.).</w:t>
      </w:r>
    </w:p>
    <w:p w14:paraId="75F74BD2" w14:textId="5131BCC5" w:rsidR="00EA2B5F" w:rsidRPr="00F25EBD" w:rsidRDefault="00EA2B5F" w:rsidP="000E5B5A">
      <w:pPr>
        <w:pStyle w:val="nad"/>
      </w:pPr>
      <w:bookmarkStart w:id="15" w:name="_Toc81300528"/>
      <w:r w:rsidRPr="00F25EBD">
        <w:t xml:space="preserve">Tabela </w:t>
      </w:r>
      <w:r w:rsidRPr="00F25EBD">
        <w:rPr>
          <w:noProof/>
        </w:rPr>
        <w:fldChar w:fldCharType="begin"/>
      </w:r>
      <w:r w:rsidRPr="00F25EBD">
        <w:rPr>
          <w:noProof/>
        </w:rPr>
        <w:instrText xml:space="preserve"> SEQ Tabela \* ARABIC </w:instrText>
      </w:r>
      <w:r w:rsidRPr="00F25EBD">
        <w:rPr>
          <w:noProof/>
        </w:rPr>
        <w:fldChar w:fldCharType="separate"/>
      </w:r>
      <w:r w:rsidR="006C7815">
        <w:rPr>
          <w:noProof/>
        </w:rPr>
        <w:t>2</w:t>
      </w:r>
      <w:r w:rsidRPr="00F25EBD">
        <w:rPr>
          <w:noProof/>
        </w:rPr>
        <w:fldChar w:fldCharType="end"/>
      </w:r>
      <w:r w:rsidRPr="00F25EBD">
        <w:t xml:space="preserve">. Zasoby surowców naturalnych występujących na terenie Południowych </w:t>
      </w:r>
      <w:r w:rsidR="00D33E06" w:rsidRPr="00F25EBD">
        <w:t xml:space="preserve">Mazur </w:t>
      </w:r>
      <w:r w:rsidRPr="00F25EBD">
        <w:t>(wg stanu na 31.12.2019</w:t>
      </w:r>
      <w:r w:rsidR="00F7062F">
        <w:t>r.</w:t>
      </w:r>
      <w:r w:rsidRPr="00F25EBD">
        <w:t>)</w:t>
      </w:r>
      <w:bookmarkEnd w:id="15"/>
    </w:p>
    <w:tbl>
      <w:tblPr>
        <w:tblStyle w:val="Tabela-Siatka"/>
        <w:tblW w:w="0" w:type="auto"/>
        <w:tblBorders>
          <w:top w:val="none" w:sz="0" w:space="0" w:color="auto"/>
          <w:left w:val="none" w:sz="0" w:space="0" w:color="auto"/>
          <w:bottom w:val="single" w:sz="4" w:space="0" w:color="A6A6A6" w:themeColor="background1" w:themeShade="A6"/>
          <w:right w:val="none" w:sz="0" w:space="0" w:color="auto"/>
          <w:insideH w:val="single" w:sz="4" w:space="0" w:color="A6A6A6" w:themeColor="background1" w:themeShade="A6"/>
          <w:insideV w:val="none" w:sz="0" w:space="0" w:color="auto"/>
        </w:tblBorders>
        <w:tblLook w:val="04A0" w:firstRow="1" w:lastRow="0" w:firstColumn="1" w:lastColumn="0" w:noHBand="0" w:noVBand="1"/>
      </w:tblPr>
      <w:tblGrid>
        <w:gridCol w:w="1502"/>
        <w:gridCol w:w="4677"/>
        <w:gridCol w:w="777"/>
        <w:gridCol w:w="704"/>
        <w:gridCol w:w="703"/>
        <w:gridCol w:w="697"/>
      </w:tblGrid>
      <w:tr w:rsidR="0060383F" w:rsidRPr="0060383F" w14:paraId="1E8C0DCB" w14:textId="77777777" w:rsidTr="0060383F">
        <w:tc>
          <w:tcPr>
            <w:tcW w:w="1503"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vAlign w:val="center"/>
          </w:tcPr>
          <w:p w14:paraId="2B24B88B" w14:textId="77777777" w:rsidR="00EA2B5F" w:rsidRPr="0060383F" w:rsidRDefault="00EA2B5F" w:rsidP="0060383F">
            <w:pPr>
              <w:jc w:val="center"/>
              <w:rPr>
                <w:rFonts w:asciiTheme="majorHAnsi" w:hAnsiTheme="majorHAnsi" w:cstheme="majorHAnsi"/>
                <w:color w:val="FFFFFF" w:themeColor="background1"/>
                <w:sz w:val="20"/>
                <w:szCs w:val="20"/>
              </w:rPr>
            </w:pPr>
            <w:r w:rsidRPr="0060383F">
              <w:rPr>
                <w:rFonts w:asciiTheme="majorHAnsi" w:hAnsiTheme="majorHAnsi" w:cstheme="majorHAnsi"/>
                <w:color w:val="FFFFFF" w:themeColor="background1"/>
                <w:sz w:val="20"/>
                <w:szCs w:val="20"/>
              </w:rPr>
              <w:t>Kopalina</w:t>
            </w:r>
          </w:p>
        </w:tc>
        <w:tc>
          <w:tcPr>
            <w:tcW w:w="4678"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vAlign w:val="center"/>
          </w:tcPr>
          <w:p w14:paraId="3AC86CB6" w14:textId="77777777" w:rsidR="00EA2B5F" w:rsidRPr="0060383F" w:rsidRDefault="00EA2B5F" w:rsidP="0060383F">
            <w:pPr>
              <w:jc w:val="center"/>
              <w:rPr>
                <w:rFonts w:asciiTheme="majorHAnsi" w:hAnsiTheme="majorHAnsi" w:cstheme="majorHAnsi"/>
                <w:color w:val="FFFFFF" w:themeColor="background1"/>
                <w:sz w:val="20"/>
                <w:szCs w:val="20"/>
              </w:rPr>
            </w:pPr>
            <w:r w:rsidRPr="0060383F">
              <w:rPr>
                <w:rFonts w:asciiTheme="majorHAnsi" w:hAnsiTheme="majorHAnsi" w:cstheme="majorHAnsi"/>
                <w:color w:val="FFFFFF" w:themeColor="background1"/>
                <w:sz w:val="20"/>
                <w:szCs w:val="20"/>
              </w:rPr>
              <w:t>Stan zagospodarowania złoża</w:t>
            </w:r>
          </w:p>
        </w:tc>
        <w:tc>
          <w:tcPr>
            <w:tcW w:w="2881"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vAlign w:val="center"/>
          </w:tcPr>
          <w:p w14:paraId="35FF4F25" w14:textId="77777777" w:rsidR="00EA2B5F" w:rsidRPr="0060383F" w:rsidRDefault="00EA2B5F" w:rsidP="0060383F">
            <w:pPr>
              <w:jc w:val="center"/>
              <w:rPr>
                <w:rFonts w:asciiTheme="majorHAnsi" w:hAnsiTheme="majorHAnsi" w:cstheme="majorHAnsi"/>
                <w:color w:val="FFFFFF" w:themeColor="background1"/>
                <w:sz w:val="20"/>
                <w:szCs w:val="20"/>
              </w:rPr>
            </w:pPr>
            <w:r w:rsidRPr="0060383F">
              <w:rPr>
                <w:rFonts w:asciiTheme="majorHAnsi" w:hAnsiTheme="majorHAnsi" w:cstheme="majorHAnsi"/>
                <w:color w:val="FFFFFF" w:themeColor="background1"/>
                <w:sz w:val="20"/>
                <w:szCs w:val="20"/>
              </w:rPr>
              <w:t>Powiat</w:t>
            </w:r>
          </w:p>
        </w:tc>
      </w:tr>
      <w:tr w:rsidR="00EA2B5F" w:rsidRPr="00F25EBD" w14:paraId="2E8D638B" w14:textId="77777777" w:rsidTr="0060383F">
        <w:tc>
          <w:tcPr>
            <w:tcW w:w="1503"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DF9E5EE" w14:textId="77777777" w:rsidR="00EA2B5F" w:rsidRPr="00F25EBD" w:rsidRDefault="00EA2B5F" w:rsidP="0060383F">
            <w:pPr>
              <w:jc w:val="center"/>
              <w:rPr>
                <w:rFonts w:asciiTheme="majorHAnsi" w:hAnsiTheme="majorHAnsi" w:cstheme="majorHAnsi"/>
                <w:sz w:val="20"/>
                <w:szCs w:val="20"/>
              </w:rPr>
            </w:pPr>
          </w:p>
        </w:tc>
        <w:tc>
          <w:tcPr>
            <w:tcW w:w="4678"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6F6DCB6" w14:textId="77777777" w:rsidR="00EA2B5F" w:rsidRPr="00F25EBD" w:rsidRDefault="00EA2B5F" w:rsidP="0060383F">
            <w:pPr>
              <w:jc w:val="center"/>
              <w:rPr>
                <w:rFonts w:asciiTheme="majorHAnsi" w:hAnsiTheme="majorHAnsi" w:cstheme="majorHAnsi"/>
                <w:sz w:val="20"/>
                <w:szCs w:val="20"/>
              </w:rPr>
            </w:pPr>
          </w:p>
        </w:tc>
        <w:tc>
          <w:tcPr>
            <w:tcW w:w="777" w:type="dxa"/>
            <w:tcBorders>
              <w:top w:val="single" w:sz="4" w:space="0" w:color="FFFFFF" w:themeColor="background1"/>
              <w:left w:val="single" w:sz="4" w:space="0" w:color="FFFFFF" w:themeColor="background1"/>
            </w:tcBorders>
            <w:vAlign w:val="center"/>
          </w:tcPr>
          <w:p w14:paraId="777E18B1" w14:textId="77777777" w:rsidR="00EA2B5F" w:rsidRPr="00F25EBD" w:rsidRDefault="00EA2B5F" w:rsidP="0060383F">
            <w:pPr>
              <w:jc w:val="center"/>
              <w:rPr>
                <w:rFonts w:asciiTheme="majorHAnsi" w:hAnsiTheme="majorHAnsi" w:cstheme="majorHAnsi"/>
                <w:sz w:val="20"/>
                <w:szCs w:val="20"/>
              </w:rPr>
            </w:pPr>
            <w:r w:rsidRPr="00F25EBD">
              <w:rPr>
                <w:rFonts w:asciiTheme="majorHAnsi" w:hAnsiTheme="majorHAnsi" w:cstheme="majorHAnsi"/>
                <w:sz w:val="20"/>
                <w:szCs w:val="20"/>
              </w:rPr>
              <w:t>D</w:t>
            </w:r>
          </w:p>
        </w:tc>
        <w:tc>
          <w:tcPr>
            <w:tcW w:w="704" w:type="dxa"/>
            <w:tcBorders>
              <w:top w:val="single" w:sz="4" w:space="0" w:color="FFFFFF" w:themeColor="background1"/>
            </w:tcBorders>
            <w:vAlign w:val="center"/>
          </w:tcPr>
          <w:p w14:paraId="3B8631C4" w14:textId="77777777" w:rsidR="00EA2B5F" w:rsidRPr="00F25EBD" w:rsidRDefault="00EA2B5F" w:rsidP="0060383F">
            <w:pPr>
              <w:jc w:val="center"/>
              <w:rPr>
                <w:rFonts w:asciiTheme="majorHAnsi" w:hAnsiTheme="majorHAnsi" w:cstheme="majorHAnsi"/>
                <w:sz w:val="20"/>
                <w:szCs w:val="20"/>
              </w:rPr>
            </w:pPr>
            <w:r w:rsidRPr="00F25EBD">
              <w:rPr>
                <w:rFonts w:asciiTheme="majorHAnsi" w:hAnsiTheme="majorHAnsi" w:cstheme="majorHAnsi"/>
                <w:sz w:val="20"/>
                <w:szCs w:val="20"/>
              </w:rPr>
              <w:t>N</w:t>
            </w:r>
          </w:p>
        </w:tc>
        <w:tc>
          <w:tcPr>
            <w:tcW w:w="703" w:type="dxa"/>
            <w:tcBorders>
              <w:top w:val="single" w:sz="4" w:space="0" w:color="FFFFFF" w:themeColor="background1"/>
            </w:tcBorders>
            <w:vAlign w:val="center"/>
          </w:tcPr>
          <w:p w14:paraId="26300299" w14:textId="77777777" w:rsidR="00EA2B5F" w:rsidRPr="00F25EBD" w:rsidRDefault="00EA2B5F" w:rsidP="0060383F">
            <w:pPr>
              <w:jc w:val="center"/>
              <w:rPr>
                <w:rFonts w:asciiTheme="majorHAnsi" w:hAnsiTheme="majorHAnsi" w:cstheme="majorHAnsi"/>
                <w:sz w:val="20"/>
                <w:szCs w:val="20"/>
              </w:rPr>
            </w:pPr>
            <w:r w:rsidRPr="00F25EBD">
              <w:rPr>
                <w:rFonts w:asciiTheme="majorHAnsi" w:hAnsiTheme="majorHAnsi" w:cstheme="majorHAnsi"/>
                <w:sz w:val="20"/>
                <w:szCs w:val="20"/>
              </w:rPr>
              <w:t>P</w:t>
            </w:r>
          </w:p>
        </w:tc>
        <w:tc>
          <w:tcPr>
            <w:tcW w:w="697" w:type="dxa"/>
            <w:tcBorders>
              <w:top w:val="single" w:sz="4" w:space="0" w:color="FFFFFF" w:themeColor="background1"/>
            </w:tcBorders>
            <w:vAlign w:val="center"/>
          </w:tcPr>
          <w:p w14:paraId="1AE06B9F" w14:textId="77777777" w:rsidR="00EA2B5F" w:rsidRPr="00F25EBD" w:rsidRDefault="00EA2B5F" w:rsidP="0060383F">
            <w:pPr>
              <w:jc w:val="center"/>
              <w:rPr>
                <w:rFonts w:asciiTheme="majorHAnsi" w:hAnsiTheme="majorHAnsi" w:cstheme="majorHAnsi"/>
                <w:sz w:val="20"/>
                <w:szCs w:val="20"/>
              </w:rPr>
            </w:pPr>
            <w:r w:rsidRPr="00F25EBD">
              <w:rPr>
                <w:rFonts w:asciiTheme="majorHAnsi" w:hAnsiTheme="majorHAnsi" w:cstheme="majorHAnsi"/>
                <w:sz w:val="20"/>
                <w:szCs w:val="20"/>
              </w:rPr>
              <w:t>S</w:t>
            </w:r>
          </w:p>
        </w:tc>
      </w:tr>
      <w:tr w:rsidR="00EA2B5F" w:rsidRPr="00F25EBD" w14:paraId="1BFE0134" w14:textId="77777777" w:rsidTr="0060383F">
        <w:trPr>
          <w:trHeight w:val="210"/>
        </w:trPr>
        <w:tc>
          <w:tcPr>
            <w:tcW w:w="1503"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EEAF6" w:themeFill="accent1" w:themeFillTint="33"/>
            <w:vAlign w:val="center"/>
          </w:tcPr>
          <w:p w14:paraId="0130887E" w14:textId="77777777" w:rsidR="00EA2B5F" w:rsidRPr="00F25EBD" w:rsidRDefault="00EA2B5F" w:rsidP="0060383F">
            <w:pPr>
              <w:jc w:val="center"/>
              <w:rPr>
                <w:rFonts w:asciiTheme="majorHAnsi" w:hAnsiTheme="majorHAnsi" w:cstheme="majorHAnsi"/>
                <w:sz w:val="20"/>
                <w:szCs w:val="20"/>
              </w:rPr>
            </w:pPr>
            <w:r w:rsidRPr="00F25EBD">
              <w:rPr>
                <w:rFonts w:asciiTheme="majorHAnsi" w:hAnsiTheme="majorHAnsi" w:cstheme="majorHAnsi"/>
                <w:sz w:val="20"/>
                <w:szCs w:val="20"/>
              </w:rPr>
              <w:t>Kreda</w:t>
            </w:r>
          </w:p>
        </w:tc>
        <w:tc>
          <w:tcPr>
            <w:tcW w:w="4678" w:type="dxa"/>
            <w:tcBorders>
              <w:top w:val="single" w:sz="4" w:space="0" w:color="FFFFFF" w:themeColor="background1"/>
              <w:left w:val="single" w:sz="4" w:space="0" w:color="FFFFFF" w:themeColor="background1"/>
            </w:tcBorders>
          </w:tcPr>
          <w:p w14:paraId="3DF0F7B4" w14:textId="77777777" w:rsidR="00EA2B5F" w:rsidRPr="00F25EBD" w:rsidRDefault="00EA2B5F" w:rsidP="0060383F">
            <w:pPr>
              <w:jc w:val="both"/>
              <w:rPr>
                <w:rFonts w:asciiTheme="majorHAnsi" w:hAnsiTheme="majorHAnsi" w:cstheme="majorHAnsi"/>
                <w:sz w:val="20"/>
                <w:szCs w:val="20"/>
              </w:rPr>
            </w:pPr>
            <w:r w:rsidRPr="00F25EBD">
              <w:rPr>
                <w:rFonts w:asciiTheme="majorHAnsi" w:hAnsiTheme="majorHAnsi" w:cstheme="majorHAnsi"/>
                <w:sz w:val="20"/>
                <w:szCs w:val="20"/>
              </w:rPr>
              <w:t>Złoże o zasobach rozpoznanych wstępnie</w:t>
            </w:r>
          </w:p>
        </w:tc>
        <w:tc>
          <w:tcPr>
            <w:tcW w:w="777" w:type="dxa"/>
          </w:tcPr>
          <w:p w14:paraId="605B9B7E" w14:textId="77777777" w:rsidR="00EA2B5F" w:rsidRPr="00F25EBD" w:rsidRDefault="00EA2B5F" w:rsidP="0060383F">
            <w:pPr>
              <w:jc w:val="center"/>
              <w:rPr>
                <w:rFonts w:asciiTheme="majorHAnsi" w:hAnsiTheme="majorHAnsi" w:cstheme="majorHAnsi"/>
                <w:sz w:val="20"/>
                <w:szCs w:val="20"/>
              </w:rPr>
            </w:pPr>
          </w:p>
        </w:tc>
        <w:tc>
          <w:tcPr>
            <w:tcW w:w="704" w:type="dxa"/>
          </w:tcPr>
          <w:p w14:paraId="356913AE" w14:textId="77777777" w:rsidR="00EA2B5F" w:rsidRPr="00F25EBD" w:rsidRDefault="00EA2B5F" w:rsidP="0060383F">
            <w:pPr>
              <w:jc w:val="center"/>
              <w:rPr>
                <w:rFonts w:asciiTheme="majorHAnsi" w:hAnsiTheme="majorHAnsi" w:cstheme="majorHAnsi"/>
                <w:sz w:val="20"/>
                <w:szCs w:val="20"/>
              </w:rPr>
            </w:pPr>
          </w:p>
        </w:tc>
        <w:tc>
          <w:tcPr>
            <w:tcW w:w="703" w:type="dxa"/>
          </w:tcPr>
          <w:p w14:paraId="1B24CB10" w14:textId="77777777" w:rsidR="00EA2B5F" w:rsidRPr="00F25EBD" w:rsidRDefault="00EA2B5F" w:rsidP="0060383F">
            <w:pPr>
              <w:jc w:val="center"/>
              <w:rPr>
                <w:rFonts w:asciiTheme="majorHAnsi" w:hAnsiTheme="majorHAnsi" w:cstheme="majorHAnsi"/>
                <w:sz w:val="20"/>
                <w:szCs w:val="20"/>
              </w:rPr>
            </w:pPr>
            <w:r w:rsidRPr="00F25EBD">
              <w:rPr>
                <w:rFonts w:asciiTheme="majorHAnsi" w:hAnsiTheme="majorHAnsi" w:cstheme="majorHAnsi"/>
                <w:sz w:val="20"/>
                <w:szCs w:val="20"/>
              </w:rPr>
              <w:t>1</w:t>
            </w:r>
          </w:p>
        </w:tc>
        <w:tc>
          <w:tcPr>
            <w:tcW w:w="697" w:type="dxa"/>
          </w:tcPr>
          <w:p w14:paraId="6D8ED7E9" w14:textId="77777777" w:rsidR="00EA2B5F" w:rsidRPr="00F25EBD" w:rsidRDefault="00EA2B5F" w:rsidP="0060383F">
            <w:pPr>
              <w:jc w:val="center"/>
              <w:rPr>
                <w:rFonts w:asciiTheme="majorHAnsi" w:hAnsiTheme="majorHAnsi" w:cstheme="majorHAnsi"/>
                <w:sz w:val="20"/>
                <w:szCs w:val="20"/>
              </w:rPr>
            </w:pPr>
          </w:p>
        </w:tc>
      </w:tr>
      <w:tr w:rsidR="00EA2B5F" w:rsidRPr="00F25EBD" w14:paraId="60EA51E9" w14:textId="77777777" w:rsidTr="0060383F">
        <w:trPr>
          <w:trHeight w:val="210"/>
        </w:trPr>
        <w:tc>
          <w:tcPr>
            <w:tcW w:w="1503"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EEAF6" w:themeFill="accent1" w:themeFillTint="33"/>
            <w:vAlign w:val="center"/>
          </w:tcPr>
          <w:p w14:paraId="7A80EF98" w14:textId="77777777" w:rsidR="00EA2B5F" w:rsidRPr="00F25EBD" w:rsidRDefault="00EA2B5F" w:rsidP="0060383F">
            <w:pPr>
              <w:jc w:val="center"/>
              <w:rPr>
                <w:rFonts w:asciiTheme="majorHAnsi" w:hAnsiTheme="majorHAnsi" w:cstheme="majorHAnsi"/>
                <w:sz w:val="20"/>
                <w:szCs w:val="20"/>
              </w:rPr>
            </w:pPr>
          </w:p>
        </w:tc>
        <w:tc>
          <w:tcPr>
            <w:tcW w:w="4678" w:type="dxa"/>
            <w:tcBorders>
              <w:left w:val="single" w:sz="4" w:space="0" w:color="FFFFFF" w:themeColor="background1"/>
            </w:tcBorders>
          </w:tcPr>
          <w:p w14:paraId="3F7493E7" w14:textId="77777777" w:rsidR="00EA2B5F" w:rsidRPr="00F25EBD" w:rsidRDefault="00EA2B5F" w:rsidP="0060383F">
            <w:pPr>
              <w:jc w:val="both"/>
              <w:rPr>
                <w:rFonts w:asciiTheme="majorHAnsi" w:hAnsiTheme="majorHAnsi" w:cstheme="majorHAnsi"/>
                <w:sz w:val="20"/>
                <w:szCs w:val="20"/>
              </w:rPr>
            </w:pPr>
            <w:r w:rsidRPr="00F25EBD">
              <w:rPr>
                <w:rFonts w:asciiTheme="majorHAnsi" w:hAnsiTheme="majorHAnsi" w:cstheme="majorHAnsi"/>
                <w:sz w:val="20"/>
                <w:szCs w:val="20"/>
              </w:rPr>
              <w:t>Złoże o zasobach rozpoznanych szczegółowo</w:t>
            </w:r>
          </w:p>
        </w:tc>
        <w:tc>
          <w:tcPr>
            <w:tcW w:w="777" w:type="dxa"/>
          </w:tcPr>
          <w:p w14:paraId="765ADE28" w14:textId="77777777" w:rsidR="00EA2B5F" w:rsidRPr="00F25EBD" w:rsidRDefault="00EA2B5F" w:rsidP="0060383F">
            <w:pPr>
              <w:jc w:val="center"/>
              <w:rPr>
                <w:rFonts w:asciiTheme="majorHAnsi" w:hAnsiTheme="majorHAnsi" w:cstheme="majorHAnsi"/>
                <w:sz w:val="20"/>
                <w:szCs w:val="20"/>
              </w:rPr>
            </w:pPr>
            <w:r w:rsidRPr="00F25EBD">
              <w:rPr>
                <w:rFonts w:asciiTheme="majorHAnsi" w:hAnsiTheme="majorHAnsi" w:cstheme="majorHAnsi"/>
                <w:sz w:val="20"/>
                <w:szCs w:val="20"/>
              </w:rPr>
              <w:t>1</w:t>
            </w:r>
          </w:p>
        </w:tc>
        <w:tc>
          <w:tcPr>
            <w:tcW w:w="704" w:type="dxa"/>
          </w:tcPr>
          <w:p w14:paraId="17098B30" w14:textId="77777777" w:rsidR="00EA2B5F" w:rsidRPr="00F25EBD" w:rsidRDefault="00EA2B5F" w:rsidP="0060383F">
            <w:pPr>
              <w:jc w:val="center"/>
              <w:rPr>
                <w:rFonts w:asciiTheme="majorHAnsi" w:hAnsiTheme="majorHAnsi" w:cstheme="majorHAnsi"/>
                <w:sz w:val="20"/>
                <w:szCs w:val="20"/>
              </w:rPr>
            </w:pPr>
            <w:r w:rsidRPr="00F25EBD">
              <w:rPr>
                <w:rFonts w:asciiTheme="majorHAnsi" w:hAnsiTheme="majorHAnsi" w:cstheme="majorHAnsi"/>
                <w:sz w:val="20"/>
                <w:szCs w:val="20"/>
              </w:rPr>
              <w:t>1</w:t>
            </w:r>
          </w:p>
        </w:tc>
        <w:tc>
          <w:tcPr>
            <w:tcW w:w="703" w:type="dxa"/>
          </w:tcPr>
          <w:p w14:paraId="642D5E38" w14:textId="77777777" w:rsidR="00EA2B5F" w:rsidRPr="00F25EBD" w:rsidRDefault="00EA2B5F" w:rsidP="0060383F">
            <w:pPr>
              <w:jc w:val="center"/>
              <w:rPr>
                <w:rFonts w:asciiTheme="majorHAnsi" w:hAnsiTheme="majorHAnsi" w:cstheme="majorHAnsi"/>
                <w:sz w:val="20"/>
                <w:szCs w:val="20"/>
              </w:rPr>
            </w:pPr>
          </w:p>
        </w:tc>
        <w:tc>
          <w:tcPr>
            <w:tcW w:w="697" w:type="dxa"/>
          </w:tcPr>
          <w:p w14:paraId="3B846382" w14:textId="77777777" w:rsidR="00EA2B5F" w:rsidRPr="00F25EBD" w:rsidRDefault="00EA2B5F" w:rsidP="0060383F">
            <w:pPr>
              <w:jc w:val="center"/>
              <w:rPr>
                <w:rFonts w:asciiTheme="majorHAnsi" w:hAnsiTheme="majorHAnsi" w:cstheme="majorHAnsi"/>
                <w:sz w:val="20"/>
                <w:szCs w:val="20"/>
              </w:rPr>
            </w:pPr>
            <w:r w:rsidRPr="00F25EBD">
              <w:rPr>
                <w:rFonts w:asciiTheme="majorHAnsi" w:hAnsiTheme="majorHAnsi" w:cstheme="majorHAnsi"/>
                <w:sz w:val="20"/>
                <w:szCs w:val="20"/>
              </w:rPr>
              <w:t>2</w:t>
            </w:r>
          </w:p>
        </w:tc>
      </w:tr>
      <w:tr w:rsidR="00EA2B5F" w:rsidRPr="00F25EBD" w14:paraId="3AE859CE" w14:textId="77777777" w:rsidTr="0060383F">
        <w:trPr>
          <w:trHeight w:val="210"/>
        </w:trPr>
        <w:tc>
          <w:tcPr>
            <w:tcW w:w="1503"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EEAF6" w:themeFill="accent1" w:themeFillTint="33"/>
            <w:vAlign w:val="center"/>
          </w:tcPr>
          <w:p w14:paraId="18552FC3" w14:textId="77777777" w:rsidR="00EA2B5F" w:rsidRPr="00F25EBD" w:rsidRDefault="00EA2B5F" w:rsidP="0060383F">
            <w:pPr>
              <w:jc w:val="center"/>
              <w:rPr>
                <w:rFonts w:asciiTheme="majorHAnsi" w:hAnsiTheme="majorHAnsi" w:cstheme="majorHAnsi"/>
                <w:sz w:val="20"/>
                <w:szCs w:val="20"/>
              </w:rPr>
            </w:pPr>
          </w:p>
        </w:tc>
        <w:tc>
          <w:tcPr>
            <w:tcW w:w="4678" w:type="dxa"/>
            <w:tcBorders>
              <w:left w:val="single" w:sz="4" w:space="0" w:color="FFFFFF" w:themeColor="background1"/>
            </w:tcBorders>
          </w:tcPr>
          <w:p w14:paraId="171616B2" w14:textId="77777777" w:rsidR="00EA2B5F" w:rsidRPr="00F25EBD" w:rsidRDefault="00EA2B5F" w:rsidP="0060383F">
            <w:pPr>
              <w:jc w:val="both"/>
              <w:rPr>
                <w:rFonts w:asciiTheme="majorHAnsi" w:hAnsiTheme="majorHAnsi" w:cstheme="majorHAnsi"/>
                <w:sz w:val="20"/>
                <w:szCs w:val="20"/>
              </w:rPr>
            </w:pPr>
            <w:r w:rsidRPr="00F25EBD">
              <w:rPr>
                <w:rFonts w:asciiTheme="majorHAnsi" w:hAnsiTheme="majorHAnsi" w:cstheme="majorHAnsi"/>
                <w:sz w:val="20"/>
                <w:szCs w:val="20"/>
              </w:rPr>
              <w:t>Złoże, z którego wydobycie zostało zaniechane</w:t>
            </w:r>
          </w:p>
        </w:tc>
        <w:tc>
          <w:tcPr>
            <w:tcW w:w="777" w:type="dxa"/>
          </w:tcPr>
          <w:p w14:paraId="45716FBF" w14:textId="77777777" w:rsidR="00EA2B5F" w:rsidRPr="00F25EBD" w:rsidRDefault="00EA2B5F" w:rsidP="0060383F">
            <w:pPr>
              <w:jc w:val="center"/>
              <w:rPr>
                <w:rFonts w:asciiTheme="majorHAnsi" w:hAnsiTheme="majorHAnsi" w:cstheme="majorHAnsi"/>
                <w:sz w:val="20"/>
                <w:szCs w:val="20"/>
              </w:rPr>
            </w:pPr>
            <w:r w:rsidRPr="00F25EBD">
              <w:rPr>
                <w:rFonts w:asciiTheme="majorHAnsi" w:hAnsiTheme="majorHAnsi" w:cstheme="majorHAnsi"/>
                <w:sz w:val="20"/>
                <w:szCs w:val="20"/>
              </w:rPr>
              <w:t>2</w:t>
            </w:r>
          </w:p>
        </w:tc>
        <w:tc>
          <w:tcPr>
            <w:tcW w:w="704" w:type="dxa"/>
          </w:tcPr>
          <w:p w14:paraId="2BD8DE5C" w14:textId="77777777" w:rsidR="00EA2B5F" w:rsidRPr="00F25EBD" w:rsidRDefault="00EA2B5F" w:rsidP="0060383F">
            <w:pPr>
              <w:jc w:val="center"/>
              <w:rPr>
                <w:rFonts w:asciiTheme="majorHAnsi" w:hAnsiTheme="majorHAnsi" w:cstheme="majorHAnsi"/>
                <w:sz w:val="20"/>
                <w:szCs w:val="20"/>
              </w:rPr>
            </w:pPr>
            <w:r w:rsidRPr="00F25EBD">
              <w:rPr>
                <w:rFonts w:asciiTheme="majorHAnsi" w:hAnsiTheme="majorHAnsi" w:cstheme="majorHAnsi"/>
                <w:sz w:val="20"/>
                <w:szCs w:val="20"/>
              </w:rPr>
              <w:t>1</w:t>
            </w:r>
          </w:p>
        </w:tc>
        <w:tc>
          <w:tcPr>
            <w:tcW w:w="703" w:type="dxa"/>
          </w:tcPr>
          <w:p w14:paraId="39D73F72" w14:textId="77777777" w:rsidR="00EA2B5F" w:rsidRPr="00F25EBD" w:rsidRDefault="00EA2B5F" w:rsidP="0060383F">
            <w:pPr>
              <w:jc w:val="center"/>
              <w:rPr>
                <w:rFonts w:asciiTheme="majorHAnsi" w:hAnsiTheme="majorHAnsi" w:cstheme="majorHAnsi"/>
                <w:sz w:val="20"/>
                <w:szCs w:val="20"/>
              </w:rPr>
            </w:pPr>
            <w:r w:rsidRPr="00F25EBD">
              <w:rPr>
                <w:rFonts w:asciiTheme="majorHAnsi" w:hAnsiTheme="majorHAnsi" w:cstheme="majorHAnsi"/>
                <w:sz w:val="20"/>
                <w:szCs w:val="20"/>
              </w:rPr>
              <w:t>1</w:t>
            </w:r>
          </w:p>
        </w:tc>
        <w:tc>
          <w:tcPr>
            <w:tcW w:w="697" w:type="dxa"/>
          </w:tcPr>
          <w:p w14:paraId="11A9D1F5" w14:textId="77777777" w:rsidR="00EA2B5F" w:rsidRPr="00F25EBD" w:rsidRDefault="00EA2B5F" w:rsidP="0060383F">
            <w:pPr>
              <w:jc w:val="center"/>
              <w:rPr>
                <w:rFonts w:asciiTheme="majorHAnsi" w:hAnsiTheme="majorHAnsi" w:cstheme="majorHAnsi"/>
                <w:sz w:val="20"/>
                <w:szCs w:val="20"/>
              </w:rPr>
            </w:pPr>
          </w:p>
        </w:tc>
      </w:tr>
      <w:tr w:rsidR="00EA2B5F" w:rsidRPr="00F25EBD" w14:paraId="6964401C" w14:textId="77777777" w:rsidTr="0060383F">
        <w:tc>
          <w:tcPr>
            <w:tcW w:w="1503"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EEAF6" w:themeFill="accent1" w:themeFillTint="33"/>
            <w:vAlign w:val="center"/>
          </w:tcPr>
          <w:p w14:paraId="7EC9F758" w14:textId="77777777" w:rsidR="00EA2B5F" w:rsidRPr="00F25EBD" w:rsidRDefault="00EA2B5F" w:rsidP="0060383F">
            <w:pPr>
              <w:jc w:val="center"/>
              <w:rPr>
                <w:rFonts w:asciiTheme="majorHAnsi" w:hAnsiTheme="majorHAnsi" w:cstheme="majorHAnsi"/>
                <w:sz w:val="20"/>
                <w:szCs w:val="20"/>
              </w:rPr>
            </w:pPr>
            <w:r w:rsidRPr="00F25EBD">
              <w:rPr>
                <w:rFonts w:asciiTheme="majorHAnsi" w:hAnsiTheme="majorHAnsi" w:cstheme="majorHAnsi"/>
                <w:sz w:val="20"/>
                <w:szCs w:val="20"/>
              </w:rPr>
              <w:t>Piaski i żwiry</w:t>
            </w:r>
          </w:p>
        </w:tc>
        <w:tc>
          <w:tcPr>
            <w:tcW w:w="4678" w:type="dxa"/>
            <w:tcBorders>
              <w:left w:val="single" w:sz="4" w:space="0" w:color="FFFFFF" w:themeColor="background1"/>
            </w:tcBorders>
          </w:tcPr>
          <w:p w14:paraId="2522DE10" w14:textId="77777777" w:rsidR="00EA2B5F" w:rsidRPr="00F25EBD" w:rsidRDefault="00EA2B5F" w:rsidP="0060383F">
            <w:pPr>
              <w:jc w:val="both"/>
              <w:rPr>
                <w:rFonts w:asciiTheme="majorHAnsi" w:hAnsiTheme="majorHAnsi" w:cstheme="majorHAnsi"/>
                <w:sz w:val="20"/>
                <w:szCs w:val="20"/>
              </w:rPr>
            </w:pPr>
            <w:r w:rsidRPr="00F25EBD">
              <w:rPr>
                <w:rFonts w:asciiTheme="majorHAnsi" w:hAnsiTheme="majorHAnsi" w:cstheme="majorHAnsi"/>
                <w:sz w:val="20"/>
                <w:szCs w:val="20"/>
              </w:rPr>
              <w:t>Złoże eksploatowane</w:t>
            </w:r>
          </w:p>
        </w:tc>
        <w:tc>
          <w:tcPr>
            <w:tcW w:w="777" w:type="dxa"/>
          </w:tcPr>
          <w:p w14:paraId="45ADBF4A" w14:textId="77777777" w:rsidR="00EA2B5F" w:rsidRPr="00F25EBD" w:rsidRDefault="00EA2B5F" w:rsidP="0060383F">
            <w:pPr>
              <w:jc w:val="center"/>
              <w:rPr>
                <w:rFonts w:asciiTheme="majorHAnsi" w:hAnsiTheme="majorHAnsi" w:cstheme="majorHAnsi"/>
                <w:sz w:val="20"/>
                <w:szCs w:val="20"/>
              </w:rPr>
            </w:pPr>
            <w:r w:rsidRPr="00F25EBD">
              <w:rPr>
                <w:rFonts w:asciiTheme="majorHAnsi" w:hAnsiTheme="majorHAnsi" w:cstheme="majorHAnsi"/>
                <w:sz w:val="20"/>
                <w:szCs w:val="20"/>
              </w:rPr>
              <w:t>13</w:t>
            </w:r>
          </w:p>
        </w:tc>
        <w:tc>
          <w:tcPr>
            <w:tcW w:w="704" w:type="dxa"/>
          </w:tcPr>
          <w:p w14:paraId="35904B8E" w14:textId="77777777" w:rsidR="00EA2B5F" w:rsidRPr="00F25EBD" w:rsidRDefault="00EA2B5F" w:rsidP="0060383F">
            <w:pPr>
              <w:jc w:val="center"/>
              <w:rPr>
                <w:rFonts w:asciiTheme="majorHAnsi" w:hAnsiTheme="majorHAnsi" w:cstheme="majorHAnsi"/>
                <w:sz w:val="20"/>
                <w:szCs w:val="20"/>
              </w:rPr>
            </w:pPr>
            <w:r w:rsidRPr="00F25EBD">
              <w:rPr>
                <w:rFonts w:asciiTheme="majorHAnsi" w:hAnsiTheme="majorHAnsi" w:cstheme="majorHAnsi"/>
                <w:sz w:val="20"/>
                <w:szCs w:val="20"/>
              </w:rPr>
              <w:t>9</w:t>
            </w:r>
          </w:p>
        </w:tc>
        <w:tc>
          <w:tcPr>
            <w:tcW w:w="703" w:type="dxa"/>
          </w:tcPr>
          <w:p w14:paraId="7BAF5FF9" w14:textId="77777777" w:rsidR="00EA2B5F" w:rsidRPr="00F25EBD" w:rsidRDefault="00EA2B5F" w:rsidP="0060383F">
            <w:pPr>
              <w:jc w:val="center"/>
              <w:rPr>
                <w:rFonts w:asciiTheme="majorHAnsi" w:hAnsiTheme="majorHAnsi" w:cstheme="majorHAnsi"/>
                <w:sz w:val="20"/>
                <w:szCs w:val="20"/>
              </w:rPr>
            </w:pPr>
            <w:r w:rsidRPr="00F25EBD">
              <w:rPr>
                <w:rFonts w:asciiTheme="majorHAnsi" w:hAnsiTheme="majorHAnsi" w:cstheme="majorHAnsi"/>
                <w:sz w:val="20"/>
                <w:szCs w:val="20"/>
              </w:rPr>
              <w:t>5</w:t>
            </w:r>
          </w:p>
        </w:tc>
        <w:tc>
          <w:tcPr>
            <w:tcW w:w="697" w:type="dxa"/>
          </w:tcPr>
          <w:p w14:paraId="1201C80C" w14:textId="77777777" w:rsidR="00EA2B5F" w:rsidRPr="00F25EBD" w:rsidRDefault="00EA2B5F" w:rsidP="0060383F">
            <w:pPr>
              <w:jc w:val="center"/>
              <w:rPr>
                <w:rFonts w:asciiTheme="majorHAnsi" w:hAnsiTheme="majorHAnsi" w:cstheme="majorHAnsi"/>
                <w:sz w:val="20"/>
                <w:szCs w:val="20"/>
              </w:rPr>
            </w:pPr>
            <w:r w:rsidRPr="00F25EBD">
              <w:rPr>
                <w:rFonts w:asciiTheme="majorHAnsi" w:hAnsiTheme="majorHAnsi" w:cstheme="majorHAnsi"/>
                <w:sz w:val="20"/>
                <w:szCs w:val="20"/>
              </w:rPr>
              <w:t>20</w:t>
            </w:r>
          </w:p>
        </w:tc>
      </w:tr>
      <w:tr w:rsidR="00EA2B5F" w:rsidRPr="00F25EBD" w14:paraId="1849570C" w14:textId="77777777" w:rsidTr="0060383F">
        <w:tc>
          <w:tcPr>
            <w:tcW w:w="1503"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EEAF6" w:themeFill="accent1" w:themeFillTint="33"/>
            <w:vAlign w:val="center"/>
          </w:tcPr>
          <w:p w14:paraId="45FC6483" w14:textId="77777777" w:rsidR="00EA2B5F" w:rsidRPr="00F25EBD" w:rsidRDefault="00EA2B5F" w:rsidP="0060383F">
            <w:pPr>
              <w:jc w:val="center"/>
              <w:rPr>
                <w:rFonts w:asciiTheme="majorHAnsi" w:hAnsiTheme="majorHAnsi" w:cstheme="majorHAnsi"/>
                <w:sz w:val="20"/>
                <w:szCs w:val="20"/>
              </w:rPr>
            </w:pPr>
          </w:p>
        </w:tc>
        <w:tc>
          <w:tcPr>
            <w:tcW w:w="4678" w:type="dxa"/>
            <w:tcBorders>
              <w:left w:val="single" w:sz="4" w:space="0" w:color="FFFFFF" w:themeColor="background1"/>
            </w:tcBorders>
          </w:tcPr>
          <w:p w14:paraId="7EA8D678" w14:textId="77777777" w:rsidR="00EA2B5F" w:rsidRPr="00F25EBD" w:rsidRDefault="00EA2B5F" w:rsidP="0060383F">
            <w:pPr>
              <w:jc w:val="both"/>
              <w:rPr>
                <w:rFonts w:asciiTheme="majorHAnsi" w:hAnsiTheme="majorHAnsi" w:cstheme="majorHAnsi"/>
                <w:sz w:val="20"/>
                <w:szCs w:val="20"/>
              </w:rPr>
            </w:pPr>
            <w:r w:rsidRPr="00F25EBD">
              <w:rPr>
                <w:rFonts w:asciiTheme="majorHAnsi" w:hAnsiTheme="majorHAnsi" w:cstheme="majorHAnsi"/>
                <w:sz w:val="20"/>
                <w:szCs w:val="20"/>
              </w:rPr>
              <w:t>Złoże o zasobach rozpoznanych wstępnie</w:t>
            </w:r>
          </w:p>
        </w:tc>
        <w:tc>
          <w:tcPr>
            <w:tcW w:w="777" w:type="dxa"/>
          </w:tcPr>
          <w:p w14:paraId="2E38B47A" w14:textId="77777777" w:rsidR="00EA2B5F" w:rsidRPr="00F25EBD" w:rsidRDefault="00EA2B5F" w:rsidP="0060383F">
            <w:pPr>
              <w:jc w:val="center"/>
              <w:rPr>
                <w:rFonts w:asciiTheme="majorHAnsi" w:hAnsiTheme="majorHAnsi" w:cstheme="majorHAnsi"/>
                <w:sz w:val="20"/>
                <w:szCs w:val="20"/>
              </w:rPr>
            </w:pPr>
            <w:r w:rsidRPr="00F25EBD">
              <w:rPr>
                <w:rFonts w:asciiTheme="majorHAnsi" w:hAnsiTheme="majorHAnsi" w:cstheme="majorHAnsi"/>
                <w:sz w:val="20"/>
                <w:szCs w:val="20"/>
              </w:rPr>
              <w:t>1</w:t>
            </w:r>
          </w:p>
        </w:tc>
        <w:tc>
          <w:tcPr>
            <w:tcW w:w="704" w:type="dxa"/>
          </w:tcPr>
          <w:p w14:paraId="507081F6" w14:textId="77777777" w:rsidR="00EA2B5F" w:rsidRPr="00F25EBD" w:rsidRDefault="00EA2B5F" w:rsidP="0060383F">
            <w:pPr>
              <w:jc w:val="center"/>
              <w:rPr>
                <w:rFonts w:asciiTheme="majorHAnsi" w:hAnsiTheme="majorHAnsi" w:cstheme="majorHAnsi"/>
                <w:sz w:val="20"/>
                <w:szCs w:val="20"/>
              </w:rPr>
            </w:pPr>
            <w:r w:rsidRPr="00F25EBD">
              <w:rPr>
                <w:rFonts w:asciiTheme="majorHAnsi" w:hAnsiTheme="majorHAnsi" w:cstheme="majorHAnsi"/>
                <w:sz w:val="20"/>
                <w:szCs w:val="20"/>
              </w:rPr>
              <w:t>5</w:t>
            </w:r>
          </w:p>
        </w:tc>
        <w:tc>
          <w:tcPr>
            <w:tcW w:w="703" w:type="dxa"/>
          </w:tcPr>
          <w:p w14:paraId="0736ABD0" w14:textId="77777777" w:rsidR="00EA2B5F" w:rsidRPr="00F25EBD" w:rsidRDefault="00EA2B5F" w:rsidP="0060383F">
            <w:pPr>
              <w:jc w:val="center"/>
              <w:rPr>
                <w:rFonts w:asciiTheme="majorHAnsi" w:hAnsiTheme="majorHAnsi" w:cstheme="majorHAnsi"/>
                <w:sz w:val="20"/>
                <w:szCs w:val="20"/>
              </w:rPr>
            </w:pPr>
            <w:r w:rsidRPr="00F25EBD">
              <w:rPr>
                <w:rFonts w:asciiTheme="majorHAnsi" w:hAnsiTheme="majorHAnsi" w:cstheme="majorHAnsi"/>
                <w:sz w:val="20"/>
                <w:szCs w:val="20"/>
              </w:rPr>
              <w:t>4</w:t>
            </w:r>
          </w:p>
        </w:tc>
        <w:tc>
          <w:tcPr>
            <w:tcW w:w="697" w:type="dxa"/>
          </w:tcPr>
          <w:p w14:paraId="5769FE30" w14:textId="77777777" w:rsidR="00EA2B5F" w:rsidRPr="00F25EBD" w:rsidRDefault="00EA2B5F" w:rsidP="0060383F">
            <w:pPr>
              <w:jc w:val="center"/>
              <w:rPr>
                <w:rFonts w:asciiTheme="majorHAnsi" w:hAnsiTheme="majorHAnsi" w:cstheme="majorHAnsi"/>
                <w:sz w:val="20"/>
                <w:szCs w:val="20"/>
              </w:rPr>
            </w:pPr>
            <w:r w:rsidRPr="00F25EBD">
              <w:rPr>
                <w:rFonts w:asciiTheme="majorHAnsi" w:hAnsiTheme="majorHAnsi" w:cstheme="majorHAnsi"/>
                <w:sz w:val="20"/>
                <w:szCs w:val="20"/>
              </w:rPr>
              <w:t>3</w:t>
            </w:r>
          </w:p>
        </w:tc>
      </w:tr>
      <w:tr w:rsidR="00EA2B5F" w:rsidRPr="00F25EBD" w14:paraId="0E3FC450" w14:textId="77777777" w:rsidTr="0060383F">
        <w:tc>
          <w:tcPr>
            <w:tcW w:w="1503"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EEAF6" w:themeFill="accent1" w:themeFillTint="33"/>
            <w:vAlign w:val="center"/>
          </w:tcPr>
          <w:p w14:paraId="509D3882" w14:textId="77777777" w:rsidR="00EA2B5F" w:rsidRPr="00F25EBD" w:rsidRDefault="00EA2B5F" w:rsidP="0060383F">
            <w:pPr>
              <w:jc w:val="center"/>
              <w:rPr>
                <w:rFonts w:asciiTheme="majorHAnsi" w:hAnsiTheme="majorHAnsi" w:cstheme="majorHAnsi"/>
                <w:sz w:val="20"/>
                <w:szCs w:val="20"/>
              </w:rPr>
            </w:pPr>
          </w:p>
        </w:tc>
        <w:tc>
          <w:tcPr>
            <w:tcW w:w="4678" w:type="dxa"/>
            <w:tcBorders>
              <w:left w:val="single" w:sz="4" w:space="0" w:color="FFFFFF" w:themeColor="background1"/>
            </w:tcBorders>
          </w:tcPr>
          <w:p w14:paraId="3A8DA234" w14:textId="77777777" w:rsidR="00EA2B5F" w:rsidRPr="00F25EBD" w:rsidRDefault="00EA2B5F" w:rsidP="0060383F">
            <w:pPr>
              <w:jc w:val="both"/>
              <w:rPr>
                <w:rFonts w:asciiTheme="majorHAnsi" w:hAnsiTheme="majorHAnsi" w:cstheme="majorHAnsi"/>
                <w:sz w:val="20"/>
                <w:szCs w:val="20"/>
              </w:rPr>
            </w:pPr>
            <w:r w:rsidRPr="00F25EBD">
              <w:rPr>
                <w:rFonts w:asciiTheme="majorHAnsi" w:hAnsiTheme="majorHAnsi" w:cstheme="majorHAnsi"/>
                <w:sz w:val="20"/>
                <w:szCs w:val="20"/>
              </w:rPr>
              <w:t>Złoże o zasobach rozpoznanych szczegółowo</w:t>
            </w:r>
          </w:p>
        </w:tc>
        <w:tc>
          <w:tcPr>
            <w:tcW w:w="777" w:type="dxa"/>
          </w:tcPr>
          <w:p w14:paraId="66946999" w14:textId="77777777" w:rsidR="00EA2B5F" w:rsidRPr="00F25EBD" w:rsidRDefault="00EA2B5F" w:rsidP="0060383F">
            <w:pPr>
              <w:jc w:val="center"/>
              <w:rPr>
                <w:rFonts w:asciiTheme="majorHAnsi" w:hAnsiTheme="majorHAnsi" w:cstheme="majorHAnsi"/>
                <w:sz w:val="20"/>
                <w:szCs w:val="20"/>
              </w:rPr>
            </w:pPr>
            <w:r w:rsidRPr="00F25EBD">
              <w:rPr>
                <w:rFonts w:asciiTheme="majorHAnsi" w:hAnsiTheme="majorHAnsi" w:cstheme="majorHAnsi"/>
                <w:sz w:val="20"/>
                <w:szCs w:val="20"/>
              </w:rPr>
              <w:t>10</w:t>
            </w:r>
          </w:p>
        </w:tc>
        <w:tc>
          <w:tcPr>
            <w:tcW w:w="704" w:type="dxa"/>
          </w:tcPr>
          <w:p w14:paraId="66A40213" w14:textId="77777777" w:rsidR="00EA2B5F" w:rsidRPr="00F25EBD" w:rsidRDefault="00EA2B5F" w:rsidP="0060383F">
            <w:pPr>
              <w:jc w:val="center"/>
              <w:rPr>
                <w:rFonts w:asciiTheme="majorHAnsi" w:hAnsiTheme="majorHAnsi" w:cstheme="majorHAnsi"/>
                <w:sz w:val="20"/>
                <w:szCs w:val="20"/>
              </w:rPr>
            </w:pPr>
            <w:r w:rsidRPr="00F25EBD">
              <w:rPr>
                <w:rFonts w:asciiTheme="majorHAnsi" w:hAnsiTheme="majorHAnsi" w:cstheme="majorHAnsi"/>
                <w:sz w:val="20"/>
                <w:szCs w:val="20"/>
              </w:rPr>
              <w:t>22</w:t>
            </w:r>
          </w:p>
        </w:tc>
        <w:tc>
          <w:tcPr>
            <w:tcW w:w="703" w:type="dxa"/>
          </w:tcPr>
          <w:p w14:paraId="3CF07788" w14:textId="77777777" w:rsidR="00EA2B5F" w:rsidRPr="00F25EBD" w:rsidRDefault="00EA2B5F" w:rsidP="0060383F">
            <w:pPr>
              <w:jc w:val="center"/>
              <w:rPr>
                <w:rFonts w:asciiTheme="majorHAnsi" w:hAnsiTheme="majorHAnsi" w:cstheme="majorHAnsi"/>
                <w:sz w:val="20"/>
                <w:szCs w:val="20"/>
              </w:rPr>
            </w:pPr>
            <w:r w:rsidRPr="00F25EBD">
              <w:rPr>
                <w:rFonts w:asciiTheme="majorHAnsi" w:hAnsiTheme="majorHAnsi" w:cstheme="majorHAnsi"/>
                <w:sz w:val="20"/>
                <w:szCs w:val="20"/>
              </w:rPr>
              <w:t>16</w:t>
            </w:r>
          </w:p>
        </w:tc>
        <w:tc>
          <w:tcPr>
            <w:tcW w:w="697" w:type="dxa"/>
          </w:tcPr>
          <w:p w14:paraId="70267412" w14:textId="77777777" w:rsidR="00EA2B5F" w:rsidRPr="00F25EBD" w:rsidRDefault="00EA2B5F" w:rsidP="0060383F">
            <w:pPr>
              <w:jc w:val="center"/>
              <w:rPr>
                <w:rFonts w:asciiTheme="majorHAnsi" w:hAnsiTheme="majorHAnsi" w:cstheme="majorHAnsi"/>
                <w:sz w:val="20"/>
                <w:szCs w:val="20"/>
              </w:rPr>
            </w:pPr>
            <w:r w:rsidRPr="00F25EBD">
              <w:rPr>
                <w:rFonts w:asciiTheme="majorHAnsi" w:hAnsiTheme="majorHAnsi" w:cstheme="majorHAnsi"/>
                <w:sz w:val="20"/>
                <w:szCs w:val="20"/>
              </w:rPr>
              <w:t>11</w:t>
            </w:r>
          </w:p>
        </w:tc>
      </w:tr>
      <w:tr w:rsidR="00EA2B5F" w:rsidRPr="00F25EBD" w14:paraId="5F760210" w14:textId="77777777" w:rsidTr="0060383F">
        <w:tc>
          <w:tcPr>
            <w:tcW w:w="1503"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EEAF6" w:themeFill="accent1" w:themeFillTint="33"/>
            <w:vAlign w:val="center"/>
          </w:tcPr>
          <w:p w14:paraId="3F5AE896" w14:textId="77777777" w:rsidR="00EA2B5F" w:rsidRPr="00F25EBD" w:rsidRDefault="00EA2B5F" w:rsidP="0060383F">
            <w:pPr>
              <w:jc w:val="center"/>
              <w:rPr>
                <w:rFonts w:asciiTheme="majorHAnsi" w:hAnsiTheme="majorHAnsi" w:cstheme="majorHAnsi"/>
                <w:sz w:val="20"/>
                <w:szCs w:val="20"/>
              </w:rPr>
            </w:pPr>
          </w:p>
        </w:tc>
        <w:tc>
          <w:tcPr>
            <w:tcW w:w="4678" w:type="dxa"/>
            <w:tcBorders>
              <w:left w:val="single" w:sz="4" w:space="0" w:color="FFFFFF" w:themeColor="background1"/>
            </w:tcBorders>
          </w:tcPr>
          <w:p w14:paraId="1D998CD3" w14:textId="77777777" w:rsidR="00EA2B5F" w:rsidRPr="00F25EBD" w:rsidRDefault="00EA2B5F" w:rsidP="0060383F">
            <w:pPr>
              <w:jc w:val="both"/>
              <w:rPr>
                <w:rFonts w:asciiTheme="majorHAnsi" w:hAnsiTheme="majorHAnsi" w:cstheme="majorHAnsi"/>
                <w:sz w:val="20"/>
                <w:szCs w:val="20"/>
              </w:rPr>
            </w:pPr>
            <w:r w:rsidRPr="00F25EBD">
              <w:rPr>
                <w:rFonts w:asciiTheme="majorHAnsi" w:hAnsiTheme="majorHAnsi" w:cstheme="majorHAnsi"/>
                <w:sz w:val="20"/>
                <w:szCs w:val="20"/>
              </w:rPr>
              <w:t>Złoże, z którego wydobycie zostało zaniechane</w:t>
            </w:r>
          </w:p>
        </w:tc>
        <w:tc>
          <w:tcPr>
            <w:tcW w:w="777" w:type="dxa"/>
          </w:tcPr>
          <w:p w14:paraId="26BC3553" w14:textId="77777777" w:rsidR="00EA2B5F" w:rsidRPr="00F25EBD" w:rsidRDefault="00EA2B5F" w:rsidP="0060383F">
            <w:pPr>
              <w:jc w:val="center"/>
              <w:rPr>
                <w:rFonts w:asciiTheme="majorHAnsi" w:hAnsiTheme="majorHAnsi" w:cstheme="majorHAnsi"/>
                <w:sz w:val="20"/>
                <w:szCs w:val="20"/>
              </w:rPr>
            </w:pPr>
            <w:r w:rsidRPr="00F25EBD">
              <w:rPr>
                <w:rFonts w:asciiTheme="majorHAnsi" w:hAnsiTheme="majorHAnsi" w:cstheme="majorHAnsi"/>
                <w:sz w:val="20"/>
                <w:szCs w:val="20"/>
              </w:rPr>
              <w:t>32</w:t>
            </w:r>
          </w:p>
        </w:tc>
        <w:tc>
          <w:tcPr>
            <w:tcW w:w="704" w:type="dxa"/>
          </w:tcPr>
          <w:p w14:paraId="1D566D3F" w14:textId="77777777" w:rsidR="00EA2B5F" w:rsidRPr="00F25EBD" w:rsidRDefault="00EA2B5F" w:rsidP="0060383F">
            <w:pPr>
              <w:jc w:val="center"/>
              <w:rPr>
                <w:rFonts w:asciiTheme="majorHAnsi" w:hAnsiTheme="majorHAnsi" w:cstheme="majorHAnsi"/>
                <w:sz w:val="20"/>
                <w:szCs w:val="20"/>
              </w:rPr>
            </w:pPr>
            <w:r w:rsidRPr="00F25EBD">
              <w:rPr>
                <w:rFonts w:asciiTheme="majorHAnsi" w:hAnsiTheme="majorHAnsi" w:cstheme="majorHAnsi"/>
                <w:sz w:val="20"/>
                <w:szCs w:val="20"/>
              </w:rPr>
              <w:t>11</w:t>
            </w:r>
          </w:p>
        </w:tc>
        <w:tc>
          <w:tcPr>
            <w:tcW w:w="703" w:type="dxa"/>
          </w:tcPr>
          <w:p w14:paraId="17A9D74A" w14:textId="77777777" w:rsidR="00EA2B5F" w:rsidRPr="00F25EBD" w:rsidRDefault="00EA2B5F" w:rsidP="0060383F">
            <w:pPr>
              <w:jc w:val="center"/>
              <w:rPr>
                <w:rFonts w:asciiTheme="majorHAnsi" w:hAnsiTheme="majorHAnsi" w:cstheme="majorHAnsi"/>
                <w:sz w:val="20"/>
                <w:szCs w:val="20"/>
              </w:rPr>
            </w:pPr>
            <w:r w:rsidRPr="00F25EBD">
              <w:rPr>
                <w:rFonts w:asciiTheme="majorHAnsi" w:hAnsiTheme="majorHAnsi" w:cstheme="majorHAnsi"/>
                <w:sz w:val="20"/>
                <w:szCs w:val="20"/>
              </w:rPr>
              <w:t>18</w:t>
            </w:r>
          </w:p>
        </w:tc>
        <w:tc>
          <w:tcPr>
            <w:tcW w:w="697" w:type="dxa"/>
          </w:tcPr>
          <w:p w14:paraId="69B4FDB5" w14:textId="77777777" w:rsidR="00EA2B5F" w:rsidRPr="00F25EBD" w:rsidRDefault="00EA2B5F" w:rsidP="0060383F">
            <w:pPr>
              <w:jc w:val="center"/>
              <w:rPr>
                <w:rFonts w:asciiTheme="majorHAnsi" w:hAnsiTheme="majorHAnsi" w:cstheme="majorHAnsi"/>
                <w:sz w:val="20"/>
                <w:szCs w:val="20"/>
              </w:rPr>
            </w:pPr>
            <w:r w:rsidRPr="00F25EBD">
              <w:rPr>
                <w:rFonts w:asciiTheme="majorHAnsi" w:hAnsiTheme="majorHAnsi" w:cstheme="majorHAnsi"/>
                <w:sz w:val="20"/>
                <w:szCs w:val="20"/>
              </w:rPr>
              <w:t>13</w:t>
            </w:r>
          </w:p>
        </w:tc>
      </w:tr>
      <w:tr w:rsidR="00EA2B5F" w:rsidRPr="00F25EBD" w14:paraId="59405F94" w14:textId="77777777" w:rsidTr="0060383F">
        <w:tc>
          <w:tcPr>
            <w:tcW w:w="1503"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EEAF6" w:themeFill="accent1" w:themeFillTint="33"/>
            <w:vAlign w:val="center"/>
          </w:tcPr>
          <w:p w14:paraId="4D39FC93" w14:textId="77777777" w:rsidR="00EA2B5F" w:rsidRPr="00F25EBD" w:rsidRDefault="00EA2B5F" w:rsidP="0060383F">
            <w:pPr>
              <w:jc w:val="center"/>
              <w:rPr>
                <w:rFonts w:asciiTheme="majorHAnsi" w:hAnsiTheme="majorHAnsi" w:cstheme="majorHAnsi"/>
                <w:sz w:val="20"/>
                <w:szCs w:val="20"/>
              </w:rPr>
            </w:pPr>
          </w:p>
        </w:tc>
        <w:tc>
          <w:tcPr>
            <w:tcW w:w="4678" w:type="dxa"/>
            <w:tcBorders>
              <w:left w:val="single" w:sz="4" w:space="0" w:color="FFFFFF" w:themeColor="background1"/>
            </w:tcBorders>
          </w:tcPr>
          <w:p w14:paraId="449B684C" w14:textId="77777777" w:rsidR="00EA2B5F" w:rsidRPr="00F25EBD" w:rsidRDefault="00EA2B5F" w:rsidP="0060383F">
            <w:pPr>
              <w:jc w:val="both"/>
              <w:rPr>
                <w:rFonts w:asciiTheme="majorHAnsi" w:hAnsiTheme="majorHAnsi" w:cstheme="majorHAnsi"/>
                <w:sz w:val="20"/>
                <w:szCs w:val="20"/>
              </w:rPr>
            </w:pPr>
            <w:r w:rsidRPr="00F25EBD">
              <w:rPr>
                <w:rFonts w:asciiTheme="majorHAnsi" w:hAnsiTheme="majorHAnsi" w:cstheme="majorHAnsi"/>
                <w:sz w:val="20"/>
                <w:szCs w:val="20"/>
              </w:rPr>
              <w:t>Złoże zagospodarowane, eksploatowane okresowo</w:t>
            </w:r>
          </w:p>
        </w:tc>
        <w:tc>
          <w:tcPr>
            <w:tcW w:w="777" w:type="dxa"/>
          </w:tcPr>
          <w:p w14:paraId="18FCFDBC" w14:textId="77777777" w:rsidR="00EA2B5F" w:rsidRPr="00F25EBD" w:rsidRDefault="00EA2B5F" w:rsidP="0060383F">
            <w:pPr>
              <w:jc w:val="center"/>
              <w:rPr>
                <w:rFonts w:asciiTheme="majorHAnsi" w:hAnsiTheme="majorHAnsi" w:cstheme="majorHAnsi"/>
                <w:sz w:val="20"/>
                <w:szCs w:val="20"/>
              </w:rPr>
            </w:pPr>
            <w:r w:rsidRPr="00F25EBD">
              <w:rPr>
                <w:rFonts w:asciiTheme="majorHAnsi" w:hAnsiTheme="majorHAnsi" w:cstheme="majorHAnsi"/>
                <w:sz w:val="20"/>
                <w:szCs w:val="20"/>
              </w:rPr>
              <w:t>8</w:t>
            </w:r>
          </w:p>
        </w:tc>
        <w:tc>
          <w:tcPr>
            <w:tcW w:w="704" w:type="dxa"/>
          </w:tcPr>
          <w:p w14:paraId="3C9ECBC5" w14:textId="77777777" w:rsidR="00EA2B5F" w:rsidRPr="00F25EBD" w:rsidRDefault="00EA2B5F" w:rsidP="0060383F">
            <w:pPr>
              <w:jc w:val="center"/>
              <w:rPr>
                <w:rFonts w:asciiTheme="majorHAnsi" w:hAnsiTheme="majorHAnsi" w:cstheme="majorHAnsi"/>
                <w:sz w:val="20"/>
                <w:szCs w:val="20"/>
              </w:rPr>
            </w:pPr>
            <w:r w:rsidRPr="00F25EBD">
              <w:rPr>
                <w:rFonts w:asciiTheme="majorHAnsi" w:hAnsiTheme="majorHAnsi" w:cstheme="majorHAnsi"/>
                <w:sz w:val="20"/>
                <w:szCs w:val="20"/>
              </w:rPr>
              <w:t>15</w:t>
            </w:r>
          </w:p>
        </w:tc>
        <w:tc>
          <w:tcPr>
            <w:tcW w:w="703" w:type="dxa"/>
          </w:tcPr>
          <w:p w14:paraId="32FC206E" w14:textId="77777777" w:rsidR="00EA2B5F" w:rsidRPr="00F25EBD" w:rsidRDefault="00EA2B5F" w:rsidP="0060383F">
            <w:pPr>
              <w:jc w:val="center"/>
              <w:rPr>
                <w:rFonts w:asciiTheme="majorHAnsi" w:hAnsiTheme="majorHAnsi" w:cstheme="majorHAnsi"/>
                <w:sz w:val="20"/>
                <w:szCs w:val="20"/>
              </w:rPr>
            </w:pPr>
            <w:r w:rsidRPr="00F25EBD">
              <w:rPr>
                <w:rFonts w:asciiTheme="majorHAnsi" w:hAnsiTheme="majorHAnsi" w:cstheme="majorHAnsi"/>
                <w:sz w:val="20"/>
                <w:szCs w:val="20"/>
              </w:rPr>
              <w:t>5</w:t>
            </w:r>
          </w:p>
        </w:tc>
        <w:tc>
          <w:tcPr>
            <w:tcW w:w="697" w:type="dxa"/>
          </w:tcPr>
          <w:p w14:paraId="0D74E9F7" w14:textId="77777777" w:rsidR="00EA2B5F" w:rsidRPr="00F25EBD" w:rsidRDefault="00EA2B5F" w:rsidP="0060383F">
            <w:pPr>
              <w:jc w:val="center"/>
              <w:rPr>
                <w:rFonts w:asciiTheme="majorHAnsi" w:hAnsiTheme="majorHAnsi" w:cstheme="majorHAnsi"/>
                <w:sz w:val="20"/>
                <w:szCs w:val="20"/>
              </w:rPr>
            </w:pPr>
            <w:r w:rsidRPr="00F25EBD">
              <w:rPr>
                <w:rFonts w:asciiTheme="majorHAnsi" w:hAnsiTheme="majorHAnsi" w:cstheme="majorHAnsi"/>
                <w:sz w:val="20"/>
                <w:szCs w:val="20"/>
              </w:rPr>
              <w:t>8</w:t>
            </w:r>
          </w:p>
        </w:tc>
      </w:tr>
      <w:tr w:rsidR="00EA2B5F" w:rsidRPr="00F25EBD" w14:paraId="51ED7E4B" w14:textId="77777777" w:rsidTr="0060383F">
        <w:tc>
          <w:tcPr>
            <w:tcW w:w="1503"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EEAF6" w:themeFill="accent1" w:themeFillTint="33"/>
            <w:vAlign w:val="center"/>
          </w:tcPr>
          <w:p w14:paraId="159F891C" w14:textId="77777777" w:rsidR="00EA2B5F" w:rsidRPr="00F25EBD" w:rsidRDefault="00EA2B5F" w:rsidP="0060383F">
            <w:pPr>
              <w:jc w:val="center"/>
              <w:rPr>
                <w:rFonts w:asciiTheme="majorHAnsi" w:hAnsiTheme="majorHAnsi" w:cstheme="majorHAnsi"/>
                <w:sz w:val="20"/>
                <w:szCs w:val="20"/>
              </w:rPr>
            </w:pPr>
            <w:r w:rsidRPr="00F25EBD">
              <w:rPr>
                <w:rFonts w:asciiTheme="majorHAnsi" w:hAnsiTheme="majorHAnsi" w:cstheme="majorHAnsi"/>
                <w:sz w:val="20"/>
                <w:szCs w:val="20"/>
              </w:rPr>
              <w:t>Piaski kwarcowe</w:t>
            </w:r>
          </w:p>
        </w:tc>
        <w:tc>
          <w:tcPr>
            <w:tcW w:w="4678" w:type="dxa"/>
            <w:tcBorders>
              <w:left w:val="single" w:sz="4" w:space="0" w:color="FFFFFF" w:themeColor="background1"/>
            </w:tcBorders>
          </w:tcPr>
          <w:p w14:paraId="245BB092" w14:textId="77777777" w:rsidR="00EA2B5F" w:rsidRPr="00F25EBD" w:rsidRDefault="00EA2B5F" w:rsidP="0060383F">
            <w:pPr>
              <w:jc w:val="both"/>
              <w:rPr>
                <w:rFonts w:asciiTheme="majorHAnsi" w:hAnsiTheme="majorHAnsi" w:cstheme="majorHAnsi"/>
                <w:sz w:val="20"/>
                <w:szCs w:val="20"/>
              </w:rPr>
            </w:pPr>
            <w:r w:rsidRPr="00F25EBD">
              <w:rPr>
                <w:rFonts w:asciiTheme="majorHAnsi" w:hAnsiTheme="majorHAnsi" w:cstheme="majorHAnsi"/>
                <w:sz w:val="20"/>
                <w:szCs w:val="20"/>
              </w:rPr>
              <w:t>Złoże eksploatowane</w:t>
            </w:r>
          </w:p>
        </w:tc>
        <w:tc>
          <w:tcPr>
            <w:tcW w:w="777" w:type="dxa"/>
          </w:tcPr>
          <w:p w14:paraId="6C9189C2" w14:textId="77777777" w:rsidR="00EA2B5F" w:rsidRPr="00F25EBD" w:rsidRDefault="00EA2B5F" w:rsidP="0060383F">
            <w:pPr>
              <w:jc w:val="center"/>
              <w:rPr>
                <w:rFonts w:asciiTheme="majorHAnsi" w:hAnsiTheme="majorHAnsi" w:cstheme="majorHAnsi"/>
                <w:sz w:val="20"/>
                <w:szCs w:val="20"/>
              </w:rPr>
            </w:pPr>
            <w:r w:rsidRPr="00F25EBD">
              <w:rPr>
                <w:rFonts w:asciiTheme="majorHAnsi" w:hAnsiTheme="majorHAnsi" w:cstheme="majorHAnsi"/>
                <w:sz w:val="20"/>
                <w:szCs w:val="20"/>
              </w:rPr>
              <w:t>1</w:t>
            </w:r>
          </w:p>
        </w:tc>
        <w:tc>
          <w:tcPr>
            <w:tcW w:w="704" w:type="dxa"/>
          </w:tcPr>
          <w:p w14:paraId="265EC493" w14:textId="77777777" w:rsidR="00EA2B5F" w:rsidRPr="00F25EBD" w:rsidRDefault="00EA2B5F" w:rsidP="0060383F">
            <w:pPr>
              <w:jc w:val="center"/>
              <w:rPr>
                <w:rFonts w:asciiTheme="majorHAnsi" w:hAnsiTheme="majorHAnsi" w:cstheme="majorHAnsi"/>
                <w:sz w:val="20"/>
                <w:szCs w:val="20"/>
              </w:rPr>
            </w:pPr>
          </w:p>
        </w:tc>
        <w:tc>
          <w:tcPr>
            <w:tcW w:w="703" w:type="dxa"/>
          </w:tcPr>
          <w:p w14:paraId="1CA800DD" w14:textId="77777777" w:rsidR="00EA2B5F" w:rsidRPr="00F25EBD" w:rsidRDefault="00EA2B5F" w:rsidP="0060383F">
            <w:pPr>
              <w:jc w:val="center"/>
              <w:rPr>
                <w:rFonts w:asciiTheme="majorHAnsi" w:hAnsiTheme="majorHAnsi" w:cstheme="majorHAnsi"/>
                <w:sz w:val="20"/>
                <w:szCs w:val="20"/>
              </w:rPr>
            </w:pPr>
          </w:p>
        </w:tc>
        <w:tc>
          <w:tcPr>
            <w:tcW w:w="697" w:type="dxa"/>
          </w:tcPr>
          <w:p w14:paraId="7435E05E" w14:textId="77777777" w:rsidR="00EA2B5F" w:rsidRPr="00F25EBD" w:rsidRDefault="00EA2B5F" w:rsidP="0060383F">
            <w:pPr>
              <w:jc w:val="center"/>
              <w:rPr>
                <w:rFonts w:asciiTheme="majorHAnsi" w:hAnsiTheme="majorHAnsi" w:cstheme="majorHAnsi"/>
                <w:sz w:val="20"/>
                <w:szCs w:val="20"/>
              </w:rPr>
            </w:pPr>
          </w:p>
        </w:tc>
      </w:tr>
      <w:tr w:rsidR="00EA2B5F" w:rsidRPr="00F25EBD" w14:paraId="008302CC" w14:textId="77777777" w:rsidTr="0060383F">
        <w:tc>
          <w:tcPr>
            <w:tcW w:w="1503"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EEAF6" w:themeFill="accent1" w:themeFillTint="33"/>
          </w:tcPr>
          <w:p w14:paraId="1F12DEBC" w14:textId="77777777" w:rsidR="00EA2B5F" w:rsidRPr="00F25EBD" w:rsidRDefault="00EA2B5F" w:rsidP="0060383F">
            <w:pPr>
              <w:jc w:val="both"/>
              <w:rPr>
                <w:rFonts w:asciiTheme="majorHAnsi" w:hAnsiTheme="majorHAnsi" w:cstheme="majorHAnsi"/>
                <w:sz w:val="20"/>
                <w:szCs w:val="20"/>
              </w:rPr>
            </w:pPr>
          </w:p>
        </w:tc>
        <w:tc>
          <w:tcPr>
            <w:tcW w:w="4678" w:type="dxa"/>
            <w:tcBorders>
              <w:left w:val="single" w:sz="4" w:space="0" w:color="FFFFFF" w:themeColor="background1"/>
            </w:tcBorders>
          </w:tcPr>
          <w:p w14:paraId="31F7A3D2" w14:textId="77777777" w:rsidR="00EA2B5F" w:rsidRPr="00F25EBD" w:rsidRDefault="00EA2B5F" w:rsidP="0060383F">
            <w:pPr>
              <w:jc w:val="both"/>
              <w:rPr>
                <w:rFonts w:asciiTheme="majorHAnsi" w:hAnsiTheme="majorHAnsi" w:cstheme="majorHAnsi"/>
                <w:sz w:val="20"/>
                <w:szCs w:val="20"/>
              </w:rPr>
            </w:pPr>
            <w:r w:rsidRPr="00F25EBD">
              <w:rPr>
                <w:rFonts w:asciiTheme="majorHAnsi" w:hAnsiTheme="majorHAnsi" w:cstheme="majorHAnsi"/>
                <w:sz w:val="20"/>
                <w:szCs w:val="20"/>
              </w:rPr>
              <w:t>Złoże o zasobach rozpoznanych wstępnie</w:t>
            </w:r>
          </w:p>
        </w:tc>
        <w:tc>
          <w:tcPr>
            <w:tcW w:w="777" w:type="dxa"/>
          </w:tcPr>
          <w:p w14:paraId="04547ABF" w14:textId="77777777" w:rsidR="00EA2B5F" w:rsidRPr="00F25EBD" w:rsidRDefault="00EA2B5F" w:rsidP="0060383F">
            <w:pPr>
              <w:jc w:val="center"/>
              <w:rPr>
                <w:rFonts w:asciiTheme="majorHAnsi" w:hAnsiTheme="majorHAnsi" w:cstheme="majorHAnsi"/>
                <w:sz w:val="20"/>
                <w:szCs w:val="20"/>
              </w:rPr>
            </w:pPr>
          </w:p>
        </w:tc>
        <w:tc>
          <w:tcPr>
            <w:tcW w:w="704" w:type="dxa"/>
          </w:tcPr>
          <w:p w14:paraId="37F5A17E" w14:textId="77777777" w:rsidR="00EA2B5F" w:rsidRPr="00F25EBD" w:rsidRDefault="00EA2B5F" w:rsidP="0060383F">
            <w:pPr>
              <w:jc w:val="center"/>
              <w:rPr>
                <w:rFonts w:asciiTheme="majorHAnsi" w:hAnsiTheme="majorHAnsi" w:cstheme="majorHAnsi"/>
                <w:sz w:val="20"/>
                <w:szCs w:val="20"/>
              </w:rPr>
            </w:pPr>
            <w:r w:rsidRPr="00F25EBD">
              <w:rPr>
                <w:rFonts w:asciiTheme="majorHAnsi" w:hAnsiTheme="majorHAnsi" w:cstheme="majorHAnsi"/>
                <w:sz w:val="20"/>
                <w:szCs w:val="20"/>
              </w:rPr>
              <w:t>1</w:t>
            </w:r>
          </w:p>
        </w:tc>
        <w:tc>
          <w:tcPr>
            <w:tcW w:w="703" w:type="dxa"/>
          </w:tcPr>
          <w:p w14:paraId="654129C6" w14:textId="77777777" w:rsidR="00EA2B5F" w:rsidRPr="00F25EBD" w:rsidRDefault="00EA2B5F" w:rsidP="0060383F">
            <w:pPr>
              <w:jc w:val="center"/>
              <w:rPr>
                <w:rFonts w:asciiTheme="majorHAnsi" w:hAnsiTheme="majorHAnsi" w:cstheme="majorHAnsi"/>
                <w:sz w:val="20"/>
                <w:szCs w:val="20"/>
              </w:rPr>
            </w:pPr>
          </w:p>
        </w:tc>
        <w:tc>
          <w:tcPr>
            <w:tcW w:w="697" w:type="dxa"/>
          </w:tcPr>
          <w:p w14:paraId="0FEC8A51" w14:textId="77777777" w:rsidR="00EA2B5F" w:rsidRPr="00F25EBD" w:rsidRDefault="00EA2B5F" w:rsidP="0060383F">
            <w:pPr>
              <w:jc w:val="center"/>
              <w:rPr>
                <w:rFonts w:asciiTheme="majorHAnsi" w:hAnsiTheme="majorHAnsi" w:cstheme="majorHAnsi"/>
                <w:sz w:val="20"/>
                <w:szCs w:val="20"/>
              </w:rPr>
            </w:pPr>
          </w:p>
        </w:tc>
      </w:tr>
      <w:tr w:rsidR="00EA2B5F" w:rsidRPr="00F25EBD" w14:paraId="2AA4BF19" w14:textId="77777777" w:rsidTr="0060383F">
        <w:trPr>
          <w:trHeight w:val="210"/>
        </w:trPr>
        <w:tc>
          <w:tcPr>
            <w:tcW w:w="1503"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EEAF6" w:themeFill="accent1" w:themeFillTint="33"/>
          </w:tcPr>
          <w:p w14:paraId="3D0EF685" w14:textId="77777777" w:rsidR="00EA2B5F" w:rsidRPr="00F25EBD" w:rsidRDefault="00EA2B5F" w:rsidP="0060383F">
            <w:pPr>
              <w:jc w:val="both"/>
              <w:rPr>
                <w:rFonts w:asciiTheme="majorHAnsi" w:hAnsiTheme="majorHAnsi" w:cstheme="majorHAnsi"/>
                <w:sz w:val="20"/>
                <w:szCs w:val="20"/>
              </w:rPr>
            </w:pPr>
          </w:p>
        </w:tc>
        <w:tc>
          <w:tcPr>
            <w:tcW w:w="4678" w:type="dxa"/>
            <w:tcBorders>
              <w:left w:val="single" w:sz="4" w:space="0" w:color="FFFFFF" w:themeColor="background1"/>
              <w:bottom w:val="single" w:sz="4" w:space="0" w:color="FFFFFF" w:themeColor="background1"/>
            </w:tcBorders>
          </w:tcPr>
          <w:p w14:paraId="02141ED1" w14:textId="77777777" w:rsidR="00EA2B5F" w:rsidRPr="00F25EBD" w:rsidRDefault="00EA2B5F" w:rsidP="0060383F">
            <w:pPr>
              <w:jc w:val="both"/>
              <w:rPr>
                <w:rFonts w:asciiTheme="majorHAnsi" w:hAnsiTheme="majorHAnsi" w:cstheme="majorHAnsi"/>
                <w:sz w:val="20"/>
                <w:szCs w:val="20"/>
              </w:rPr>
            </w:pPr>
            <w:r w:rsidRPr="00F25EBD">
              <w:rPr>
                <w:rFonts w:asciiTheme="majorHAnsi" w:hAnsiTheme="majorHAnsi" w:cstheme="majorHAnsi"/>
                <w:sz w:val="20"/>
                <w:szCs w:val="20"/>
              </w:rPr>
              <w:t>Złoże, z którego wydobycie zostało zaniechane</w:t>
            </w:r>
          </w:p>
        </w:tc>
        <w:tc>
          <w:tcPr>
            <w:tcW w:w="777" w:type="dxa"/>
          </w:tcPr>
          <w:p w14:paraId="58EEF657" w14:textId="77777777" w:rsidR="00EA2B5F" w:rsidRPr="00F25EBD" w:rsidRDefault="00EA2B5F" w:rsidP="0060383F">
            <w:pPr>
              <w:jc w:val="center"/>
              <w:rPr>
                <w:rFonts w:asciiTheme="majorHAnsi" w:hAnsiTheme="majorHAnsi" w:cstheme="majorHAnsi"/>
                <w:sz w:val="20"/>
                <w:szCs w:val="20"/>
              </w:rPr>
            </w:pPr>
            <w:r w:rsidRPr="00F25EBD">
              <w:rPr>
                <w:rFonts w:asciiTheme="majorHAnsi" w:hAnsiTheme="majorHAnsi" w:cstheme="majorHAnsi"/>
                <w:sz w:val="20"/>
                <w:szCs w:val="20"/>
              </w:rPr>
              <w:t>1</w:t>
            </w:r>
          </w:p>
        </w:tc>
        <w:tc>
          <w:tcPr>
            <w:tcW w:w="704" w:type="dxa"/>
          </w:tcPr>
          <w:p w14:paraId="626D4D35" w14:textId="77777777" w:rsidR="00EA2B5F" w:rsidRPr="00F25EBD" w:rsidRDefault="00EA2B5F" w:rsidP="0060383F">
            <w:pPr>
              <w:jc w:val="center"/>
              <w:rPr>
                <w:rFonts w:asciiTheme="majorHAnsi" w:hAnsiTheme="majorHAnsi" w:cstheme="majorHAnsi"/>
                <w:sz w:val="20"/>
                <w:szCs w:val="20"/>
              </w:rPr>
            </w:pPr>
            <w:r w:rsidRPr="00F25EBD">
              <w:rPr>
                <w:rFonts w:asciiTheme="majorHAnsi" w:hAnsiTheme="majorHAnsi" w:cstheme="majorHAnsi"/>
                <w:sz w:val="20"/>
                <w:szCs w:val="20"/>
              </w:rPr>
              <w:t>1</w:t>
            </w:r>
          </w:p>
        </w:tc>
        <w:tc>
          <w:tcPr>
            <w:tcW w:w="703" w:type="dxa"/>
          </w:tcPr>
          <w:p w14:paraId="1637E6CA" w14:textId="77777777" w:rsidR="00EA2B5F" w:rsidRPr="00F25EBD" w:rsidRDefault="00EA2B5F" w:rsidP="0060383F">
            <w:pPr>
              <w:jc w:val="center"/>
              <w:rPr>
                <w:rFonts w:asciiTheme="majorHAnsi" w:hAnsiTheme="majorHAnsi" w:cstheme="majorHAnsi"/>
                <w:sz w:val="20"/>
                <w:szCs w:val="20"/>
              </w:rPr>
            </w:pPr>
          </w:p>
        </w:tc>
        <w:tc>
          <w:tcPr>
            <w:tcW w:w="697" w:type="dxa"/>
          </w:tcPr>
          <w:p w14:paraId="799D8282" w14:textId="77777777" w:rsidR="00EA2B5F" w:rsidRPr="00F25EBD" w:rsidRDefault="00EA2B5F" w:rsidP="0060383F">
            <w:pPr>
              <w:jc w:val="center"/>
              <w:rPr>
                <w:rFonts w:asciiTheme="majorHAnsi" w:hAnsiTheme="majorHAnsi" w:cstheme="majorHAnsi"/>
                <w:sz w:val="20"/>
                <w:szCs w:val="20"/>
              </w:rPr>
            </w:pPr>
            <w:r w:rsidRPr="00F25EBD">
              <w:rPr>
                <w:rFonts w:asciiTheme="majorHAnsi" w:hAnsiTheme="majorHAnsi" w:cstheme="majorHAnsi"/>
                <w:sz w:val="20"/>
                <w:szCs w:val="20"/>
              </w:rPr>
              <w:t>1</w:t>
            </w:r>
          </w:p>
        </w:tc>
      </w:tr>
      <w:tr w:rsidR="00EA2B5F" w:rsidRPr="00F25EBD" w14:paraId="07335DCF" w14:textId="77777777" w:rsidTr="0060383F">
        <w:trPr>
          <w:trHeight w:val="210"/>
        </w:trPr>
        <w:tc>
          <w:tcPr>
            <w:tcW w:w="618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EEAF6" w:themeFill="accent1" w:themeFillTint="33"/>
          </w:tcPr>
          <w:p w14:paraId="0D43DDF4" w14:textId="77777777" w:rsidR="00EA2B5F" w:rsidRPr="00F25EBD" w:rsidRDefault="00EA2B5F" w:rsidP="0060383F">
            <w:pPr>
              <w:jc w:val="center"/>
              <w:rPr>
                <w:rFonts w:asciiTheme="majorHAnsi" w:hAnsiTheme="majorHAnsi" w:cstheme="majorHAnsi"/>
                <w:sz w:val="20"/>
                <w:szCs w:val="20"/>
              </w:rPr>
            </w:pPr>
            <w:r w:rsidRPr="00F25EBD">
              <w:rPr>
                <w:rFonts w:asciiTheme="majorHAnsi" w:hAnsiTheme="majorHAnsi" w:cstheme="majorHAnsi"/>
                <w:sz w:val="20"/>
                <w:szCs w:val="20"/>
              </w:rPr>
              <w:t>Razem</w:t>
            </w:r>
          </w:p>
        </w:tc>
        <w:tc>
          <w:tcPr>
            <w:tcW w:w="777" w:type="dxa"/>
            <w:tcBorders>
              <w:left w:val="single" w:sz="4" w:space="0" w:color="FFFFFF" w:themeColor="background1"/>
            </w:tcBorders>
            <w:vAlign w:val="bottom"/>
          </w:tcPr>
          <w:p w14:paraId="7FA69222" w14:textId="77777777" w:rsidR="00EA2B5F" w:rsidRPr="00F25EBD" w:rsidRDefault="00EA2B5F" w:rsidP="0060383F">
            <w:pPr>
              <w:jc w:val="center"/>
              <w:rPr>
                <w:rFonts w:asciiTheme="majorHAnsi" w:hAnsiTheme="majorHAnsi" w:cstheme="majorHAnsi"/>
                <w:sz w:val="20"/>
                <w:szCs w:val="20"/>
              </w:rPr>
            </w:pPr>
            <w:r w:rsidRPr="00F25EBD">
              <w:rPr>
                <w:rFonts w:asciiTheme="majorHAnsi" w:hAnsiTheme="majorHAnsi" w:cstheme="majorHAnsi"/>
                <w:color w:val="000000"/>
                <w:sz w:val="20"/>
                <w:szCs w:val="20"/>
              </w:rPr>
              <w:t>69</w:t>
            </w:r>
          </w:p>
        </w:tc>
        <w:tc>
          <w:tcPr>
            <w:tcW w:w="704" w:type="dxa"/>
            <w:vAlign w:val="bottom"/>
          </w:tcPr>
          <w:p w14:paraId="344120E8" w14:textId="77777777" w:rsidR="00EA2B5F" w:rsidRPr="00F25EBD" w:rsidRDefault="00EA2B5F" w:rsidP="0060383F">
            <w:pPr>
              <w:jc w:val="center"/>
              <w:rPr>
                <w:rFonts w:asciiTheme="majorHAnsi" w:hAnsiTheme="majorHAnsi" w:cstheme="majorHAnsi"/>
                <w:sz w:val="20"/>
                <w:szCs w:val="20"/>
              </w:rPr>
            </w:pPr>
            <w:r w:rsidRPr="00F25EBD">
              <w:rPr>
                <w:rFonts w:asciiTheme="majorHAnsi" w:hAnsiTheme="majorHAnsi" w:cstheme="majorHAnsi"/>
                <w:color w:val="000000"/>
                <w:sz w:val="20"/>
                <w:szCs w:val="20"/>
              </w:rPr>
              <w:t>66</w:t>
            </w:r>
          </w:p>
        </w:tc>
        <w:tc>
          <w:tcPr>
            <w:tcW w:w="703" w:type="dxa"/>
            <w:vAlign w:val="bottom"/>
          </w:tcPr>
          <w:p w14:paraId="4198362E" w14:textId="77777777" w:rsidR="00EA2B5F" w:rsidRPr="00F25EBD" w:rsidRDefault="00EA2B5F" w:rsidP="0060383F">
            <w:pPr>
              <w:jc w:val="center"/>
              <w:rPr>
                <w:rFonts w:asciiTheme="majorHAnsi" w:hAnsiTheme="majorHAnsi" w:cstheme="majorHAnsi"/>
                <w:sz w:val="20"/>
                <w:szCs w:val="20"/>
              </w:rPr>
            </w:pPr>
            <w:r w:rsidRPr="00F25EBD">
              <w:rPr>
                <w:rFonts w:asciiTheme="majorHAnsi" w:hAnsiTheme="majorHAnsi" w:cstheme="majorHAnsi"/>
                <w:color w:val="000000"/>
                <w:sz w:val="20"/>
                <w:szCs w:val="20"/>
              </w:rPr>
              <w:t>50</w:t>
            </w:r>
          </w:p>
        </w:tc>
        <w:tc>
          <w:tcPr>
            <w:tcW w:w="697" w:type="dxa"/>
            <w:vAlign w:val="bottom"/>
          </w:tcPr>
          <w:p w14:paraId="07634AA5" w14:textId="77777777" w:rsidR="00EA2B5F" w:rsidRPr="00F25EBD" w:rsidRDefault="00EA2B5F" w:rsidP="0060383F">
            <w:pPr>
              <w:jc w:val="center"/>
              <w:rPr>
                <w:rFonts w:asciiTheme="majorHAnsi" w:hAnsiTheme="majorHAnsi" w:cstheme="majorHAnsi"/>
                <w:sz w:val="20"/>
                <w:szCs w:val="20"/>
              </w:rPr>
            </w:pPr>
            <w:r w:rsidRPr="00F25EBD">
              <w:rPr>
                <w:rFonts w:asciiTheme="majorHAnsi" w:hAnsiTheme="majorHAnsi" w:cstheme="majorHAnsi"/>
                <w:color w:val="000000"/>
                <w:sz w:val="20"/>
                <w:szCs w:val="20"/>
              </w:rPr>
              <w:t>58</w:t>
            </w:r>
          </w:p>
        </w:tc>
      </w:tr>
    </w:tbl>
    <w:p w14:paraId="58A274B6" w14:textId="77777777" w:rsidR="00EA2B5F" w:rsidRPr="00F25EBD" w:rsidRDefault="00EA2B5F" w:rsidP="00FC7062">
      <w:pPr>
        <w:spacing w:before="120" w:after="120" w:line="276" w:lineRule="auto"/>
        <w:jc w:val="both"/>
        <w:rPr>
          <w:rFonts w:asciiTheme="majorHAnsi" w:hAnsiTheme="majorHAnsi" w:cstheme="majorHAnsi"/>
          <w:sz w:val="18"/>
          <w:szCs w:val="18"/>
        </w:rPr>
      </w:pPr>
      <w:r w:rsidRPr="00F25EBD">
        <w:rPr>
          <w:rFonts w:asciiTheme="majorHAnsi" w:hAnsiTheme="majorHAnsi" w:cstheme="majorHAnsi"/>
          <w:sz w:val="18"/>
          <w:szCs w:val="18"/>
        </w:rPr>
        <w:t>D</w:t>
      </w:r>
      <w:r w:rsidR="00336D76" w:rsidRPr="00F25EBD">
        <w:rPr>
          <w:rFonts w:asciiTheme="majorHAnsi" w:hAnsiTheme="majorHAnsi" w:cstheme="majorHAnsi"/>
          <w:sz w:val="18"/>
          <w:szCs w:val="18"/>
        </w:rPr>
        <w:t xml:space="preserve"> - </w:t>
      </w:r>
      <w:r w:rsidRPr="00F25EBD">
        <w:rPr>
          <w:rFonts w:asciiTheme="majorHAnsi" w:hAnsiTheme="majorHAnsi" w:cstheme="majorHAnsi"/>
          <w:sz w:val="18"/>
          <w:szCs w:val="18"/>
        </w:rPr>
        <w:t>powiat działdowski, N</w:t>
      </w:r>
      <w:r w:rsidR="00336D76" w:rsidRPr="00F25EBD">
        <w:rPr>
          <w:rFonts w:asciiTheme="majorHAnsi" w:hAnsiTheme="majorHAnsi" w:cstheme="majorHAnsi"/>
          <w:sz w:val="18"/>
          <w:szCs w:val="18"/>
        </w:rPr>
        <w:t xml:space="preserve"> - </w:t>
      </w:r>
      <w:r w:rsidRPr="00F25EBD">
        <w:rPr>
          <w:rFonts w:asciiTheme="majorHAnsi" w:hAnsiTheme="majorHAnsi" w:cstheme="majorHAnsi"/>
          <w:sz w:val="18"/>
          <w:szCs w:val="18"/>
        </w:rPr>
        <w:t>powiat nidzicki, P</w:t>
      </w:r>
      <w:r w:rsidR="00336D76" w:rsidRPr="00F25EBD">
        <w:rPr>
          <w:rFonts w:asciiTheme="majorHAnsi" w:hAnsiTheme="majorHAnsi" w:cstheme="majorHAnsi"/>
          <w:sz w:val="18"/>
          <w:szCs w:val="18"/>
        </w:rPr>
        <w:t xml:space="preserve"> - </w:t>
      </w:r>
      <w:r w:rsidRPr="00F25EBD">
        <w:rPr>
          <w:rFonts w:asciiTheme="majorHAnsi" w:hAnsiTheme="majorHAnsi" w:cstheme="majorHAnsi"/>
          <w:sz w:val="18"/>
          <w:szCs w:val="18"/>
        </w:rPr>
        <w:t>powiat piski, S</w:t>
      </w:r>
      <w:r w:rsidR="00336D76" w:rsidRPr="00F25EBD">
        <w:rPr>
          <w:rFonts w:asciiTheme="majorHAnsi" w:hAnsiTheme="majorHAnsi" w:cstheme="majorHAnsi"/>
          <w:sz w:val="18"/>
          <w:szCs w:val="18"/>
        </w:rPr>
        <w:t xml:space="preserve"> - </w:t>
      </w:r>
      <w:r w:rsidRPr="00F25EBD">
        <w:rPr>
          <w:rFonts w:asciiTheme="majorHAnsi" w:hAnsiTheme="majorHAnsi" w:cstheme="majorHAnsi"/>
          <w:sz w:val="18"/>
          <w:szCs w:val="18"/>
        </w:rPr>
        <w:t>powiat szczycieński</w:t>
      </w:r>
    </w:p>
    <w:p w14:paraId="6B6451E4" w14:textId="02D4BF88" w:rsidR="00EA2B5F" w:rsidRPr="00F25EBD" w:rsidRDefault="00EA2B5F" w:rsidP="00FC7062">
      <w:pPr>
        <w:spacing w:after="0" w:line="276" w:lineRule="auto"/>
        <w:jc w:val="both"/>
        <w:rPr>
          <w:rFonts w:asciiTheme="majorHAnsi" w:hAnsiTheme="majorHAnsi" w:cstheme="majorHAnsi"/>
          <w:sz w:val="18"/>
          <w:szCs w:val="18"/>
        </w:rPr>
      </w:pPr>
      <w:r w:rsidRPr="0060383F">
        <w:rPr>
          <w:rStyle w:val="rdoZnak"/>
        </w:rPr>
        <w:t xml:space="preserve">Źródło: opracowanie własne na podstawie </w:t>
      </w:r>
      <w:proofErr w:type="spellStart"/>
      <w:r w:rsidRPr="0060383F">
        <w:rPr>
          <w:rStyle w:val="rdoZnak"/>
        </w:rPr>
        <w:t>Szulficki</w:t>
      </w:r>
      <w:proofErr w:type="spellEnd"/>
      <w:r w:rsidRPr="0060383F">
        <w:rPr>
          <w:rStyle w:val="rdoZnak"/>
        </w:rPr>
        <w:t xml:space="preserve"> M., </w:t>
      </w:r>
      <w:proofErr w:type="spellStart"/>
      <w:r w:rsidRPr="0060383F">
        <w:rPr>
          <w:rStyle w:val="rdoZnak"/>
        </w:rPr>
        <w:t>Malon</w:t>
      </w:r>
      <w:proofErr w:type="spellEnd"/>
      <w:r w:rsidRPr="0060383F">
        <w:rPr>
          <w:rStyle w:val="rdoZnak"/>
        </w:rPr>
        <w:t xml:space="preserve"> A., Tymiński M. (red.). 2020. Bilans zasobów złóż kopalin w</w:t>
      </w:r>
      <w:r w:rsidR="007B04A7">
        <w:rPr>
          <w:rStyle w:val="rdoZnak"/>
        </w:rPr>
        <w:t xml:space="preserve"> </w:t>
      </w:r>
      <w:r w:rsidRPr="0060383F">
        <w:rPr>
          <w:rStyle w:val="rdoZnak"/>
        </w:rPr>
        <w:t>Polsce (wg stanu na 31.12.2019</w:t>
      </w:r>
      <w:r w:rsidR="00F7062F">
        <w:rPr>
          <w:rStyle w:val="rdoZnak"/>
        </w:rPr>
        <w:t>r.</w:t>
      </w:r>
      <w:r w:rsidRPr="0060383F">
        <w:rPr>
          <w:rStyle w:val="rdoZnak"/>
        </w:rPr>
        <w:t>). Państwowy Instytut Geologiczny, Warszawa</w:t>
      </w:r>
      <w:r w:rsidRPr="00F25EBD">
        <w:rPr>
          <w:rFonts w:asciiTheme="majorHAnsi" w:hAnsiTheme="majorHAnsi" w:cstheme="majorHAnsi"/>
          <w:sz w:val="18"/>
          <w:szCs w:val="18"/>
        </w:rPr>
        <w:t>.</w:t>
      </w:r>
    </w:p>
    <w:p w14:paraId="49ADB8E6" w14:textId="66DAAA78" w:rsidR="00EA2B5F" w:rsidRPr="007A5888" w:rsidRDefault="0060383F" w:rsidP="007A5888">
      <w:pPr>
        <w:pStyle w:val="Nagwek2"/>
      </w:pPr>
      <w:bookmarkStart w:id="16" w:name="_Toc77070601"/>
      <w:r w:rsidRPr="007A5888">
        <w:t xml:space="preserve">2.4 </w:t>
      </w:r>
      <w:r w:rsidR="00EA2B5F" w:rsidRPr="007A5888">
        <w:t>Stan środowiska naturalnego</w:t>
      </w:r>
      <w:bookmarkEnd w:id="16"/>
    </w:p>
    <w:p w14:paraId="6683EE5A" w14:textId="77777777" w:rsidR="00EA2B5F" w:rsidRPr="00F25EBD" w:rsidRDefault="00EA2B5F" w:rsidP="008A3FED">
      <w:pPr>
        <w:spacing w:line="276" w:lineRule="auto"/>
        <w:jc w:val="both"/>
        <w:rPr>
          <w:rFonts w:asciiTheme="majorHAnsi" w:hAnsiTheme="majorHAnsi" w:cstheme="majorHAnsi"/>
        </w:rPr>
      </w:pPr>
      <w:r w:rsidRPr="00F25EBD">
        <w:rPr>
          <w:rFonts w:asciiTheme="majorHAnsi" w:hAnsiTheme="majorHAnsi" w:cstheme="majorHAnsi"/>
        </w:rPr>
        <w:t>Jakość powietrza na terenie Południowych Mazur kształtowana jest przede wszystkim przez rozkład przestrzenny i wielkość emisji zanieczyszczeń ze źródeł stacjonarnych i mobilnych, napływowych (transgranicznych) oraz przemian fizykochemicznych zachodzących w atmosferze</w:t>
      </w:r>
      <w:r w:rsidRPr="00F25EBD">
        <w:rPr>
          <w:rStyle w:val="Odwoanieprzypisudolnego"/>
          <w:rFonts w:asciiTheme="majorHAnsi" w:hAnsiTheme="majorHAnsi" w:cstheme="majorHAnsi"/>
        </w:rPr>
        <w:footnoteReference w:id="11"/>
      </w:r>
      <w:r w:rsidRPr="00F25EBD">
        <w:rPr>
          <w:rFonts w:asciiTheme="majorHAnsi" w:hAnsiTheme="majorHAnsi" w:cstheme="majorHAnsi"/>
        </w:rPr>
        <w:t>.</w:t>
      </w:r>
    </w:p>
    <w:p w14:paraId="55A25455" w14:textId="283E018A" w:rsidR="00EA2B5F" w:rsidRPr="00F25EBD" w:rsidRDefault="00EA2B5F" w:rsidP="008A3FED">
      <w:pPr>
        <w:spacing w:line="276" w:lineRule="auto"/>
        <w:jc w:val="both"/>
        <w:rPr>
          <w:rFonts w:asciiTheme="majorHAnsi" w:hAnsiTheme="majorHAnsi" w:cstheme="majorHAnsi"/>
        </w:rPr>
      </w:pPr>
      <w:r w:rsidRPr="00F25EBD">
        <w:rPr>
          <w:rFonts w:asciiTheme="majorHAnsi" w:hAnsiTheme="majorHAnsi" w:cstheme="majorHAnsi"/>
        </w:rPr>
        <w:t>Na koniec 2019</w:t>
      </w:r>
      <w:r w:rsidR="00F7062F">
        <w:rPr>
          <w:rFonts w:asciiTheme="majorHAnsi" w:hAnsiTheme="majorHAnsi" w:cstheme="majorHAnsi"/>
        </w:rPr>
        <w:t>r.</w:t>
      </w:r>
      <w:r w:rsidRPr="00F25EBD">
        <w:rPr>
          <w:rFonts w:asciiTheme="majorHAnsi" w:hAnsiTheme="majorHAnsi" w:cstheme="majorHAnsi"/>
        </w:rPr>
        <w:t xml:space="preserve"> zakłady szczególnie uciążliwe zlokalizowane na charakteryzowanym terenie wyemitowały łącznie 200.354 tony zanieczyszczeń gazowych oraz 103 tony zanieczyszczeń pyłowych, co stanowiło odpowiednio 11,6% i 16,3% emisji w skali województwa. </w:t>
      </w:r>
    </w:p>
    <w:p w14:paraId="030435EE" w14:textId="0BED77A1" w:rsidR="00EA2B5F" w:rsidRPr="00F25EBD" w:rsidRDefault="00EA2B5F" w:rsidP="008A3FED">
      <w:pPr>
        <w:spacing w:line="276" w:lineRule="auto"/>
        <w:jc w:val="both"/>
        <w:rPr>
          <w:rFonts w:asciiTheme="majorHAnsi" w:hAnsiTheme="majorHAnsi" w:cstheme="majorHAnsi"/>
        </w:rPr>
      </w:pPr>
      <w:r w:rsidRPr="00F25EBD">
        <w:rPr>
          <w:rFonts w:asciiTheme="majorHAnsi" w:hAnsiTheme="majorHAnsi" w:cstheme="majorHAnsi"/>
        </w:rPr>
        <w:t xml:space="preserve">Niemal całość (99,4%) zanieczyszczeń gazowych przypadała na dwutlenek węgla, z czego niemal połowa (41,3%) wytworzona została na terenie powiatu </w:t>
      </w:r>
      <w:proofErr w:type="spellStart"/>
      <w:r w:rsidRPr="00F25EBD">
        <w:rPr>
          <w:rFonts w:asciiTheme="majorHAnsi" w:hAnsiTheme="majorHAnsi" w:cstheme="majorHAnsi"/>
        </w:rPr>
        <w:t>piskiego</w:t>
      </w:r>
      <w:proofErr w:type="spellEnd"/>
      <w:r w:rsidRPr="00F25EBD">
        <w:rPr>
          <w:rFonts w:asciiTheme="majorHAnsi" w:hAnsiTheme="majorHAnsi" w:cstheme="majorHAnsi"/>
        </w:rPr>
        <w:t>. W latach 2012-2019</w:t>
      </w:r>
      <w:r w:rsidRPr="00F25EBD">
        <w:rPr>
          <w:rStyle w:val="Odwoanieprzypisudolnego"/>
          <w:rFonts w:asciiTheme="majorHAnsi" w:hAnsiTheme="majorHAnsi" w:cstheme="majorHAnsi"/>
        </w:rPr>
        <w:footnoteReference w:id="12"/>
      </w:r>
      <w:r w:rsidRPr="00F25EBD">
        <w:rPr>
          <w:rFonts w:asciiTheme="majorHAnsi" w:hAnsiTheme="majorHAnsi" w:cstheme="majorHAnsi"/>
        </w:rPr>
        <w:t xml:space="preserve"> emisja tych zanieczyszczeń podlegała wahaniom, osiągając szczyt w 2017</w:t>
      </w:r>
      <w:r w:rsidR="00F7062F">
        <w:rPr>
          <w:rFonts w:asciiTheme="majorHAnsi" w:hAnsiTheme="majorHAnsi" w:cstheme="majorHAnsi"/>
        </w:rPr>
        <w:t>r.</w:t>
      </w:r>
      <w:r w:rsidRPr="00F25EBD">
        <w:rPr>
          <w:rFonts w:asciiTheme="majorHAnsi" w:hAnsiTheme="majorHAnsi" w:cstheme="majorHAnsi"/>
        </w:rPr>
        <w:t>, co widoczne jest na poniższym rysunku.</w:t>
      </w:r>
    </w:p>
    <w:p w14:paraId="2D86744B" w14:textId="09372B80" w:rsidR="00EA2B5F" w:rsidRPr="00F25EBD" w:rsidRDefault="00EA2B5F" w:rsidP="000E5B5A">
      <w:pPr>
        <w:pStyle w:val="nad"/>
      </w:pPr>
      <w:bookmarkStart w:id="17" w:name="_Toc81301532"/>
      <w:r w:rsidRPr="00F25EBD">
        <w:t xml:space="preserve">Rysunek </w:t>
      </w:r>
      <w:r w:rsidRPr="00F25EBD">
        <w:rPr>
          <w:noProof/>
        </w:rPr>
        <w:fldChar w:fldCharType="begin"/>
      </w:r>
      <w:r w:rsidRPr="00F25EBD">
        <w:rPr>
          <w:noProof/>
        </w:rPr>
        <w:instrText xml:space="preserve"> SEQ Rysunek \* ARABIC </w:instrText>
      </w:r>
      <w:r w:rsidRPr="00F25EBD">
        <w:rPr>
          <w:noProof/>
        </w:rPr>
        <w:fldChar w:fldCharType="separate"/>
      </w:r>
      <w:r w:rsidR="006C7815">
        <w:rPr>
          <w:noProof/>
        </w:rPr>
        <w:t>4</w:t>
      </w:r>
      <w:r w:rsidRPr="00F25EBD">
        <w:rPr>
          <w:noProof/>
        </w:rPr>
        <w:fldChar w:fldCharType="end"/>
      </w:r>
      <w:r w:rsidRPr="00F25EBD">
        <w:t>. Emisja zanieczyszczeń gazowych na terenie Południowych Mazur w latach 2012-2019 (w tonach)</w:t>
      </w:r>
      <w:bookmarkEnd w:id="17"/>
    </w:p>
    <w:p w14:paraId="1A283EE9" w14:textId="77777777" w:rsidR="00EA2B5F" w:rsidRPr="00F25EBD" w:rsidRDefault="00EA2B5F" w:rsidP="00FC7062">
      <w:pPr>
        <w:spacing w:after="0" w:line="276" w:lineRule="auto"/>
        <w:jc w:val="center"/>
        <w:rPr>
          <w:rFonts w:asciiTheme="majorHAnsi" w:hAnsiTheme="majorHAnsi" w:cstheme="majorHAnsi"/>
        </w:rPr>
      </w:pPr>
      <w:r w:rsidRPr="00F25EBD">
        <w:rPr>
          <w:rFonts w:asciiTheme="majorHAnsi" w:hAnsiTheme="majorHAnsi" w:cstheme="majorHAnsi"/>
          <w:noProof/>
          <w:lang w:eastAsia="pl-PL"/>
        </w:rPr>
        <w:drawing>
          <wp:inline distT="0" distB="0" distL="0" distR="0" wp14:anchorId="22DED42A" wp14:editId="5FD5FA41">
            <wp:extent cx="5760000" cy="2606400"/>
            <wp:effectExtent l="0" t="0" r="12700" b="3810"/>
            <wp:docPr id="2" name="Wykres 2">
              <a:extLst xmlns:a="http://schemas.openxmlformats.org/drawingml/2006/main">
                <a:ext uri="{FF2B5EF4-FFF2-40B4-BE49-F238E27FC236}">
                  <a16:creationId xmlns:a16="http://schemas.microsoft.com/office/drawing/2014/main" id="{A994D67D-90D7-4E37-9517-14A9BEC9D6A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15022612" w14:textId="77777777" w:rsidR="00EA2B5F" w:rsidRPr="00F25EBD" w:rsidRDefault="00EA2B5F" w:rsidP="0060383F">
      <w:pPr>
        <w:pStyle w:val="rdo"/>
      </w:pPr>
      <w:r w:rsidRPr="00F25EBD">
        <w:t>Źródło: opracowanie własne na podstawie danych BDL.</w:t>
      </w:r>
    </w:p>
    <w:p w14:paraId="2C7CAAE6" w14:textId="77777777" w:rsidR="008A3FED" w:rsidRDefault="008A3FED" w:rsidP="00FC7062">
      <w:pPr>
        <w:spacing w:after="0" w:line="276" w:lineRule="auto"/>
        <w:jc w:val="both"/>
        <w:rPr>
          <w:rFonts w:asciiTheme="majorHAnsi" w:hAnsiTheme="majorHAnsi" w:cstheme="majorHAnsi"/>
        </w:rPr>
      </w:pPr>
    </w:p>
    <w:p w14:paraId="2A758D5F" w14:textId="1A871CA8" w:rsidR="00EA2B5F" w:rsidRPr="00F25EBD" w:rsidRDefault="00EA2B5F" w:rsidP="00FC7062">
      <w:pPr>
        <w:spacing w:after="0" w:line="276" w:lineRule="auto"/>
        <w:jc w:val="both"/>
        <w:rPr>
          <w:rFonts w:asciiTheme="majorHAnsi" w:hAnsiTheme="majorHAnsi" w:cstheme="majorHAnsi"/>
        </w:rPr>
      </w:pPr>
      <w:r w:rsidRPr="00F25EBD">
        <w:rPr>
          <w:rFonts w:asciiTheme="majorHAnsi" w:hAnsiTheme="majorHAnsi" w:cstheme="majorHAnsi"/>
        </w:rPr>
        <w:t>Znaczna część zanieczyszczeń pyłowych (84,5%) emitowanych na terenie Południowych Mazur w</w:t>
      </w:r>
      <w:r w:rsidR="007B04A7">
        <w:rPr>
          <w:rFonts w:asciiTheme="majorHAnsi" w:hAnsiTheme="majorHAnsi" w:cstheme="majorHAnsi"/>
        </w:rPr>
        <w:t xml:space="preserve"> </w:t>
      </w:r>
      <w:r w:rsidRPr="00F25EBD">
        <w:rPr>
          <w:rFonts w:asciiTheme="majorHAnsi" w:hAnsiTheme="majorHAnsi" w:cstheme="majorHAnsi"/>
        </w:rPr>
        <w:t>2019r. powstała w wyniku spalania paliw, przy czym udział poszczególnych powiatów był w tym zakresie nierównomierny. Najwyższy odsetek tego typu zanieczyszczeń wytworzyły jednostki zlokalizowane na ter</w:t>
      </w:r>
      <w:r w:rsidR="00216C5E">
        <w:rPr>
          <w:rFonts w:asciiTheme="majorHAnsi" w:hAnsiTheme="majorHAnsi" w:cstheme="majorHAnsi"/>
        </w:rPr>
        <w:t>e</w:t>
      </w:r>
      <w:r w:rsidRPr="00F25EBD">
        <w:rPr>
          <w:rFonts w:asciiTheme="majorHAnsi" w:hAnsiTheme="majorHAnsi" w:cstheme="majorHAnsi"/>
        </w:rPr>
        <w:t xml:space="preserve">nie powiatu </w:t>
      </w:r>
      <w:proofErr w:type="spellStart"/>
      <w:r w:rsidRPr="00F25EBD">
        <w:rPr>
          <w:rFonts w:asciiTheme="majorHAnsi" w:hAnsiTheme="majorHAnsi" w:cstheme="majorHAnsi"/>
        </w:rPr>
        <w:t>piskiego</w:t>
      </w:r>
      <w:proofErr w:type="spellEnd"/>
      <w:r w:rsidRPr="00F25EBD">
        <w:rPr>
          <w:rFonts w:asciiTheme="majorHAnsi" w:hAnsiTheme="majorHAnsi" w:cstheme="majorHAnsi"/>
        </w:rPr>
        <w:t xml:space="preserve"> (39,1%), a następnie działdowskiego (37,9%), szczycieńskiego (18,4%) i na końcu nidzickiego (4,6%). Intensywność emisji tych substancji, podobnie jak to miało miejsce w przypadku zanieczyszczeń gazowych, podlegała w latach 2012-2019 wahaniom. Pozytywnym zjawiskiem jest utrzymujący się od 2016</w:t>
      </w:r>
      <w:r w:rsidR="00F7062F">
        <w:rPr>
          <w:rFonts w:asciiTheme="majorHAnsi" w:hAnsiTheme="majorHAnsi" w:cstheme="majorHAnsi"/>
        </w:rPr>
        <w:t>r.</w:t>
      </w:r>
      <w:r w:rsidRPr="00F25EBD">
        <w:rPr>
          <w:rFonts w:asciiTheme="majorHAnsi" w:hAnsiTheme="majorHAnsi" w:cstheme="majorHAnsi"/>
        </w:rPr>
        <w:t xml:space="preserve"> trend spadkowy, w efekcie czego poziom zanieczyszczeń pyłowych odnotowany w 2019</w:t>
      </w:r>
      <w:r w:rsidR="00F7062F">
        <w:rPr>
          <w:rFonts w:asciiTheme="majorHAnsi" w:hAnsiTheme="majorHAnsi" w:cstheme="majorHAnsi"/>
        </w:rPr>
        <w:t>r.</w:t>
      </w:r>
      <w:r w:rsidRPr="00F25EBD">
        <w:rPr>
          <w:rFonts w:asciiTheme="majorHAnsi" w:hAnsiTheme="majorHAnsi" w:cstheme="majorHAnsi"/>
        </w:rPr>
        <w:t xml:space="preserve"> był o 39,4% niższy od ich wielkości z 2012</w:t>
      </w:r>
      <w:r w:rsidR="00F7062F">
        <w:rPr>
          <w:rFonts w:asciiTheme="majorHAnsi" w:hAnsiTheme="majorHAnsi" w:cstheme="majorHAnsi"/>
        </w:rPr>
        <w:t>r.</w:t>
      </w:r>
      <w:r w:rsidRPr="00F25EBD">
        <w:rPr>
          <w:rFonts w:asciiTheme="majorHAnsi" w:hAnsiTheme="majorHAnsi" w:cstheme="majorHAnsi"/>
        </w:rPr>
        <w:t xml:space="preserve"> (rys.).</w:t>
      </w:r>
    </w:p>
    <w:p w14:paraId="7ABD4D79" w14:textId="77777777" w:rsidR="00EA2B5F" w:rsidRPr="00F25EBD" w:rsidRDefault="00EA2B5F" w:rsidP="00FC7062">
      <w:pPr>
        <w:spacing w:after="0" w:line="276" w:lineRule="auto"/>
        <w:jc w:val="both"/>
        <w:rPr>
          <w:rFonts w:asciiTheme="majorHAnsi" w:hAnsiTheme="majorHAnsi" w:cstheme="majorHAnsi"/>
        </w:rPr>
      </w:pPr>
    </w:p>
    <w:p w14:paraId="4B52249A" w14:textId="487C5371" w:rsidR="00EA2B5F" w:rsidRPr="00F25EBD" w:rsidRDefault="00EA2B5F" w:rsidP="000E5B5A">
      <w:pPr>
        <w:pStyle w:val="nad"/>
      </w:pPr>
      <w:bookmarkStart w:id="18" w:name="_Toc81301533"/>
      <w:r w:rsidRPr="00F25EBD">
        <w:t xml:space="preserve">Rysunek </w:t>
      </w:r>
      <w:r w:rsidRPr="00F25EBD">
        <w:rPr>
          <w:noProof/>
        </w:rPr>
        <w:fldChar w:fldCharType="begin"/>
      </w:r>
      <w:r w:rsidRPr="00F25EBD">
        <w:rPr>
          <w:noProof/>
        </w:rPr>
        <w:instrText xml:space="preserve"> SEQ Rysunek \* ARABIC </w:instrText>
      </w:r>
      <w:r w:rsidRPr="00F25EBD">
        <w:rPr>
          <w:noProof/>
        </w:rPr>
        <w:fldChar w:fldCharType="separate"/>
      </w:r>
      <w:r w:rsidR="006C7815">
        <w:rPr>
          <w:noProof/>
        </w:rPr>
        <w:t>5</w:t>
      </w:r>
      <w:r w:rsidRPr="00F25EBD">
        <w:rPr>
          <w:noProof/>
        </w:rPr>
        <w:fldChar w:fldCharType="end"/>
      </w:r>
      <w:r w:rsidRPr="00F25EBD">
        <w:t>. Emisja zanieczyszczeń pyłowych na terenie Południowych Mazur w latach 2012-2019 (w tonach)</w:t>
      </w:r>
      <w:bookmarkEnd w:id="18"/>
    </w:p>
    <w:p w14:paraId="2952F559" w14:textId="77777777" w:rsidR="00EA2B5F" w:rsidRPr="00F25EBD" w:rsidRDefault="00EA2B5F" w:rsidP="00FC7062">
      <w:pPr>
        <w:spacing w:after="0" w:line="276" w:lineRule="auto"/>
        <w:jc w:val="center"/>
        <w:rPr>
          <w:rFonts w:asciiTheme="majorHAnsi" w:hAnsiTheme="majorHAnsi" w:cstheme="majorHAnsi"/>
        </w:rPr>
      </w:pPr>
      <w:r w:rsidRPr="00F25EBD">
        <w:rPr>
          <w:rFonts w:asciiTheme="majorHAnsi" w:hAnsiTheme="majorHAnsi" w:cstheme="majorHAnsi"/>
          <w:noProof/>
          <w:lang w:eastAsia="pl-PL"/>
        </w:rPr>
        <w:drawing>
          <wp:inline distT="0" distB="0" distL="0" distR="0" wp14:anchorId="546F1E9F" wp14:editId="5E7422C6">
            <wp:extent cx="5760000" cy="2606400"/>
            <wp:effectExtent l="0" t="0" r="12700" b="3810"/>
            <wp:docPr id="8" name="Wykres 8">
              <a:extLst xmlns:a="http://schemas.openxmlformats.org/drawingml/2006/main">
                <a:ext uri="{FF2B5EF4-FFF2-40B4-BE49-F238E27FC236}">
                  <a16:creationId xmlns:a16="http://schemas.microsoft.com/office/drawing/2014/main" id="{225179BC-5830-485E-B748-3E8909A5DF4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6E9B2328" w14:textId="77777777" w:rsidR="00EA2B5F" w:rsidRPr="00F25EBD" w:rsidRDefault="00EA2B5F" w:rsidP="0060383F">
      <w:pPr>
        <w:pStyle w:val="rdo"/>
      </w:pPr>
      <w:r w:rsidRPr="00F25EBD">
        <w:t>Źródło: opracowanie własne na podstawie danych BDL.</w:t>
      </w:r>
    </w:p>
    <w:p w14:paraId="7BB6BCFA" w14:textId="77777777" w:rsidR="008A3FED" w:rsidRDefault="008A3FED" w:rsidP="00FC7062">
      <w:pPr>
        <w:spacing w:after="0" w:line="276" w:lineRule="auto"/>
        <w:jc w:val="both"/>
        <w:rPr>
          <w:rFonts w:asciiTheme="majorHAnsi" w:hAnsiTheme="majorHAnsi" w:cstheme="majorHAnsi"/>
        </w:rPr>
      </w:pPr>
    </w:p>
    <w:p w14:paraId="3F604AF1" w14:textId="2EFC6BF5" w:rsidR="00EA2B5F" w:rsidRPr="00F25EBD" w:rsidRDefault="00EA2B5F" w:rsidP="00FC7062">
      <w:pPr>
        <w:spacing w:after="0" w:line="276" w:lineRule="auto"/>
        <w:jc w:val="both"/>
        <w:rPr>
          <w:rFonts w:asciiTheme="majorHAnsi" w:hAnsiTheme="majorHAnsi" w:cstheme="majorHAnsi"/>
        </w:rPr>
      </w:pPr>
      <w:r w:rsidRPr="00F25EBD">
        <w:rPr>
          <w:rFonts w:asciiTheme="majorHAnsi" w:hAnsiTheme="majorHAnsi" w:cstheme="majorHAnsi"/>
        </w:rPr>
        <w:t>Na potrzeby oceny jakości powietrza województwo warmińsko-mazurskie podzielone jest na trzy strefy. Dwie z nich to miasta powyżej 100 tys. mieszkańców niebędące aglomeracjami czyli Olsztyn i</w:t>
      </w:r>
      <w:r w:rsidR="007B04A7">
        <w:rPr>
          <w:rFonts w:asciiTheme="majorHAnsi" w:hAnsiTheme="majorHAnsi" w:cstheme="majorHAnsi"/>
        </w:rPr>
        <w:t xml:space="preserve"> </w:t>
      </w:r>
      <w:r w:rsidRPr="00F25EBD">
        <w:rPr>
          <w:rFonts w:asciiTheme="majorHAnsi" w:hAnsiTheme="majorHAnsi" w:cstheme="majorHAnsi"/>
        </w:rPr>
        <w:t>Elbląg, trzecią zaś tworzy reszta powierzchni regionu (w tym Południowe Mazury). Ocena jakości powietrza na obszarach zaliczonych do trzeciej strefy dokonywana jest z uwzględnieniem kryteriów odnoszących się zarówno do zdrowia człowieka, jak i ochrony roślin. W pierwszym przypadku ocenia się poziom natężenia 12 substancji, tj.: dwutlenku siarki (SO</w:t>
      </w:r>
      <w:r w:rsidRPr="00F25EBD">
        <w:rPr>
          <w:rFonts w:asciiTheme="majorHAnsi" w:hAnsiTheme="majorHAnsi" w:cstheme="majorHAnsi"/>
          <w:vertAlign w:val="subscript"/>
        </w:rPr>
        <w:t>2</w:t>
      </w:r>
      <w:r w:rsidRPr="00F25EBD">
        <w:rPr>
          <w:rFonts w:asciiTheme="majorHAnsi" w:hAnsiTheme="majorHAnsi" w:cstheme="majorHAnsi"/>
        </w:rPr>
        <w:t>), dwutlenku azotu (NO</w:t>
      </w:r>
      <w:r w:rsidRPr="00F25EBD">
        <w:rPr>
          <w:rFonts w:asciiTheme="majorHAnsi" w:hAnsiTheme="majorHAnsi" w:cstheme="majorHAnsi"/>
          <w:vertAlign w:val="subscript"/>
        </w:rPr>
        <w:t>2</w:t>
      </w:r>
      <w:r w:rsidR="0060383F">
        <w:rPr>
          <w:rFonts w:asciiTheme="majorHAnsi" w:hAnsiTheme="majorHAnsi" w:cstheme="majorHAnsi"/>
        </w:rPr>
        <w:t>), tlenku węgla (CO), benzenu </w:t>
      </w:r>
      <w:r w:rsidRPr="00F25EBD">
        <w:rPr>
          <w:rFonts w:asciiTheme="majorHAnsi" w:hAnsiTheme="majorHAnsi" w:cstheme="majorHAnsi"/>
        </w:rPr>
        <w:t>(C</w:t>
      </w:r>
      <w:r w:rsidRPr="00F25EBD">
        <w:rPr>
          <w:rFonts w:asciiTheme="majorHAnsi" w:hAnsiTheme="majorHAnsi" w:cstheme="majorHAnsi"/>
          <w:vertAlign w:val="subscript"/>
        </w:rPr>
        <w:t>6</w:t>
      </w:r>
      <w:r w:rsidRPr="00F25EBD">
        <w:rPr>
          <w:rFonts w:asciiTheme="majorHAnsi" w:hAnsiTheme="majorHAnsi" w:cstheme="majorHAnsi"/>
        </w:rPr>
        <w:t>H</w:t>
      </w:r>
      <w:r w:rsidRPr="00F25EBD">
        <w:rPr>
          <w:rFonts w:asciiTheme="majorHAnsi" w:hAnsiTheme="majorHAnsi" w:cstheme="majorHAnsi"/>
          <w:vertAlign w:val="subscript"/>
        </w:rPr>
        <w:t>6</w:t>
      </w:r>
      <w:r w:rsidRPr="00F25EBD">
        <w:rPr>
          <w:rFonts w:asciiTheme="majorHAnsi" w:hAnsiTheme="majorHAnsi" w:cstheme="majorHAnsi"/>
        </w:rPr>
        <w:t>), ozonu (O</w:t>
      </w:r>
      <w:r w:rsidRPr="00F25EBD">
        <w:rPr>
          <w:rFonts w:asciiTheme="majorHAnsi" w:hAnsiTheme="majorHAnsi" w:cstheme="majorHAnsi"/>
          <w:vertAlign w:val="subscript"/>
        </w:rPr>
        <w:t>3</w:t>
      </w:r>
      <w:r w:rsidRPr="00F25EBD">
        <w:rPr>
          <w:rFonts w:asciiTheme="majorHAnsi" w:hAnsiTheme="majorHAnsi" w:cstheme="majorHAnsi"/>
        </w:rPr>
        <w:t>), pyłu PM10, pyłu PM2,5, ołowiu (Pb) w</w:t>
      </w:r>
      <w:r w:rsidR="007B04A7">
        <w:rPr>
          <w:rFonts w:asciiTheme="majorHAnsi" w:hAnsiTheme="majorHAnsi" w:cstheme="majorHAnsi"/>
        </w:rPr>
        <w:t xml:space="preserve"> </w:t>
      </w:r>
      <w:r w:rsidRPr="00F25EBD">
        <w:rPr>
          <w:rFonts w:asciiTheme="majorHAnsi" w:hAnsiTheme="majorHAnsi" w:cstheme="majorHAnsi"/>
        </w:rPr>
        <w:t>PM10, arsenu (As) w</w:t>
      </w:r>
      <w:r w:rsidR="007B04A7">
        <w:rPr>
          <w:rFonts w:asciiTheme="majorHAnsi" w:hAnsiTheme="majorHAnsi" w:cstheme="majorHAnsi"/>
        </w:rPr>
        <w:t xml:space="preserve"> </w:t>
      </w:r>
      <w:r w:rsidRPr="00F25EBD">
        <w:rPr>
          <w:rFonts w:asciiTheme="majorHAnsi" w:hAnsiTheme="majorHAnsi" w:cstheme="majorHAnsi"/>
        </w:rPr>
        <w:t xml:space="preserve">PM10, kadmu (Cd) w PM10, niklu (Ni) w PM10, </w:t>
      </w:r>
      <w:proofErr w:type="spellStart"/>
      <w:r w:rsidRPr="00F25EBD">
        <w:rPr>
          <w:rFonts w:asciiTheme="majorHAnsi" w:hAnsiTheme="majorHAnsi" w:cstheme="majorHAnsi"/>
        </w:rPr>
        <w:t>benzo</w:t>
      </w:r>
      <w:proofErr w:type="spellEnd"/>
      <w:r w:rsidRPr="00F25EBD">
        <w:rPr>
          <w:rFonts w:asciiTheme="majorHAnsi" w:hAnsiTheme="majorHAnsi" w:cstheme="majorHAnsi"/>
        </w:rPr>
        <w:t>(a)</w:t>
      </w:r>
      <w:proofErr w:type="spellStart"/>
      <w:r w:rsidRPr="00F25EBD">
        <w:rPr>
          <w:rFonts w:asciiTheme="majorHAnsi" w:hAnsiTheme="majorHAnsi" w:cstheme="majorHAnsi"/>
        </w:rPr>
        <w:t>pirenu</w:t>
      </w:r>
      <w:proofErr w:type="spellEnd"/>
      <w:r w:rsidRPr="00F25EBD">
        <w:rPr>
          <w:rFonts w:asciiTheme="majorHAnsi" w:hAnsiTheme="majorHAnsi" w:cstheme="majorHAnsi"/>
        </w:rPr>
        <w:t xml:space="preserve"> (B(a)P )w PM10. Natomiast w drugim brane są pod uwagę trzy substancje, tj. dwutlenek siarki (SO</w:t>
      </w:r>
      <w:r w:rsidRPr="00F25EBD">
        <w:rPr>
          <w:rFonts w:asciiTheme="majorHAnsi" w:hAnsiTheme="majorHAnsi" w:cstheme="majorHAnsi"/>
          <w:vertAlign w:val="subscript"/>
        </w:rPr>
        <w:t>2</w:t>
      </w:r>
      <w:r w:rsidRPr="00F25EBD">
        <w:rPr>
          <w:rFonts w:asciiTheme="majorHAnsi" w:hAnsiTheme="majorHAnsi" w:cstheme="majorHAnsi"/>
        </w:rPr>
        <w:t>), tlenki azotu (NO</w:t>
      </w:r>
      <w:r w:rsidRPr="00F25EBD">
        <w:rPr>
          <w:rFonts w:asciiTheme="majorHAnsi" w:hAnsiTheme="majorHAnsi" w:cstheme="majorHAnsi"/>
          <w:vertAlign w:val="subscript"/>
        </w:rPr>
        <w:t>X</w:t>
      </w:r>
      <w:r w:rsidRPr="00F25EBD">
        <w:rPr>
          <w:rFonts w:asciiTheme="majorHAnsi" w:hAnsiTheme="majorHAnsi" w:cstheme="majorHAnsi"/>
        </w:rPr>
        <w:t>), ozon (O</w:t>
      </w:r>
      <w:r w:rsidRPr="00F25EBD">
        <w:rPr>
          <w:rFonts w:asciiTheme="majorHAnsi" w:hAnsiTheme="majorHAnsi" w:cstheme="majorHAnsi"/>
          <w:vertAlign w:val="subscript"/>
        </w:rPr>
        <w:t>3</w:t>
      </w:r>
      <w:r w:rsidRPr="00F25EBD">
        <w:rPr>
          <w:rFonts w:asciiTheme="majorHAnsi" w:hAnsiTheme="majorHAnsi" w:cstheme="majorHAnsi"/>
        </w:rPr>
        <w:t>). Stężenie każdej z</w:t>
      </w:r>
      <w:r w:rsidR="007B04A7">
        <w:rPr>
          <w:rFonts w:asciiTheme="majorHAnsi" w:hAnsiTheme="majorHAnsi" w:cstheme="majorHAnsi"/>
        </w:rPr>
        <w:t xml:space="preserve"> </w:t>
      </w:r>
      <w:r w:rsidRPr="00F25EBD">
        <w:rPr>
          <w:rFonts w:asciiTheme="majorHAnsi" w:hAnsiTheme="majorHAnsi" w:cstheme="majorHAnsi"/>
        </w:rPr>
        <w:t>nich może kształtować się:</w:t>
      </w:r>
    </w:p>
    <w:p w14:paraId="6C27DB69" w14:textId="77777777" w:rsidR="00EA2B5F" w:rsidRPr="00F25EBD" w:rsidRDefault="00EA2B5F" w:rsidP="0054382A">
      <w:pPr>
        <w:pStyle w:val="Akapitzlist"/>
        <w:numPr>
          <w:ilvl w:val="0"/>
          <w:numId w:val="36"/>
        </w:numPr>
        <w:spacing w:after="0" w:line="276" w:lineRule="auto"/>
        <w:jc w:val="both"/>
        <w:rPr>
          <w:rFonts w:asciiTheme="majorHAnsi" w:hAnsiTheme="majorHAnsi" w:cstheme="majorHAnsi"/>
        </w:rPr>
      </w:pPr>
      <w:r w:rsidRPr="00F25EBD">
        <w:rPr>
          <w:rFonts w:asciiTheme="majorHAnsi" w:hAnsiTheme="majorHAnsi" w:cstheme="majorHAnsi"/>
        </w:rPr>
        <w:t>poniżej dolnego progu oszacowania (klasa 1),</w:t>
      </w:r>
    </w:p>
    <w:p w14:paraId="50193F82" w14:textId="77777777" w:rsidR="00EA2B5F" w:rsidRPr="00F25EBD" w:rsidRDefault="00EA2B5F" w:rsidP="0054382A">
      <w:pPr>
        <w:pStyle w:val="Akapitzlist"/>
        <w:numPr>
          <w:ilvl w:val="0"/>
          <w:numId w:val="36"/>
        </w:numPr>
        <w:spacing w:after="0" w:line="276" w:lineRule="auto"/>
        <w:jc w:val="both"/>
        <w:rPr>
          <w:rFonts w:asciiTheme="majorHAnsi" w:hAnsiTheme="majorHAnsi" w:cstheme="majorHAnsi"/>
        </w:rPr>
      </w:pPr>
      <w:r w:rsidRPr="00F25EBD">
        <w:rPr>
          <w:rFonts w:asciiTheme="majorHAnsi" w:hAnsiTheme="majorHAnsi" w:cstheme="majorHAnsi"/>
        </w:rPr>
        <w:t>pomiędzy górnym i dolnym progiem oszacowania (klasa 2),</w:t>
      </w:r>
    </w:p>
    <w:p w14:paraId="73A63B82" w14:textId="77777777" w:rsidR="00EA2B5F" w:rsidRPr="00F25EBD" w:rsidRDefault="00EA2B5F" w:rsidP="0054382A">
      <w:pPr>
        <w:pStyle w:val="Akapitzlist"/>
        <w:numPr>
          <w:ilvl w:val="0"/>
          <w:numId w:val="36"/>
        </w:numPr>
        <w:spacing w:after="0" w:line="276" w:lineRule="auto"/>
        <w:jc w:val="both"/>
        <w:rPr>
          <w:rFonts w:asciiTheme="majorHAnsi" w:hAnsiTheme="majorHAnsi" w:cstheme="majorHAnsi"/>
        </w:rPr>
      </w:pPr>
      <w:r w:rsidRPr="00F25EBD">
        <w:rPr>
          <w:rFonts w:asciiTheme="majorHAnsi" w:hAnsiTheme="majorHAnsi" w:cstheme="majorHAnsi"/>
        </w:rPr>
        <w:t>powyżej górnego progu oszacowania, ale poniżej poziomu dopuszczalnego (klasa 3a),</w:t>
      </w:r>
    </w:p>
    <w:p w14:paraId="4B45EFE6" w14:textId="77777777" w:rsidR="00EA2B5F" w:rsidRPr="00F25EBD" w:rsidRDefault="00EA2B5F" w:rsidP="0054382A">
      <w:pPr>
        <w:pStyle w:val="Akapitzlist"/>
        <w:numPr>
          <w:ilvl w:val="0"/>
          <w:numId w:val="36"/>
        </w:numPr>
        <w:spacing w:after="0" w:line="276" w:lineRule="auto"/>
        <w:jc w:val="both"/>
        <w:rPr>
          <w:rFonts w:asciiTheme="majorHAnsi" w:hAnsiTheme="majorHAnsi" w:cstheme="majorHAnsi"/>
        </w:rPr>
      </w:pPr>
      <w:r w:rsidRPr="00F25EBD">
        <w:rPr>
          <w:rFonts w:asciiTheme="majorHAnsi" w:hAnsiTheme="majorHAnsi" w:cstheme="majorHAnsi"/>
        </w:rPr>
        <w:t>powyżej górnego progu oszacowania i równocześnie powyżej poziomu dopuszczalnego (klasa 3b).</w:t>
      </w:r>
    </w:p>
    <w:p w14:paraId="55112631" w14:textId="77777777" w:rsidR="00EA2B5F" w:rsidRPr="00F25EBD" w:rsidRDefault="00EA2B5F" w:rsidP="00FC7062">
      <w:pPr>
        <w:spacing w:after="0" w:line="276" w:lineRule="auto"/>
        <w:jc w:val="both"/>
        <w:rPr>
          <w:rFonts w:asciiTheme="majorHAnsi" w:hAnsiTheme="majorHAnsi" w:cstheme="majorHAnsi"/>
        </w:rPr>
      </w:pPr>
    </w:p>
    <w:p w14:paraId="0DF30543" w14:textId="11BDC80E" w:rsidR="008A3FED" w:rsidRDefault="00EA2B5F" w:rsidP="00FC7062">
      <w:pPr>
        <w:spacing w:after="0" w:line="276" w:lineRule="auto"/>
        <w:jc w:val="both"/>
        <w:rPr>
          <w:rFonts w:asciiTheme="majorHAnsi" w:hAnsiTheme="majorHAnsi" w:cstheme="majorHAnsi"/>
        </w:rPr>
      </w:pPr>
      <w:r w:rsidRPr="00F25EBD">
        <w:rPr>
          <w:rFonts w:asciiTheme="majorHAnsi" w:hAnsiTheme="majorHAnsi" w:cstheme="majorHAnsi"/>
        </w:rPr>
        <w:t>Oceny dokonywane są w systemie rocznym oraz z uwzględnieniem okresów pięcioletnich. Wyniki ostatniej (z 2019</w:t>
      </w:r>
      <w:r w:rsidR="00F7062F">
        <w:rPr>
          <w:rFonts w:asciiTheme="majorHAnsi" w:hAnsiTheme="majorHAnsi" w:cstheme="majorHAnsi"/>
        </w:rPr>
        <w:t>r.</w:t>
      </w:r>
      <w:r w:rsidRPr="00F25EBD">
        <w:rPr>
          <w:rFonts w:asciiTheme="majorHAnsi" w:hAnsiTheme="majorHAnsi" w:cstheme="majorHAnsi"/>
        </w:rPr>
        <w:t>) pięcioletniej oceny jakości powietrza Południowych Mazur (na podstawie danych z</w:t>
      </w:r>
      <w:r w:rsidR="001676E7">
        <w:rPr>
          <w:rFonts w:asciiTheme="majorHAnsi" w:hAnsiTheme="majorHAnsi" w:cstheme="majorHAnsi"/>
        </w:rPr>
        <w:t> </w:t>
      </w:r>
      <w:r w:rsidRPr="00F25EBD">
        <w:rPr>
          <w:rFonts w:asciiTheme="majorHAnsi" w:hAnsiTheme="majorHAnsi" w:cstheme="majorHAnsi"/>
        </w:rPr>
        <w:t>lat 2014-2018) zestawione są w</w:t>
      </w:r>
      <w:r w:rsidR="007B04A7">
        <w:rPr>
          <w:rFonts w:asciiTheme="majorHAnsi" w:hAnsiTheme="majorHAnsi" w:cstheme="majorHAnsi"/>
        </w:rPr>
        <w:t xml:space="preserve"> </w:t>
      </w:r>
      <w:r w:rsidRPr="00F25EBD">
        <w:rPr>
          <w:rFonts w:asciiTheme="majorHAnsi" w:hAnsiTheme="majorHAnsi" w:cstheme="majorHAnsi"/>
        </w:rPr>
        <w:t>poniższej tabeli.</w:t>
      </w:r>
    </w:p>
    <w:p w14:paraId="386AFE9E" w14:textId="77777777" w:rsidR="008A3FED" w:rsidRDefault="008A3FED">
      <w:pPr>
        <w:rPr>
          <w:rFonts w:asciiTheme="majorHAnsi" w:hAnsiTheme="majorHAnsi" w:cstheme="majorHAnsi"/>
        </w:rPr>
      </w:pPr>
      <w:r>
        <w:rPr>
          <w:rFonts w:asciiTheme="majorHAnsi" w:hAnsiTheme="majorHAnsi" w:cstheme="majorHAnsi"/>
        </w:rPr>
        <w:br w:type="page"/>
      </w:r>
    </w:p>
    <w:p w14:paraId="6E585E70" w14:textId="3FE9213C" w:rsidR="00EA2B5F" w:rsidRPr="00F25EBD" w:rsidRDefault="00EA2B5F" w:rsidP="000E5B5A">
      <w:pPr>
        <w:pStyle w:val="nad"/>
      </w:pPr>
      <w:bookmarkStart w:id="19" w:name="_Toc81300529"/>
      <w:r w:rsidRPr="00F25EBD">
        <w:t xml:space="preserve">Tabela </w:t>
      </w:r>
      <w:r w:rsidRPr="00F25EBD">
        <w:rPr>
          <w:noProof/>
        </w:rPr>
        <w:fldChar w:fldCharType="begin"/>
      </w:r>
      <w:r w:rsidRPr="00F25EBD">
        <w:rPr>
          <w:noProof/>
        </w:rPr>
        <w:instrText xml:space="preserve"> SEQ Tabela \* ARABIC </w:instrText>
      </w:r>
      <w:r w:rsidRPr="00F25EBD">
        <w:rPr>
          <w:noProof/>
        </w:rPr>
        <w:fldChar w:fldCharType="separate"/>
      </w:r>
      <w:r w:rsidR="006C7815">
        <w:rPr>
          <w:noProof/>
        </w:rPr>
        <w:t>3</w:t>
      </w:r>
      <w:r w:rsidRPr="00F25EBD">
        <w:rPr>
          <w:noProof/>
        </w:rPr>
        <w:fldChar w:fldCharType="end"/>
      </w:r>
      <w:r w:rsidRPr="00F25EBD">
        <w:t>. Klasy zanieczyszczeń w strefie warmińsko-mazurskiej uzyskane na podstawie oceny pięcioletniej (2014-2018) z</w:t>
      </w:r>
      <w:r w:rsidR="007B04A7">
        <w:t xml:space="preserve"> </w:t>
      </w:r>
      <w:r w:rsidRPr="00F25EBD">
        <w:t>uwzględnieniem kryteriów ustanowionych w celu ochrony zdrowia ludzi i ochrony roślin.</w:t>
      </w:r>
      <w:bookmarkEnd w:id="19"/>
    </w:p>
    <w:tbl>
      <w:tblPr>
        <w:tblStyle w:val="Tabela-Siatka"/>
        <w:tblW w:w="9072" w:type="dxa"/>
        <w:jc w:val="center"/>
        <w:tblLayout w:type="fixed"/>
        <w:tblLook w:val="04A0" w:firstRow="1" w:lastRow="0" w:firstColumn="1" w:lastColumn="0" w:noHBand="0" w:noVBand="1"/>
      </w:tblPr>
      <w:tblGrid>
        <w:gridCol w:w="2892"/>
        <w:gridCol w:w="3090"/>
        <w:gridCol w:w="3090"/>
      </w:tblGrid>
      <w:tr w:rsidR="0060383F" w:rsidRPr="0060383F" w14:paraId="567F89AF" w14:textId="77777777" w:rsidTr="0060383F">
        <w:trPr>
          <w:trHeight w:val="300"/>
          <w:tblHeader/>
          <w:jc w:val="center"/>
        </w:trPr>
        <w:tc>
          <w:tcPr>
            <w:tcW w:w="2122"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vAlign w:val="center"/>
          </w:tcPr>
          <w:p w14:paraId="4F2BD903" w14:textId="77777777" w:rsidR="00EA2B5F" w:rsidRPr="0060383F" w:rsidRDefault="00EA2B5F" w:rsidP="0060383F">
            <w:pPr>
              <w:jc w:val="center"/>
              <w:rPr>
                <w:rFonts w:asciiTheme="majorHAnsi" w:hAnsiTheme="majorHAnsi" w:cstheme="majorHAnsi"/>
                <w:color w:val="FFFFFF" w:themeColor="background1"/>
                <w:sz w:val="20"/>
                <w:szCs w:val="20"/>
              </w:rPr>
            </w:pPr>
            <w:r w:rsidRPr="0060383F">
              <w:rPr>
                <w:rFonts w:asciiTheme="majorHAnsi" w:hAnsiTheme="majorHAnsi" w:cstheme="majorHAnsi"/>
                <w:color w:val="FFFFFF" w:themeColor="background1"/>
                <w:sz w:val="20"/>
                <w:szCs w:val="20"/>
              </w:rPr>
              <w:t>Substancja</w:t>
            </w:r>
          </w:p>
        </w:tc>
        <w:tc>
          <w:tcPr>
            <w:tcW w:w="453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vAlign w:val="center"/>
          </w:tcPr>
          <w:p w14:paraId="60311856" w14:textId="77777777" w:rsidR="00EA2B5F" w:rsidRPr="0060383F" w:rsidRDefault="00EA2B5F" w:rsidP="0060383F">
            <w:pPr>
              <w:jc w:val="center"/>
              <w:rPr>
                <w:rFonts w:asciiTheme="majorHAnsi" w:hAnsiTheme="majorHAnsi" w:cstheme="majorHAnsi"/>
                <w:color w:val="FFFFFF" w:themeColor="background1"/>
                <w:sz w:val="20"/>
                <w:szCs w:val="20"/>
              </w:rPr>
            </w:pPr>
            <w:r w:rsidRPr="0060383F">
              <w:rPr>
                <w:rFonts w:asciiTheme="majorHAnsi" w:hAnsiTheme="majorHAnsi" w:cstheme="majorHAnsi"/>
                <w:color w:val="FFFFFF" w:themeColor="background1"/>
                <w:sz w:val="20"/>
                <w:szCs w:val="20"/>
              </w:rPr>
              <w:t>Kryterium</w:t>
            </w:r>
          </w:p>
        </w:tc>
      </w:tr>
      <w:tr w:rsidR="00EA2B5F" w:rsidRPr="00F25EBD" w14:paraId="4A65B251" w14:textId="77777777" w:rsidTr="0060383F">
        <w:trPr>
          <w:trHeight w:val="300"/>
          <w:tblHeader/>
          <w:jc w:val="center"/>
        </w:trPr>
        <w:tc>
          <w:tcPr>
            <w:tcW w:w="2122" w:type="dxa"/>
            <w:vMerge/>
            <w:tcBorders>
              <w:top w:val="single" w:sz="4" w:space="0" w:color="FFFFFF" w:themeColor="background1"/>
              <w:left w:val="single" w:sz="4" w:space="0" w:color="FFFFFF" w:themeColor="background1"/>
              <w:bottom w:val="nil"/>
              <w:right w:val="single" w:sz="4" w:space="0" w:color="FFFFFF" w:themeColor="background1"/>
            </w:tcBorders>
            <w:vAlign w:val="center"/>
            <w:hideMark/>
          </w:tcPr>
          <w:p w14:paraId="75D1F4BC" w14:textId="77777777" w:rsidR="00EA2B5F" w:rsidRPr="00F25EBD" w:rsidRDefault="00EA2B5F" w:rsidP="0060383F">
            <w:pPr>
              <w:jc w:val="center"/>
              <w:rPr>
                <w:rFonts w:asciiTheme="majorHAnsi" w:hAnsiTheme="majorHAnsi" w:cstheme="majorHAnsi"/>
                <w:sz w:val="20"/>
                <w:szCs w:val="20"/>
              </w:rPr>
            </w:pPr>
          </w:p>
        </w:tc>
        <w:tc>
          <w:tcPr>
            <w:tcW w:w="22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EEAF6" w:themeFill="accent1" w:themeFillTint="33"/>
            <w:vAlign w:val="center"/>
            <w:hideMark/>
          </w:tcPr>
          <w:p w14:paraId="12A6BB4C" w14:textId="77777777" w:rsidR="00EA2B5F" w:rsidRPr="00F25EBD" w:rsidRDefault="00EA2B5F" w:rsidP="0060383F">
            <w:pPr>
              <w:jc w:val="center"/>
              <w:rPr>
                <w:rFonts w:asciiTheme="majorHAnsi" w:hAnsiTheme="majorHAnsi" w:cstheme="majorHAnsi"/>
                <w:sz w:val="20"/>
                <w:szCs w:val="20"/>
              </w:rPr>
            </w:pPr>
            <w:r w:rsidRPr="00F25EBD">
              <w:rPr>
                <w:rFonts w:asciiTheme="majorHAnsi" w:hAnsiTheme="majorHAnsi" w:cstheme="majorHAnsi"/>
                <w:sz w:val="20"/>
                <w:szCs w:val="20"/>
              </w:rPr>
              <w:t>ochrona zdrowia ludzi</w:t>
            </w:r>
          </w:p>
        </w:tc>
        <w:tc>
          <w:tcPr>
            <w:tcW w:w="22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EEAF6" w:themeFill="accent1" w:themeFillTint="33"/>
            <w:vAlign w:val="center"/>
            <w:hideMark/>
          </w:tcPr>
          <w:p w14:paraId="216C14C6" w14:textId="77777777" w:rsidR="00EA2B5F" w:rsidRPr="00F25EBD" w:rsidRDefault="00EA2B5F" w:rsidP="0060383F">
            <w:pPr>
              <w:jc w:val="center"/>
              <w:rPr>
                <w:rFonts w:asciiTheme="majorHAnsi" w:hAnsiTheme="majorHAnsi" w:cstheme="majorHAnsi"/>
                <w:sz w:val="20"/>
                <w:szCs w:val="20"/>
              </w:rPr>
            </w:pPr>
            <w:r w:rsidRPr="00F25EBD">
              <w:rPr>
                <w:rFonts w:asciiTheme="majorHAnsi" w:hAnsiTheme="majorHAnsi" w:cstheme="majorHAnsi"/>
                <w:sz w:val="20"/>
                <w:szCs w:val="20"/>
              </w:rPr>
              <w:t>ochrona roślin</w:t>
            </w:r>
          </w:p>
        </w:tc>
      </w:tr>
      <w:tr w:rsidR="00EA2B5F" w:rsidRPr="00F25EBD" w14:paraId="4A14F91C" w14:textId="77777777" w:rsidTr="0060383F">
        <w:trPr>
          <w:trHeight w:val="300"/>
          <w:jc w:val="center"/>
        </w:trPr>
        <w:tc>
          <w:tcPr>
            <w:tcW w:w="2122" w:type="dxa"/>
            <w:tcBorders>
              <w:top w:val="nil"/>
              <w:left w:val="nil"/>
              <w:bottom w:val="single" w:sz="4" w:space="0" w:color="808080" w:themeColor="background1" w:themeShade="80"/>
              <w:right w:val="nil"/>
            </w:tcBorders>
            <w:vAlign w:val="center"/>
            <w:hideMark/>
          </w:tcPr>
          <w:p w14:paraId="3A76A4B8" w14:textId="77777777" w:rsidR="00EA2B5F" w:rsidRPr="00F25EBD" w:rsidRDefault="00EA2B5F" w:rsidP="0060383F">
            <w:pPr>
              <w:rPr>
                <w:rFonts w:asciiTheme="majorHAnsi" w:hAnsiTheme="majorHAnsi" w:cstheme="majorHAnsi"/>
                <w:sz w:val="20"/>
                <w:szCs w:val="20"/>
              </w:rPr>
            </w:pPr>
            <w:r w:rsidRPr="00F25EBD">
              <w:rPr>
                <w:rFonts w:asciiTheme="majorHAnsi" w:hAnsiTheme="majorHAnsi" w:cstheme="majorHAnsi"/>
                <w:sz w:val="20"/>
                <w:szCs w:val="20"/>
              </w:rPr>
              <w:t>SO</w:t>
            </w:r>
            <w:r w:rsidRPr="00F25EBD">
              <w:rPr>
                <w:rFonts w:asciiTheme="majorHAnsi" w:hAnsiTheme="majorHAnsi" w:cstheme="majorHAnsi"/>
                <w:sz w:val="20"/>
                <w:szCs w:val="20"/>
                <w:vertAlign w:val="subscript"/>
              </w:rPr>
              <w:t>2</w:t>
            </w:r>
          </w:p>
        </w:tc>
        <w:tc>
          <w:tcPr>
            <w:tcW w:w="2268" w:type="dxa"/>
            <w:tcBorders>
              <w:top w:val="single" w:sz="4" w:space="0" w:color="FFFFFF" w:themeColor="background1"/>
              <w:left w:val="nil"/>
              <w:bottom w:val="single" w:sz="4" w:space="0" w:color="808080" w:themeColor="background1" w:themeShade="80"/>
              <w:right w:val="nil"/>
            </w:tcBorders>
            <w:vAlign w:val="center"/>
          </w:tcPr>
          <w:p w14:paraId="7499F1C5" w14:textId="77777777" w:rsidR="00EA2B5F" w:rsidRPr="00F25EBD" w:rsidRDefault="00EA2B5F" w:rsidP="0060383F">
            <w:pPr>
              <w:jc w:val="center"/>
              <w:rPr>
                <w:rFonts w:asciiTheme="majorHAnsi" w:hAnsiTheme="majorHAnsi" w:cstheme="majorHAnsi"/>
                <w:sz w:val="20"/>
                <w:szCs w:val="20"/>
              </w:rPr>
            </w:pPr>
            <w:r w:rsidRPr="00F25EBD">
              <w:rPr>
                <w:rFonts w:asciiTheme="majorHAnsi" w:hAnsiTheme="majorHAnsi" w:cstheme="majorHAnsi"/>
                <w:sz w:val="20"/>
                <w:szCs w:val="20"/>
              </w:rPr>
              <w:t>klasa 1</w:t>
            </w:r>
          </w:p>
        </w:tc>
        <w:tc>
          <w:tcPr>
            <w:tcW w:w="2268" w:type="dxa"/>
            <w:tcBorders>
              <w:top w:val="single" w:sz="4" w:space="0" w:color="FFFFFF" w:themeColor="background1"/>
              <w:left w:val="nil"/>
              <w:bottom w:val="single" w:sz="4" w:space="0" w:color="808080" w:themeColor="background1" w:themeShade="80"/>
              <w:right w:val="nil"/>
            </w:tcBorders>
            <w:vAlign w:val="center"/>
          </w:tcPr>
          <w:p w14:paraId="50DD04FB" w14:textId="77777777" w:rsidR="00EA2B5F" w:rsidRPr="00F25EBD" w:rsidRDefault="00EA2B5F" w:rsidP="0060383F">
            <w:pPr>
              <w:jc w:val="center"/>
              <w:rPr>
                <w:rFonts w:asciiTheme="majorHAnsi" w:hAnsiTheme="majorHAnsi" w:cstheme="majorHAnsi"/>
                <w:sz w:val="20"/>
                <w:szCs w:val="20"/>
              </w:rPr>
            </w:pPr>
            <w:r w:rsidRPr="00F25EBD">
              <w:rPr>
                <w:rFonts w:asciiTheme="majorHAnsi" w:hAnsiTheme="majorHAnsi" w:cstheme="majorHAnsi"/>
                <w:sz w:val="20"/>
                <w:szCs w:val="20"/>
              </w:rPr>
              <w:t>klasa 1</w:t>
            </w:r>
          </w:p>
        </w:tc>
      </w:tr>
      <w:tr w:rsidR="00EA2B5F" w:rsidRPr="00F25EBD" w14:paraId="57D5C1F7" w14:textId="77777777" w:rsidTr="0060383F">
        <w:trPr>
          <w:trHeight w:val="300"/>
          <w:jc w:val="center"/>
        </w:trPr>
        <w:tc>
          <w:tcPr>
            <w:tcW w:w="2122" w:type="dxa"/>
            <w:tcBorders>
              <w:top w:val="single" w:sz="4" w:space="0" w:color="808080" w:themeColor="background1" w:themeShade="80"/>
              <w:left w:val="nil"/>
              <w:bottom w:val="single" w:sz="4" w:space="0" w:color="808080" w:themeColor="background1" w:themeShade="80"/>
              <w:right w:val="nil"/>
            </w:tcBorders>
            <w:vAlign w:val="center"/>
            <w:hideMark/>
          </w:tcPr>
          <w:p w14:paraId="21A57E8A" w14:textId="77777777" w:rsidR="00EA2B5F" w:rsidRPr="00F25EBD" w:rsidRDefault="00EA2B5F" w:rsidP="0060383F">
            <w:pPr>
              <w:rPr>
                <w:rFonts w:asciiTheme="majorHAnsi" w:hAnsiTheme="majorHAnsi" w:cstheme="majorHAnsi"/>
                <w:sz w:val="20"/>
                <w:szCs w:val="20"/>
              </w:rPr>
            </w:pPr>
            <w:r w:rsidRPr="00F25EBD">
              <w:rPr>
                <w:rFonts w:asciiTheme="majorHAnsi" w:hAnsiTheme="majorHAnsi" w:cstheme="majorHAnsi"/>
                <w:sz w:val="20"/>
                <w:szCs w:val="20"/>
              </w:rPr>
              <w:t>NO</w:t>
            </w:r>
            <w:r w:rsidRPr="00F25EBD">
              <w:rPr>
                <w:rFonts w:asciiTheme="majorHAnsi" w:hAnsiTheme="majorHAnsi" w:cstheme="majorHAnsi"/>
                <w:sz w:val="20"/>
                <w:szCs w:val="20"/>
                <w:vertAlign w:val="subscript"/>
              </w:rPr>
              <w:t>2</w:t>
            </w:r>
          </w:p>
        </w:tc>
        <w:tc>
          <w:tcPr>
            <w:tcW w:w="2268" w:type="dxa"/>
            <w:tcBorders>
              <w:top w:val="single" w:sz="4" w:space="0" w:color="808080" w:themeColor="background1" w:themeShade="80"/>
              <w:left w:val="nil"/>
              <w:bottom w:val="single" w:sz="4" w:space="0" w:color="808080" w:themeColor="background1" w:themeShade="80"/>
              <w:right w:val="nil"/>
            </w:tcBorders>
            <w:vAlign w:val="center"/>
          </w:tcPr>
          <w:p w14:paraId="64F44607" w14:textId="77777777" w:rsidR="00EA2B5F" w:rsidRPr="00F25EBD" w:rsidRDefault="00EA2B5F" w:rsidP="0060383F">
            <w:pPr>
              <w:jc w:val="center"/>
              <w:rPr>
                <w:rFonts w:asciiTheme="majorHAnsi" w:hAnsiTheme="majorHAnsi" w:cstheme="majorHAnsi"/>
                <w:sz w:val="20"/>
                <w:szCs w:val="20"/>
              </w:rPr>
            </w:pPr>
            <w:r w:rsidRPr="00F25EBD">
              <w:rPr>
                <w:rFonts w:asciiTheme="majorHAnsi" w:hAnsiTheme="majorHAnsi" w:cstheme="majorHAnsi"/>
                <w:sz w:val="20"/>
                <w:szCs w:val="20"/>
              </w:rPr>
              <w:t>klasa 1</w:t>
            </w:r>
          </w:p>
        </w:tc>
        <w:tc>
          <w:tcPr>
            <w:tcW w:w="2268" w:type="dxa"/>
            <w:tcBorders>
              <w:top w:val="single" w:sz="4" w:space="0" w:color="808080" w:themeColor="background1" w:themeShade="80"/>
              <w:left w:val="nil"/>
              <w:bottom w:val="single" w:sz="4" w:space="0" w:color="808080" w:themeColor="background1" w:themeShade="80"/>
              <w:right w:val="nil"/>
            </w:tcBorders>
            <w:vAlign w:val="center"/>
          </w:tcPr>
          <w:p w14:paraId="0A2F68D7" w14:textId="77777777" w:rsidR="00EA2B5F" w:rsidRPr="00F25EBD" w:rsidRDefault="00EA2B5F" w:rsidP="0060383F">
            <w:pPr>
              <w:jc w:val="center"/>
              <w:rPr>
                <w:rFonts w:asciiTheme="majorHAnsi" w:hAnsiTheme="majorHAnsi" w:cstheme="majorHAnsi"/>
                <w:sz w:val="20"/>
                <w:szCs w:val="20"/>
              </w:rPr>
            </w:pPr>
            <w:r w:rsidRPr="00F25EBD">
              <w:rPr>
                <w:rFonts w:asciiTheme="majorHAnsi" w:hAnsiTheme="majorHAnsi" w:cstheme="majorHAnsi"/>
                <w:sz w:val="16"/>
                <w:szCs w:val="16"/>
              </w:rPr>
              <w:t>nie dotyczy</w:t>
            </w:r>
          </w:p>
        </w:tc>
      </w:tr>
      <w:tr w:rsidR="00EA2B5F" w:rsidRPr="00F25EBD" w14:paraId="7ECE6530" w14:textId="77777777" w:rsidTr="0060383F">
        <w:trPr>
          <w:trHeight w:val="300"/>
          <w:jc w:val="center"/>
        </w:trPr>
        <w:tc>
          <w:tcPr>
            <w:tcW w:w="2122" w:type="dxa"/>
            <w:tcBorders>
              <w:top w:val="single" w:sz="4" w:space="0" w:color="808080" w:themeColor="background1" w:themeShade="80"/>
              <w:left w:val="nil"/>
              <w:bottom w:val="single" w:sz="4" w:space="0" w:color="808080" w:themeColor="background1" w:themeShade="80"/>
              <w:right w:val="nil"/>
            </w:tcBorders>
            <w:vAlign w:val="center"/>
            <w:hideMark/>
          </w:tcPr>
          <w:p w14:paraId="3E7F13F8" w14:textId="77777777" w:rsidR="00EA2B5F" w:rsidRPr="00F25EBD" w:rsidRDefault="00EA2B5F" w:rsidP="0060383F">
            <w:pPr>
              <w:rPr>
                <w:rFonts w:asciiTheme="majorHAnsi" w:hAnsiTheme="majorHAnsi" w:cstheme="majorHAnsi"/>
                <w:sz w:val="20"/>
                <w:szCs w:val="20"/>
              </w:rPr>
            </w:pPr>
            <w:r w:rsidRPr="00F25EBD">
              <w:rPr>
                <w:rFonts w:asciiTheme="majorHAnsi" w:hAnsiTheme="majorHAnsi" w:cstheme="majorHAnsi"/>
                <w:sz w:val="20"/>
                <w:szCs w:val="20"/>
              </w:rPr>
              <w:t>C</w:t>
            </w:r>
            <w:r w:rsidRPr="00F25EBD">
              <w:rPr>
                <w:rFonts w:asciiTheme="majorHAnsi" w:hAnsiTheme="majorHAnsi" w:cstheme="majorHAnsi"/>
                <w:sz w:val="20"/>
                <w:szCs w:val="20"/>
                <w:vertAlign w:val="subscript"/>
              </w:rPr>
              <w:t>6</w:t>
            </w:r>
            <w:r w:rsidRPr="00F25EBD">
              <w:rPr>
                <w:rFonts w:asciiTheme="majorHAnsi" w:hAnsiTheme="majorHAnsi" w:cstheme="majorHAnsi"/>
                <w:sz w:val="20"/>
                <w:szCs w:val="20"/>
              </w:rPr>
              <w:t>H</w:t>
            </w:r>
            <w:r w:rsidRPr="00F25EBD">
              <w:rPr>
                <w:rFonts w:asciiTheme="majorHAnsi" w:hAnsiTheme="majorHAnsi" w:cstheme="majorHAnsi"/>
                <w:sz w:val="20"/>
                <w:szCs w:val="20"/>
                <w:vertAlign w:val="subscript"/>
              </w:rPr>
              <w:t>6</w:t>
            </w:r>
          </w:p>
        </w:tc>
        <w:tc>
          <w:tcPr>
            <w:tcW w:w="2268" w:type="dxa"/>
            <w:tcBorders>
              <w:top w:val="single" w:sz="4" w:space="0" w:color="808080" w:themeColor="background1" w:themeShade="80"/>
              <w:left w:val="nil"/>
              <w:bottom w:val="single" w:sz="4" w:space="0" w:color="808080" w:themeColor="background1" w:themeShade="80"/>
              <w:right w:val="nil"/>
            </w:tcBorders>
            <w:vAlign w:val="center"/>
          </w:tcPr>
          <w:p w14:paraId="2C2DF8DF" w14:textId="77777777" w:rsidR="00EA2B5F" w:rsidRPr="00F25EBD" w:rsidRDefault="00EA2B5F" w:rsidP="0060383F">
            <w:pPr>
              <w:jc w:val="center"/>
              <w:rPr>
                <w:rFonts w:asciiTheme="majorHAnsi" w:hAnsiTheme="majorHAnsi" w:cstheme="majorHAnsi"/>
                <w:sz w:val="20"/>
                <w:szCs w:val="20"/>
              </w:rPr>
            </w:pPr>
            <w:r w:rsidRPr="00F25EBD">
              <w:rPr>
                <w:rFonts w:asciiTheme="majorHAnsi" w:hAnsiTheme="majorHAnsi" w:cstheme="majorHAnsi"/>
                <w:sz w:val="20"/>
                <w:szCs w:val="20"/>
              </w:rPr>
              <w:t>klasa 1</w:t>
            </w:r>
          </w:p>
        </w:tc>
        <w:tc>
          <w:tcPr>
            <w:tcW w:w="2268" w:type="dxa"/>
            <w:tcBorders>
              <w:top w:val="single" w:sz="4" w:space="0" w:color="808080" w:themeColor="background1" w:themeShade="80"/>
              <w:left w:val="nil"/>
              <w:bottom w:val="single" w:sz="4" w:space="0" w:color="808080" w:themeColor="background1" w:themeShade="80"/>
              <w:right w:val="nil"/>
            </w:tcBorders>
            <w:vAlign w:val="center"/>
          </w:tcPr>
          <w:p w14:paraId="7AB14C70" w14:textId="77777777" w:rsidR="00EA2B5F" w:rsidRPr="00F25EBD" w:rsidRDefault="00EA2B5F" w:rsidP="0060383F">
            <w:pPr>
              <w:jc w:val="center"/>
              <w:rPr>
                <w:rFonts w:asciiTheme="majorHAnsi" w:hAnsiTheme="majorHAnsi" w:cstheme="majorHAnsi"/>
                <w:sz w:val="20"/>
                <w:szCs w:val="20"/>
              </w:rPr>
            </w:pPr>
            <w:r w:rsidRPr="00F25EBD">
              <w:rPr>
                <w:rFonts w:asciiTheme="majorHAnsi" w:hAnsiTheme="majorHAnsi" w:cstheme="majorHAnsi"/>
                <w:sz w:val="16"/>
                <w:szCs w:val="16"/>
              </w:rPr>
              <w:t>nie dotyczy</w:t>
            </w:r>
          </w:p>
        </w:tc>
      </w:tr>
      <w:tr w:rsidR="00EA2B5F" w:rsidRPr="00F25EBD" w14:paraId="2C028069" w14:textId="77777777" w:rsidTr="0060383F">
        <w:trPr>
          <w:trHeight w:val="300"/>
          <w:jc w:val="center"/>
        </w:trPr>
        <w:tc>
          <w:tcPr>
            <w:tcW w:w="2122" w:type="dxa"/>
            <w:tcBorders>
              <w:top w:val="single" w:sz="4" w:space="0" w:color="808080" w:themeColor="background1" w:themeShade="80"/>
              <w:left w:val="nil"/>
              <w:bottom w:val="single" w:sz="4" w:space="0" w:color="808080" w:themeColor="background1" w:themeShade="80"/>
              <w:right w:val="nil"/>
            </w:tcBorders>
            <w:vAlign w:val="center"/>
            <w:hideMark/>
          </w:tcPr>
          <w:p w14:paraId="4F0CD00F" w14:textId="77777777" w:rsidR="00EA2B5F" w:rsidRPr="00F25EBD" w:rsidRDefault="00EA2B5F" w:rsidP="0060383F">
            <w:pPr>
              <w:rPr>
                <w:rFonts w:asciiTheme="majorHAnsi" w:hAnsiTheme="majorHAnsi" w:cstheme="majorHAnsi"/>
                <w:sz w:val="20"/>
                <w:szCs w:val="20"/>
              </w:rPr>
            </w:pPr>
            <w:r w:rsidRPr="00F25EBD">
              <w:rPr>
                <w:rFonts w:asciiTheme="majorHAnsi" w:hAnsiTheme="majorHAnsi" w:cstheme="majorHAnsi"/>
                <w:sz w:val="20"/>
                <w:szCs w:val="20"/>
              </w:rPr>
              <w:t>CO</w:t>
            </w:r>
          </w:p>
        </w:tc>
        <w:tc>
          <w:tcPr>
            <w:tcW w:w="2268" w:type="dxa"/>
            <w:tcBorders>
              <w:top w:val="single" w:sz="4" w:space="0" w:color="808080" w:themeColor="background1" w:themeShade="80"/>
              <w:left w:val="nil"/>
              <w:bottom w:val="single" w:sz="4" w:space="0" w:color="808080" w:themeColor="background1" w:themeShade="80"/>
              <w:right w:val="nil"/>
            </w:tcBorders>
            <w:vAlign w:val="center"/>
          </w:tcPr>
          <w:p w14:paraId="39969F66" w14:textId="77777777" w:rsidR="00EA2B5F" w:rsidRPr="00F25EBD" w:rsidRDefault="00EA2B5F" w:rsidP="0060383F">
            <w:pPr>
              <w:jc w:val="center"/>
              <w:rPr>
                <w:rFonts w:asciiTheme="majorHAnsi" w:hAnsiTheme="majorHAnsi" w:cstheme="majorHAnsi"/>
                <w:sz w:val="20"/>
                <w:szCs w:val="20"/>
              </w:rPr>
            </w:pPr>
            <w:r w:rsidRPr="00F25EBD">
              <w:rPr>
                <w:rFonts w:asciiTheme="majorHAnsi" w:hAnsiTheme="majorHAnsi" w:cstheme="majorHAnsi"/>
                <w:sz w:val="20"/>
                <w:szCs w:val="20"/>
              </w:rPr>
              <w:t>klasa 1</w:t>
            </w:r>
          </w:p>
        </w:tc>
        <w:tc>
          <w:tcPr>
            <w:tcW w:w="2268" w:type="dxa"/>
            <w:tcBorders>
              <w:top w:val="single" w:sz="4" w:space="0" w:color="808080" w:themeColor="background1" w:themeShade="80"/>
              <w:left w:val="nil"/>
              <w:bottom w:val="single" w:sz="4" w:space="0" w:color="808080" w:themeColor="background1" w:themeShade="80"/>
              <w:right w:val="nil"/>
            </w:tcBorders>
            <w:vAlign w:val="center"/>
          </w:tcPr>
          <w:p w14:paraId="626DDEA0" w14:textId="77777777" w:rsidR="00EA2B5F" w:rsidRPr="00F25EBD" w:rsidRDefault="00EA2B5F" w:rsidP="0060383F">
            <w:pPr>
              <w:jc w:val="center"/>
              <w:rPr>
                <w:rFonts w:asciiTheme="majorHAnsi" w:hAnsiTheme="majorHAnsi" w:cstheme="majorHAnsi"/>
                <w:sz w:val="20"/>
                <w:szCs w:val="20"/>
              </w:rPr>
            </w:pPr>
            <w:r w:rsidRPr="00F25EBD">
              <w:rPr>
                <w:rFonts w:asciiTheme="majorHAnsi" w:hAnsiTheme="majorHAnsi" w:cstheme="majorHAnsi"/>
                <w:sz w:val="16"/>
                <w:szCs w:val="16"/>
              </w:rPr>
              <w:t>nie dotyczy</w:t>
            </w:r>
          </w:p>
        </w:tc>
      </w:tr>
      <w:tr w:rsidR="00EA2B5F" w:rsidRPr="00F25EBD" w14:paraId="29D77BF5" w14:textId="77777777" w:rsidTr="0060383F">
        <w:trPr>
          <w:trHeight w:val="300"/>
          <w:jc w:val="center"/>
        </w:trPr>
        <w:tc>
          <w:tcPr>
            <w:tcW w:w="2122" w:type="dxa"/>
            <w:tcBorders>
              <w:top w:val="single" w:sz="4" w:space="0" w:color="808080" w:themeColor="background1" w:themeShade="80"/>
              <w:left w:val="nil"/>
              <w:bottom w:val="single" w:sz="4" w:space="0" w:color="808080" w:themeColor="background1" w:themeShade="80"/>
              <w:right w:val="nil"/>
            </w:tcBorders>
            <w:vAlign w:val="center"/>
            <w:hideMark/>
          </w:tcPr>
          <w:p w14:paraId="7704FF47" w14:textId="77777777" w:rsidR="00EA2B5F" w:rsidRPr="00F25EBD" w:rsidRDefault="00EA2B5F" w:rsidP="0060383F">
            <w:pPr>
              <w:rPr>
                <w:rFonts w:asciiTheme="majorHAnsi" w:hAnsiTheme="majorHAnsi" w:cstheme="majorHAnsi"/>
                <w:sz w:val="20"/>
                <w:szCs w:val="20"/>
              </w:rPr>
            </w:pPr>
            <w:r w:rsidRPr="00F25EBD">
              <w:rPr>
                <w:rFonts w:asciiTheme="majorHAnsi" w:hAnsiTheme="majorHAnsi" w:cstheme="majorHAnsi"/>
                <w:sz w:val="20"/>
                <w:szCs w:val="20"/>
              </w:rPr>
              <w:t>O</w:t>
            </w:r>
            <w:r w:rsidRPr="00F25EBD">
              <w:rPr>
                <w:rFonts w:asciiTheme="majorHAnsi" w:hAnsiTheme="majorHAnsi" w:cstheme="majorHAnsi"/>
                <w:sz w:val="20"/>
                <w:szCs w:val="20"/>
                <w:vertAlign w:val="subscript"/>
              </w:rPr>
              <w:t>3</w:t>
            </w:r>
          </w:p>
        </w:tc>
        <w:tc>
          <w:tcPr>
            <w:tcW w:w="2268" w:type="dxa"/>
            <w:tcBorders>
              <w:top w:val="single" w:sz="4" w:space="0" w:color="808080" w:themeColor="background1" w:themeShade="80"/>
              <w:left w:val="nil"/>
              <w:bottom w:val="single" w:sz="4" w:space="0" w:color="808080" w:themeColor="background1" w:themeShade="80"/>
              <w:right w:val="nil"/>
            </w:tcBorders>
            <w:vAlign w:val="center"/>
          </w:tcPr>
          <w:p w14:paraId="15C23D68" w14:textId="77777777" w:rsidR="00EA2B5F" w:rsidRPr="00F25EBD" w:rsidRDefault="00EA2B5F" w:rsidP="0060383F">
            <w:pPr>
              <w:jc w:val="center"/>
              <w:rPr>
                <w:rFonts w:asciiTheme="majorHAnsi" w:hAnsiTheme="majorHAnsi" w:cstheme="majorHAnsi"/>
                <w:sz w:val="20"/>
                <w:szCs w:val="20"/>
              </w:rPr>
            </w:pPr>
            <w:r w:rsidRPr="00F25EBD">
              <w:rPr>
                <w:rFonts w:asciiTheme="majorHAnsi" w:hAnsiTheme="majorHAnsi" w:cstheme="majorHAnsi"/>
                <w:sz w:val="20"/>
                <w:szCs w:val="20"/>
              </w:rPr>
              <w:t>klasa 3a</w:t>
            </w:r>
          </w:p>
        </w:tc>
        <w:tc>
          <w:tcPr>
            <w:tcW w:w="2268" w:type="dxa"/>
            <w:tcBorders>
              <w:top w:val="single" w:sz="4" w:space="0" w:color="808080" w:themeColor="background1" w:themeShade="80"/>
              <w:left w:val="nil"/>
              <w:bottom w:val="single" w:sz="4" w:space="0" w:color="808080" w:themeColor="background1" w:themeShade="80"/>
              <w:right w:val="nil"/>
            </w:tcBorders>
            <w:vAlign w:val="center"/>
          </w:tcPr>
          <w:p w14:paraId="57BA86F0" w14:textId="77777777" w:rsidR="00EA2B5F" w:rsidRPr="00F25EBD" w:rsidRDefault="00EA2B5F" w:rsidP="0060383F">
            <w:pPr>
              <w:jc w:val="center"/>
              <w:rPr>
                <w:rFonts w:asciiTheme="majorHAnsi" w:hAnsiTheme="majorHAnsi" w:cstheme="majorHAnsi"/>
                <w:sz w:val="20"/>
                <w:szCs w:val="20"/>
              </w:rPr>
            </w:pPr>
            <w:r w:rsidRPr="00F25EBD">
              <w:rPr>
                <w:rFonts w:asciiTheme="majorHAnsi" w:hAnsiTheme="majorHAnsi" w:cstheme="majorHAnsi"/>
                <w:sz w:val="20"/>
                <w:szCs w:val="20"/>
              </w:rPr>
              <w:t>klasa 3a</w:t>
            </w:r>
          </w:p>
        </w:tc>
      </w:tr>
      <w:tr w:rsidR="00EA2B5F" w:rsidRPr="00F25EBD" w14:paraId="79FC5648" w14:textId="77777777" w:rsidTr="0060383F">
        <w:trPr>
          <w:trHeight w:val="300"/>
          <w:jc w:val="center"/>
        </w:trPr>
        <w:tc>
          <w:tcPr>
            <w:tcW w:w="2122" w:type="dxa"/>
            <w:tcBorders>
              <w:top w:val="single" w:sz="4" w:space="0" w:color="808080" w:themeColor="background1" w:themeShade="80"/>
              <w:left w:val="nil"/>
              <w:bottom w:val="single" w:sz="4" w:space="0" w:color="808080" w:themeColor="background1" w:themeShade="80"/>
              <w:right w:val="nil"/>
            </w:tcBorders>
            <w:vAlign w:val="center"/>
            <w:hideMark/>
          </w:tcPr>
          <w:p w14:paraId="4ABB2684" w14:textId="77777777" w:rsidR="00EA2B5F" w:rsidRPr="00F25EBD" w:rsidRDefault="00EA2B5F" w:rsidP="0060383F">
            <w:pPr>
              <w:rPr>
                <w:rFonts w:asciiTheme="majorHAnsi" w:hAnsiTheme="majorHAnsi" w:cstheme="majorHAnsi"/>
                <w:sz w:val="20"/>
                <w:szCs w:val="20"/>
              </w:rPr>
            </w:pPr>
            <w:r w:rsidRPr="00F25EBD">
              <w:rPr>
                <w:rFonts w:asciiTheme="majorHAnsi" w:hAnsiTheme="majorHAnsi" w:cstheme="majorHAnsi"/>
                <w:sz w:val="20"/>
                <w:szCs w:val="20"/>
              </w:rPr>
              <w:t>PM10</w:t>
            </w:r>
          </w:p>
        </w:tc>
        <w:tc>
          <w:tcPr>
            <w:tcW w:w="2268" w:type="dxa"/>
            <w:tcBorders>
              <w:top w:val="single" w:sz="4" w:space="0" w:color="808080" w:themeColor="background1" w:themeShade="80"/>
              <w:left w:val="nil"/>
              <w:bottom w:val="single" w:sz="4" w:space="0" w:color="808080" w:themeColor="background1" w:themeShade="80"/>
              <w:right w:val="nil"/>
            </w:tcBorders>
            <w:vAlign w:val="center"/>
          </w:tcPr>
          <w:p w14:paraId="08C17EDB" w14:textId="77777777" w:rsidR="00EA2B5F" w:rsidRPr="00F25EBD" w:rsidRDefault="00EA2B5F" w:rsidP="0060383F">
            <w:pPr>
              <w:jc w:val="center"/>
              <w:rPr>
                <w:rFonts w:asciiTheme="majorHAnsi" w:hAnsiTheme="majorHAnsi" w:cstheme="majorHAnsi"/>
                <w:sz w:val="20"/>
                <w:szCs w:val="20"/>
              </w:rPr>
            </w:pPr>
            <w:r w:rsidRPr="00F25EBD">
              <w:rPr>
                <w:rFonts w:asciiTheme="majorHAnsi" w:hAnsiTheme="majorHAnsi" w:cstheme="majorHAnsi"/>
                <w:sz w:val="20"/>
                <w:szCs w:val="20"/>
              </w:rPr>
              <w:t>klasa 3b</w:t>
            </w:r>
          </w:p>
        </w:tc>
        <w:tc>
          <w:tcPr>
            <w:tcW w:w="2268" w:type="dxa"/>
            <w:tcBorders>
              <w:top w:val="single" w:sz="4" w:space="0" w:color="808080" w:themeColor="background1" w:themeShade="80"/>
              <w:left w:val="nil"/>
              <w:bottom w:val="single" w:sz="4" w:space="0" w:color="808080" w:themeColor="background1" w:themeShade="80"/>
              <w:right w:val="nil"/>
            </w:tcBorders>
            <w:vAlign w:val="center"/>
          </w:tcPr>
          <w:p w14:paraId="022C566D" w14:textId="77777777" w:rsidR="00EA2B5F" w:rsidRPr="00F25EBD" w:rsidRDefault="00EA2B5F" w:rsidP="0060383F">
            <w:pPr>
              <w:jc w:val="center"/>
              <w:rPr>
                <w:rFonts w:asciiTheme="majorHAnsi" w:hAnsiTheme="majorHAnsi" w:cstheme="majorHAnsi"/>
                <w:sz w:val="20"/>
                <w:szCs w:val="20"/>
              </w:rPr>
            </w:pPr>
            <w:r w:rsidRPr="00F25EBD">
              <w:rPr>
                <w:rFonts w:asciiTheme="majorHAnsi" w:hAnsiTheme="majorHAnsi" w:cstheme="majorHAnsi"/>
                <w:sz w:val="16"/>
                <w:szCs w:val="16"/>
              </w:rPr>
              <w:t>nie dotyczy</w:t>
            </w:r>
          </w:p>
        </w:tc>
      </w:tr>
      <w:tr w:rsidR="00EA2B5F" w:rsidRPr="00F25EBD" w14:paraId="6BBEBE8C" w14:textId="77777777" w:rsidTr="0060383F">
        <w:trPr>
          <w:trHeight w:val="300"/>
          <w:jc w:val="center"/>
        </w:trPr>
        <w:tc>
          <w:tcPr>
            <w:tcW w:w="2122" w:type="dxa"/>
            <w:tcBorders>
              <w:top w:val="single" w:sz="4" w:space="0" w:color="808080" w:themeColor="background1" w:themeShade="80"/>
              <w:left w:val="nil"/>
              <w:bottom w:val="single" w:sz="4" w:space="0" w:color="808080" w:themeColor="background1" w:themeShade="80"/>
              <w:right w:val="nil"/>
            </w:tcBorders>
            <w:vAlign w:val="center"/>
            <w:hideMark/>
          </w:tcPr>
          <w:p w14:paraId="6086FB52" w14:textId="77777777" w:rsidR="00EA2B5F" w:rsidRPr="00F25EBD" w:rsidRDefault="00EA2B5F" w:rsidP="0060383F">
            <w:pPr>
              <w:rPr>
                <w:rFonts w:asciiTheme="majorHAnsi" w:hAnsiTheme="majorHAnsi" w:cstheme="majorHAnsi"/>
                <w:sz w:val="20"/>
                <w:szCs w:val="20"/>
              </w:rPr>
            </w:pPr>
            <w:r w:rsidRPr="00F25EBD">
              <w:rPr>
                <w:rFonts w:asciiTheme="majorHAnsi" w:hAnsiTheme="majorHAnsi" w:cstheme="majorHAnsi"/>
                <w:sz w:val="20"/>
                <w:szCs w:val="20"/>
              </w:rPr>
              <w:t>Pb(PM10)</w:t>
            </w:r>
          </w:p>
        </w:tc>
        <w:tc>
          <w:tcPr>
            <w:tcW w:w="2268" w:type="dxa"/>
            <w:tcBorders>
              <w:top w:val="single" w:sz="4" w:space="0" w:color="808080" w:themeColor="background1" w:themeShade="80"/>
              <w:left w:val="nil"/>
              <w:bottom w:val="single" w:sz="4" w:space="0" w:color="808080" w:themeColor="background1" w:themeShade="80"/>
              <w:right w:val="nil"/>
            </w:tcBorders>
            <w:vAlign w:val="center"/>
          </w:tcPr>
          <w:p w14:paraId="3564709A" w14:textId="77777777" w:rsidR="00EA2B5F" w:rsidRPr="00F25EBD" w:rsidRDefault="00EA2B5F" w:rsidP="0060383F">
            <w:pPr>
              <w:jc w:val="center"/>
              <w:rPr>
                <w:rFonts w:asciiTheme="majorHAnsi" w:hAnsiTheme="majorHAnsi" w:cstheme="majorHAnsi"/>
                <w:sz w:val="20"/>
                <w:szCs w:val="20"/>
              </w:rPr>
            </w:pPr>
            <w:r w:rsidRPr="00F25EBD">
              <w:rPr>
                <w:rFonts w:asciiTheme="majorHAnsi" w:hAnsiTheme="majorHAnsi" w:cstheme="majorHAnsi"/>
                <w:sz w:val="20"/>
                <w:szCs w:val="20"/>
              </w:rPr>
              <w:t>klasa 1</w:t>
            </w:r>
          </w:p>
        </w:tc>
        <w:tc>
          <w:tcPr>
            <w:tcW w:w="2268" w:type="dxa"/>
            <w:tcBorders>
              <w:top w:val="single" w:sz="4" w:space="0" w:color="808080" w:themeColor="background1" w:themeShade="80"/>
              <w:left w:val="nil"/>
              <w:bottom w:val="single" w:sz="4" w:space="0" w:color="808080" w:themeColor="background1" w:themeShade="80"/>
              <w:right w:val="nil"/>
            </w:tcBorders>
            <w:vAlign w:val="center"/>
          </w:tcPr>
          <w:p w14:paraId="6940886D" w14:textId="77777777" w:rsidR="00EA2B5F" w:rsidRPr="00F25EBD" w:rsidRDefault="00EA2B5F" w:rsidP="0060383F">
            <w:pPr>
              <w:jc w:val="center"/>
              <w:rPr>
                <w:rFonts w:asciiTheme="majorHAnsi" w:hAnsiTheme="majorHAnsi" w:cstheme="majorHAnsi"/>
                <w:sz w:val="20"/>
                <w:szCs w:val="20"/>
              </w:rPr>
            </w:pPr>
            <w:r w:rsidRPr="00F25EBD">
              <w:rPr>
                <w:rFonts w:asciiTheme="majorHAnsi" w:hAnsiTheme="majorHAnsi" w:cstheme="majorHAnsi"/>
                <w:sz w:val="16"/>
                <w:szCs w:val="16"/>
              </w:rPr>
              <w:t>nie dotyczy</w:t>
            </w:r>
          </w:p>
        </w:tc>
      </w:tr>
      <w:tr w:rsidR="00EA2B5F" w:rsidRPr="00F25EBD" w14:paraId="6FD327C0" w14:textId="77777777" w:rsidTr="0060383F">
        <w:trPr>
          <w:trHeight w:val="300"/>
          <w:jc w:val="center"/>
        </w:trPr>
        <w:tc>
          <w:tcPr>
            <w:tcW w:w="2122" w:type="dxa"/>
            <w:tcBorders>
              <w:top w:val="single" w:sz="4" w:space="0" w:color="808080" w:themeColor="background1" w:themeShade="80"/>
              <w:left w:val="nil"/>
              <w:bottom w:val="single" w:sz="4" w:space="0" w:color="808080" w:themeColor="background1" w:themeShade="80"/>
              <w:right w:val="nil"/>
            </w:tcBorders>
            <w:vAlign w:val="center"/>
            <w:hideMark/>
          </w:tcPr>
          <w:p w14:paraId="0FA0F1DB" w14:textId="77777777" w:rsidR="00EA2B5F" w:rsidRPr="00F25EBD" w:rsidRDefault="00EA2B5F" w:rsidP="0060383F">
            <w:pPr>
              <w:rPr>
                <w:rFonts w:asciiTheme="majorHAnsi" w:hAnsiTheme="majorHAnsi" w:cstheme="majorHAnsi"/>
                <w:sz w:val="20"/>
                <w:szCs w:val="20"/>
              </w:rPr>
            </w:pPr>
            <w:r w:rsidRPr="00F25EBD">
              <w:rPr>
                <w:rFonts w:asciiTheme="majorHAnsi" w:hAnsiTheme="majorHAnsi" w:cstheme="majorHAnsi"/>
                <w:sz w:val="20"/>
                <w:szCs w:val="20"/>
              </w:rPr>
              <w:t>As(PM10)</w:t>
            </w:r>
          </w:p>
        </w:tc>
        <w:tc>
          <w:tcPr>
            <w:tcW w:w="2268" w:type="dxa"/>
            <w:tcBorders>
              <w:top w:val="single" w:sz="4" w:space="0" w:color="808080" w:themeColor="background1" w:themeShade="80"/>
              <w:left w:val="nil"/>
              <w:bottom w:val="single" w:sz="4" w:space="0" w:color="808080" w:themeColor="background1" w:themeShade="80"/>
              <w:right w:val="nil"/>
            </w:tcBorders>
            <w:vAlign w:val="center"/>
          </w:tcPr>
          <w:p w14:paraId="2C6B0EBD" w14:textId="77777777" w:rsidR="00EA2B5F" w:rsidRPr="00F25EBD" w:rsidRDefault="00EA2B5F" w:rsidP="0060383F">
            <w:pPr>
              <w:jc w:val="center"/>
              <w:rPr>
                <w:rFonts w:asciiTheme="majorHAnsi" w:hAnsiTheme="majorHAnsi" w:cstheme="majorHAnsi"/>
                <w:sz w:val="20"/>
                <w:szCs w:val="20"/>
              </w:rPr>
            </w:pPr>
            <w:r w:rsidRPr="00F25EBD">
              <w:rPr>
                <w:rFonts w:asciiTheme="majorHAnsi" w:hAnsiTheme="majorHAnsi" w:cstheme="majorHAnsi"/>
                <w:sz w:val="20"/>
                <w:szCs w:val="20"/>
              </w:rPr>
              <w:t>klasa 1</w:t>
            </w:r>
          </w:p>
        </w:tc>
        <w:tc>
          <w:tcPr>
            <w:tcW w:w="2268" w:type="dxa"/>
            <w:tcBorders>
              <w:top w:val="single" w:sz="4" w:space="0" w:color="808080" w:themeColor="background1" w:themeShade="80"/>
              <w:left w:val="nil"/>
              <w:bottom w:val="single" w:sz="4" w:space="0" w:color="808080" w:themeColor="background1" w:themeShade="80"/>
              <w:right w:val="nil"/>
            </w:tcBorders>
            <w:vAlign w:val="center"/>
          </w:tcPr>
          <w:p w14:paraId="22213AA2" w14:textId="77777777" w:rsidR="00EA2B5F" w:rsidRPr="00F25EBD" w:rsidRDefault="00EA2B5F" w:rsidP="0060383F">
            <w:pPr>
              <w:jc w:val="center"/>
              <w:rPr>
                <w:rFonts w:asciiTheme="majorHAnsi" w:hAnsiTheme="majorHAnsi" w:cstheme="majorHAnsi"/>
                <w:sz w:val="20"/>
                <w:szCs w:val="20"/>
              </w:rPr>
            </w:pPr>
            <w:r w:rsidRPr="00F25EBD">
              <w:rPr>
                <w:rFonts w:asciiTheme="majorHAnsi" w:hAnsiTheme="majorHAnsi" w:cstheme="majorHAnsi"/>
                <w:sz w:val="16"/>
                <w:szCs w:val="16"/>
              </w:rPr>
              <w:t>nie dotyczy</w:t>
            </w:r>
          </w:p>
        </w:tc>
      </w:tr>
      <w:tr w:rsidR="00EA2B5F" w:rsidRPr="00F25EBD" w14:paraId="640B147A" w14:textId="77777777" w:rsidTr="0060383F">
        <w:trPr>
          <w:trHeight w:val="300"/>
          <w:jc w:val="center"/>
        </w:trPr>
        <w:tc>
          <w:tcPr>
            <w:tcW w:w="2122" w:type="dxa"/>
            <w:tcBorders>
              <w:top w:val="single" w:sz="4" w:space="0" w:color="808080" w:themeColor="background1" w:themeShade="80"/>
              <w:left w:val="nil"/>
              <w:bottom w:val="single" w:sz="4" w:space="0" w:color="808080" w:themeColor="background1" w:themeShade="80"/>
              <w:right w:val="nil"/>
            </w:tcBorders>
            <w:vAlign w:val="center"/>
            <w:hideMark/>
          </w:tcPr>
          <w:p w14:paraId="12A8D4DB" w14:textId="77777777" w:rsidR="00EA2B5F" w:rsidRPr="00F25EBD" w:rsidRDefault="00EA2B5F" w:rsidP="0060383F">
            <w:pPr>
              <w:rPr>
                <w:rFonts w:asciiTheme="majorHAnsi" w:hAnsiTheme="majorHAnsi" w:cstheme="majorHAnsi"/>
                <w:sz w:val="20"/>
                <w:szCs w:val="20"/>
              </w:rPr>
            </w:pPr>
            <w:r w:rsidRPr="00F25EBD">
              <w:rPr>
                <w:rFonts w:asciiTheme="majorHAnsi" w:hAnsiTheme="majorHAnsi" w:cstheme="majorHAnsi"/>
                <w:sz w:val="20"/>
                <w:szCs w:val="20"/>
              </w:rPr>
              <w:t>Cd(PM10)</w:t>
            </w:r>
          </w:p>
        </w:tc>
        <w:tc>
          <w:tcPr>
            <w:tcW w:w="2268" w:type="dxa"/>
            <w:tcBorders>
              <w:top w:val="single" w:sz="4" w:space="0" w:color="808080" w:themeColor="background1" w:themeShade="80"/>
              <w:left w:val="nil"/>
              <w:bottom w:val="single" w:sz="4" w:space="0" w:color="808080" w:themeColor="background1" w:themeShade="80"/>
              <w:right w:val="nil"/>
            </w:tcBorders>
            <w:vAlign w:val="center"/>
          </w:tcPr>
          <w:p w14:paraId="71FAA2CF" w14:textId="77777777" w:rsidR="00EA2B5F" w:rsidRPr="00F25EBD" w:rsidRDefault="00EA2B5F" w:rsidP="0060383F">
            <w:pPr>
              <w:jc w:val="center"/>
              <w:rPr>
                <w:rFonts w:asciiTheme="majorHAnsi" w:hAnsiTheme="majorHAnsi" w:cstheme="majorHAnsi"/>
                <w:sz w:val="20"/>
                <w:szCs w:val="20"/>
              </w:rPr>
            </w:pPr>
            <w:r w:rsidRPr="00F25EBD">
              <w:rPr>
                <w:rFonts w:asciiTheme="majorHAnsi" w:hAnsiTheme="majorHAnsi" w:cstheme="majorHAnsi"/>
                <w:sz w:val="20"/>
                <w:szCs w:val="20"/>
              </w:rPr>
              <w:t>klasa 1</w:t>
            </w:r>
          </w:p>
        </w:tc>
        <w:tc>
          <w:tcPr>
            <w:tcW w:w="2268" w:type="dxa"/>
            <w:tcBorders>
              <w:top w:val="single" w:sz="4" w:space="0" w:color="808080" w:themeColor="background1" w:themeShade="80"/>
              <w:left w:val="nil"/>
              <w:bottom w:val="single" w:sz="4" w:space="0" w:color="808080" w:themeColor="background1" w:themeShade="80"/>
              <w:right w:val="nil"/>
            </w:tcBorders>
            <w:vAlign w:val="center"/>
          </w:tcPr>
          <w:p w14:paraId="3744C374" w14:textId="77777777" w:rsidR="00EA2B5F" w:rsidRPr="00F25EBD" w:rsidRDefault="00EA2B5F" w:rsidP="0060383F">
            <w:pPr>
              <w:jc w:val="center"/>
              <w:rPr>
                <w:rFonts w:asciiTheme="majorHAnsi" w:hAnsiTheme="majorHAnsi" w:cstheme="majorHAnsi"/>
                <w:sz w:val="20"/>
                <w:szCs w:val="20"/>
              </w:rPr>
            </w:pPr>
            <w:r w:rsidRPr="00F25EBD">
              <w:rPr>
                <w:rFonts w:asciiTheme="majorHAnsi" w:hAnsiTheme="majorHAnsi" w:cstheme="majorHAnsi"/>
                <w:sz w:val="16"/>
                <w:szCs w:val="16"/>
              </w:rPr>
              <w:t>nie dotyczy</w:t>
            </w:r>
          </w:p>
        </w:tc>
      </w:tr>
      <w:tr w:rsidR="00EA2B5F" w:rsidRPr="00F25EBD" w14:paraId="2B729DFF" w14:textId="77777777" w:rsidTr="0060383F">
        <w:trPr>
          <w:trHeight w:val="300"/>
          <w:jc w:val="center"/>
        </w:trPr>
        <w:tc>
          <w:tcPr>
            <w:tcW w:w="2122" w:type="dxa"/>
            <w:tcBorders>
              <w:top w:val="single" w:sz="4" w:space="0" w:color="808080" w:themeColor="background1" w:themeShade="80"/>
              <w:left w:val="nil"/>
              <w:bottom w:val="single" w:sz="4" w:space="0" w:color="808080" w:themeColor="background1" w:themeShade="80"/>
              <w:right w:val="nil"/>
            </w:tcBorders>
            <w:vAlign w:val="center"/>
            <w:hideMark/>
          </w:tcPr>
          <w:p w14:paraId="181D7646" w14:textId="77777777" w:rsidR="00EA2B5F" w:rsidRPr="00F25EBD" w:rsidRDefault="00EA2B5F" w:rsidP="0060383F">
            <w:pPr>
              <w:rPr>
                <w:rFonts w:asciiTheme="majorHAnsi" w:hAnsiTheme="majorHAnsi" w:cstheme="majorHAnsi"/>
                <w:sz w:val="20"/>
                <w:szCs w:val="20"/>
              </w:rPr>
            </w:pPr>
            <w:r w:rsidRPr="00F25EBD">
              <w:rPr>
                <w:rFonts w:asciiTheme="majorHAnsi" w:hAnsiTheme="majorHAnsi" w:cstheme="majorHAnsi"/>
                <w:sz w:val="20"/>
                <w:szCs w:val="20"/>
              </w:rPr>
              <w:t>Ni(PM10)</w:t>
            </w:r>
          </w:p>
        </w:tc>
        <w:tc>
          <w:tcPr>
            <w:tcW w:w="2268" w:type="dxa"/>
            <w:tcBorders>
              <w:top w:val="single" w:sz="4" w:space="0" w:color="808080" w:themeColor="background1" w:themeShade="80"/>
              <w:left w:val="nil"/>
              <w:bottom w:val="single" w:sz="4" w:space="0" w:color="808080" w:themeColor="background1" w:themeShade="80"/>
              <w:right w:val="nil"/>
            </w:tcBorders>
            <w:vAlign w:val="center"/>
          </w:tcPr>
          <w:p w14:paraId="3D4F08C3" w14:textId="77777777" w:rsidR="00EA2B5F" w:rsidRPr="00F25EBD" w:rsidRDefault="00EA2B5F" w:rsidP="0060383F">
            <w:pPr>
              <w:jc w:val="center"/>
              <w:rPr>
                <w:rFonts w:asciiTheme="majorHAnsi" w:hAnsiTheme="majorHAnsi" w:cstheme="majorHAnsi"/>
                <w:sz w:val="20"/>
                <w:szCs w:val="20"/>
              </w:rPr>
            </w:pPr>
            <w:r w:rsidRPr="00F25EBD">
              <w:rPr>
                <w:rFonts w:asciiTheme="majorHAnsi" w:hAnsiTheme="majorHAnsi" w:cstheme="majorHAnsi"/>
                <w:sz w:val="20"/>
                <w:szCs w:val="20"/>
              </w:rPr>
              <w:t>klasa 1</w:t>
            </w:r>
          </w:p>
        </w:tc>
        <w:tc>
          <w:tcPr>
            <w:tcW w:w="2268" w:type="dxa"/>
            <w:tcBorders>
              <w:top w:val="single" w:sz="4" w:space="0" w:color="808080" w:themeColor="background1" w:themeShade="80"/>
              <w:left w:val="nil"/>
              <w:bottom w:val="single" w:sz="4" w:space="0" w:color="808080" w:themeColor="background1" w:themeShade="80"/>
              <w:right w:val="nil"/>
            </w:tcBorders>
            <w:vAlign w:val="center"/>
          </w:tcPr>
          <w:p w14:paraId="1C0FF68F" w14:textId="77777777" w:rsidR="00EA2B5F" w:rsidRPr="00F25EBD" w:rsidRDefault="00EA2B5F" w:rsidP="0060383F">
            <w:pPr>
              <w:jc w:val="center"/>
              <w:rPr>
                <w:rFonts w:asciiTheme="majorHAnsi" w:hAnsiTheme="majorHAnsi" w:cstheme="majorHAnsi"/>
                <w:sz w:val="20"/>
                <w:szCs w:val="20"/>
              </w:rPr>
            </w:pPr>
            <w:r w:rsidRPr="00F25EBD">
              <w:rPr>
                <w:rFonts w:asciiTheme="majorHAnsi" w:hAnsiTheme="majorHAnsi" w:cstheme="majorHAnsi"/>
                <w:sz w:val="16"/>
                <w:szCs w:val="16"/>
              </w:rPr>
              <w:t>nie dotyczy</w:t>
            </w:r>
          </w:p>
        </w:tc>
      </w:tr>
      <w:tr w:rsidR="00EA2B5F" w:rsidRPr="00F25EBD" w14:paraId="168A703D" w14:textId="77777777" w:rsidTr="0060383F">
        <w:trPr>
          <w:trHeight w:val="300"/>
          <w:jc w:val="center"/>
        </w:trPr>
        <w:tc>
          <w:tcPr>
            <w:tcW w:w="2122" w:type="dxa"/>
            <w:tcBorders>
              <w:top w:val="single" w:sz="4" w:space="0" w:color="808080" w:themeColor="background1" w:themeShade="80"/>
              <w:left w:val="nil"/>
              <w:bottom w:val="single" w:sz="4" w:space="0" w:color="808080" w:themeColor="background1" w:themeShade="80"/>
              <w:right w:val="nil"/>
            </w:tcBorders>
            <w:vAlign w:val="center"/>
            <w:hideMark/>
          </w:tcPr>
          <w:p w14:paraId="67241581" w14:textId="77777777" w:rsidR="00EA2B5F" w:rsidRPr="00F25EBD" w:rsidRDefault="00EA2B5F" w:rsidP="0060383F">
            <w:pPr>
              <w:rPr>
                <w:rFonts w:asciiTheme="majorHAnsi" w:hAnsiTheme="majorHAnsi" w:cstheme="majorHAnsi"/>
                <w:sz w:val="20"/>
                <w:szCs w:val="20"/>
              </w:rPr>
            </w:pPr>
            <w:proofErr w:type="spellStart"/>
            <w:r w:rsidRPr="00F25EBD">
              <w:rPr>
                <w:rFonts w:asciiTheme="majorHAnsi" w:hAnsiTheme="majorHAnsi" w:cstheme="majorHAnsi"/>
                <w:sz w:val="20"/>
                <w:szCs w:val="20"/>
              </w:rPr>
              <w:t>BaP</w:t>
            </w:r>
            <w:proofErr w:type="spellEnd"/>
            <w:r w:rsidRPr="00F25EBD">
              <w:rPr>
                <w:rFonts w:asciiTheme="majorHAnsi" w:hAnsiTheme="majorHAnsi" w:cstheme="majorHAnsi"/>
                <w:sz w:val="20"/>
                <w:szCs w:val="20"/>
              </w:rPr>
              <w:t>(PM10)</w:t>
            </w:r>
          </w:p>
        </w:tc>
        <w:tc>
          <w:tcPr>
            <w:tcW w:w="2268" w:type="dxa"/>
            <w:tcBorders>
              <w:top w:val="single" w:sz="4" w:space="0" w:color="808080" w:themeColor="background1" w:themeShade="80"/>
              <w:left w:val="nil"/>
              <w:bottom w:val="single" w:sz="4" w:space="0" w:color="808080" w:themeColor="background1" w:themeShade="80"/>
              <w:right w:val="nil"/>
            </w:tcBorders>
            <w:vAlign w:val="center"/>
          </w:tcPr>
          <w:p w14:paraId="6E59D5D8" w14:textId="77777777" w:rsidR="00EA2B5F" w:rsidRPr="00F25EBD" w:rsidRDefault="00EA2B5F" w:rsidP="0060383F">
            <w:pPr>
              <w:jc w:val="center"/>
              <w:rPr>
                <w:rFonts w:asciiTheme="majorHAnsi" w:hAnsiTheme="majorHAnsi" w:cstheme="majorHAnsi"/>
                <w:sz w:val="20"/>
                <w:szCs w:val="20"/>
              </w:rPr>
            </w:pPr>
            <w:r w:rsidRPr="00F25EBD">
              <w:rPr>
                <w:rFonts w:asciiTheme="majorHAnsi" w:hAnsiTheme="majorHAnsi" w:cstheme="majorHAnsi"/>
                <w:sz w:val="20"/>
                <w:szCs w:val="20"/>
              </w:rPr>
              <w:t>klasa 3b</w:t>
            </w:r>
          </w:p>
        </w:tc>
        <w:tc>
          <w:tcPr>
            <w:tcW w:w="2268" w:type="dxa"/>
            <w:tcBorders>
              <w:top w:val="single" w:sz="4" w:space="0" w:color="808080" w:themeColor="background1" w:themeShade="80"/>
              <w:left w:val="nil"/>
              <w:bottom w:val="single" w:sz="4" w:space="0" w:color="808080" w:themeColor="background1" w:themeShade="80"/>
              <w:right w:val="nil"/>
            </w:tcBorders>
            <w:vAlign w:val="center"/>
          </w:tcPr>
          <w:p w14:paraId="076DB376" w14:textId="77777777" w:rsidR="00EA2B5F" w:rsidRPr="00F25EBD" w:rsidRDefault="00EA2B5F" w:rsidP="0060383F">
            <w:pPr>
              <w:jc w:val="center"/>
              <w:rPr>
                <w:rFonts w:asciiTheme="majorHAnsi" w:hAnsiTheme="majorHAnsi" w:cstheme="majorHAnsi"/>
                <w:sz w:val="20"/>
                <w:szCs w:val="20"/>
              </w:rPr>
            </w:pPr>
            <w:r w:rsidRPr="00F25EBD">
              <w:rPr>
                <w:rFonts w:asciiTheme="majorHAnsi" w:hAnsiTheme="majorHAnsi" w:cstheme="majorHAnsi"/>
                <w:sz w:val="16"/>
                <w:szCs w:val="16"/>
              </w:rPr>
              <w:t>nie dotyczy</w:t>
            </w:r>
          </w:p>
        </w:tc>
      </w:tr>
      <w:tr w:rsidR="00EA2B5F" w:rsidRPr="00F25EBD" w14:paraId="30841D7E" w14:textId="77777777" w:rsidTr="0060383F">
        <w:trPr>
          <w:trHeight w:val="300"/>
          <w:jc w:val="center"/>
        </w:trPr>
        <w:tc>
          <w:tcPr>
            <w:tcW w:w="2122" w:type="dxa"/>
            <w:tcBorders>
              <w:top w:val="single" w:sz="4" w:space="0" w:color="808080" w:themeColor="background1" w:themeShade="80"/>
              <w:left w:val="nil"/>
              <w:bottom w:val="single" w:sz="4" w:space="0" w:color="808080" w:themeColor="background1" w:themeShade="80"/>
              <w:right w:val="nil"/>
            </w:tcBorders>
            <w:vAlign w:val="center"/>
            <w:hideMark/>
          </w:tcPr>
          <w:p w14:paraId="58009ABE" w14:textId="77777777" w:rsidR="00EA2B5F" w:rsidRPr="00F25EBD" w:rsidRDefault="00EA2B5F" w:rsidP="0060383F">
            <w:pPr>
              <w:rPr>
                <w:rFonts w:asciiTheme="majorHAnsi" w:hAnsiTheme="majorHAnsi" w:cstheme="majorHAnsi"/>
                <w:sz w:val="20"/>
                <w:szCs w:val="20"/>
              </w:rPr>
            </w:pPr>
            <w:r w:rsidRPr="00F25EBD">
              <w:rPr>
                <w:rFonts w:asciiTheme="majorHAnsi" w:hAnsiTheme="majorHAnsi" w:cstheme="majorHAnsi"/>
                <w:sz w:val="20"/>
                <w:szCs w:val="20"/>
              </w:rPr>
              <w:t>PM2,5</w:t>
            </w:r>
          </w:p>
        </w:tc>
        <w:tc>
          <w:tcPr>
            <w:tcW w:w="2268" w:type="dxa"/>
            <w:tcBorders>
              <w:top w:val="single" w:sz="4" w:space="0" w:color="808080" w:themeColor="background1" w:themeShade="80"/>
              <w:left w:val="nil"/>
              <w:bottom w:val="single" w:sz="4" w:space="0" w:color="808080" w:themeColor="background1" w:themeShade="80"/>
              <w:right w:val="nil"/>
            </w:tcBorders>
            <w:vAlign w:val="center"/>
          </w:tcPr>
          <w:p w14:paraId="2A3D48E9" w14:textId="77777777" w:rsidR="00EA2B5F" w:rsidRPr="00F25EBD" w:rsidRDefault="00EA2B5F" w:rsidP="0060383F">
            <w:pPr>
              <w:jc w:val="center"/>
              <w:rPr>
                <w:rFonts w:asciiTheme="majorHAnsi" w:hAnsiTheme="majorHAnsi" w:cstheme="majorHAnsi"/>
                <w:sz w:val="20"/>
                <w:szCs w:val="20"/>
              </w:rPr>
            </w:pPr>
            <w:r w:rsidRPr="00F25EBD">
              <w:rPr>
                <w:rFonts w:asciiTheme="majorHAnsi" w:hAnsiTheme="majorHAnsi" w:cstheme="majorHAnsi"/>
                <w:sz w:val="20"/>
                <w:szCs w:val="20"/>
              </w:rPr>
              <w:t>klasa 2</w:t>
            </w:r>
          </w:p>
        </w:tc>
        <w:tc>
          <w:tcPr>
            <w:tcW w:w="2268" w:type="dxa"/>
            <w:tcBorders>
              <w:top w:val="single" w:sz="4" w:space="0" w:color="808080" w:themeColor="background1" w:themeShade="80"/>
              <w:left w:val="nil"/>
              <w:bottom w:val="single" w:sz="4" w:space="0" w:color="808080" w:themeColor="background1" w:themeShade="80"/>
              <w:right w:val="nil"/>
            </w:tcBorders>
            <w:vAlign w:val="center"/>
          </w:tcPr>
          <w:p w14:paraId="0C22DCFA" w14:textId="77777777" w:rsidR="00EA2B5F" w:rsidRPr="00F25EBD" w:rsidRDefault="00EA2B5F" w:rsidP="0060383F">
            <w:pPr>
              <w:jc w:val="center"/>
              <w:rPr>
                <w:rFonts w:asciiTheme="majorHAnsi" w:hAnsiTheme="majorHAnsi" w:cstheme="majorHAnsi"/>
                <w:sz w:val="20"/>
                <w:szCs w:val="20"/>
              </w:rPr>
            </w:pPr>
            <w:r w:rsidRPr="00F25EBD">
              <w:rPr>
                <w:rFonts w:asciiTheme="majorHAnsi" w:hAnsiTheme="majorHAnsi" w:cstheme="majorHAnsi"/>
                <w:sz w:val="16"/>
                <w:szCs w:val="16"/>
              </w:rPr>
              <w:t>nie dotyczy</w:t>
            </w:r>
          </w:p>
        </w:tc>
      </w:tr>
      <w:tr w:rsidR="00EA2B5F" w:rsidRPr="00F25EBD" w14:paraId="6CF3DA2A" w14:textId="77777777" w:rsidTr="0060383F">
        <w:trPr>
          <w:trHeight w:val="300"/>
          <w:jc w:val="center"/>
        </w:trPr>
        <w:tc>
          <w:tcPr>
            <w:tcW w:w="2122" w:type="dxa"/>
            <w:tcBorders>
              <w:top w:val="single" w:sz="4" w:space="0" w:color="808080" w:themeColor="background1" w:themeShade="80"/>
              <w:left w:val="nil"/>
              <w:bottom w:val="single" w:sz="4" w:space="0" w:color="808080" w:themeColor="background1" w:themeShade="80"/>
              <w:right w:val="nil"/>
            </w:tcBorders>
            <w:vAlign w:val="center"/>
            <w:hideMark/>
          </w:tcPr>
          <w:p w14:paraId="576C26DD" w14:textId="77777777" w:rsidR="00EA2B5F" w:rsidRPr="00F25EBD" w:rsidRDefault="00EA2B5F" w:rsidP="0060383F">
            <w:pPr>
              <w:rPr>
                <w:rFonts w:asciiTheme="majorHAnsi" w:hAnsiTheme="majorHAnsi" w:cstheme="majorHAnsi"/>
                <w:sz w:val="20"/>
                <w:szCs w:val="20"/>
              </w:rPr>
            </w:pPr>
            <w:r w:rsidRPr="00F25EBD">
              <w:rPr>
                <w:rFonts w:asciiTheme="majorHAnsi" w:hAnsiTheme="majorHAnsi" w:cstheme="majorHAnsi"/>
                <w:sz w:val="20"/>
                <w:szCs w:val="20"/>
              </w:rPr>
              <w:t>NO</w:t>
            </w:r>
            <w:r w:rsidRPr="00F25EBD">
              <w:rPr>
                <w:rFonts w:asciiTheme="majorHAnsi" w:hAnsiTheme="majorHAnsi" w:cstheme="majorHAnsi"/>
                <w:sz w:val="20"/>
                <w:szCs w:val="20"/>
                <w:vertAlign w:val="subscript"/>
              </w:rPr>
              <w:t>X</w:t>
            </w:r>
          </w:p>
        </w:tc>
        <w:tc>
          <w:tcPr>
            <w:tcW w:w="2268" w:type="dxa"/>
            <w:tcBorders>
              <w:top w:val="single" w:sz="4" w:space="0" w:color="808080" w:themeColor="background1" w:themeShade="80"/>
              <w:left w:val="nil"/>
              <w:bottom w:val="single" w:sz="4" w:space="0" w:color="808080" w:themeColor="background1" w:themeShade="80"/>
              <w:right w:val="nil"/>
            </w:tcBorders>
            <w:vAlign w:val="center"/>
          </w:tcPr>
          <w:p w14:paraId="6B1BE00C" w14:textId="77777777" w:rsidR="00EA2B5F" w:rsidRPr="00F25EBD" w:rsidRDefault="00EA2B5F" w:rsidP="0060383F">
            <w:pPr>
              <w:jc w:val="center"/>
              <w:rPr>
                <w:rFonts w:asciiTheme="majorHAnsi" w:hAnsiTheme="majorHAnsi" w:cstheme="majorHAnsi"/>
                <w:sz w:val="16"/>
                <w:szCs w:val="16"/>
              </w:rPr>
            </w:pPr>
            <w:r w:rsidRPr="00F25EBD">
              <w:rPr>
                <w:rFonts w:asciiTheme="majorHAnsi" w:hAnsiTheme="majorHAnsi" w:cstheme="majorHAnsi"/>
                <w:sz w:val="16"/>
                <w:szCs w:val="16"/>
              </w:rPr>
              <w:t>nie dotyczy</w:t>
            </w:r>
          </w:p>
        </w:tc>
        <w:tc>
          <w:tcPr>
            <w:tcW w:w="2268" w:type="dxa"/>
            <w:tcBorders>
              <w:top w:val="single" w:sz="4" w:space="0" w:color="808080" w:themeColor="background1" w:themeShade="80"/>
              <w:left w:val="nil"/>
              <w:bottom w:val="single" w:sz="4" w:space="0" w:color="808080" w:themeColor="background1" w:themeShade="80"/>
              <w:right w:val="nil"/>
            </w:tcBorders>
            <w:vAlign w:val="center"/>
          </w:tcPr>
          <w:p w14:paraId="276F1E8D" w14:textId="77777777" w:rsidR="00EA2B5F" w:rsidRPr="00F25EBD" w:rsidRDefault="00EA2B5F" w:rsidP="0060383F">
            <w:pPr>
              <w:jc w:val="center"/>
              <w:rPr>
                <w:rFonts w:asciiTheme="majorHAnsi" w:hAnsiTheme="majorHAnsi" w:cstheme="majorHAnsi"/>
                <w:sz w:val="20"/>
                <w:szCs w:val="20"/>
              </w:rPr>
            </w:pPr>
            <w:r w:rsidRPr="00F25EBD">
              <w:rPr>
                <w:rFonts w:asciiTheme="majorHAnsi" w:hAnsiTheme="majorHAnsi" w:cstheme="majorHAnsi"/>
                <w:sz w:val="20"/>
                <w:szCs w:val="20"/>
              </w:rPr>
              <w:t>klasa 1</w:t>
            </w:r>
          </w:p>
        </w:tc>
      </w:tr>
    </w:tbl>
    <w:p w14:paraId="62058061" w14:textId="77777777" w:rsidR="00EA2B5F" w:rsidRPr="0060383F" w:rsidRDefault="00EA2B5F" w:rsidP="0060383F">
      <w:pPr>
        <w:pStyle w:val="rdo"/>
      </w:pPr>
      <w:r w:rsidRPr="0060383F">
        <w:t>Źródło: opracowanie własne na postawie: Pięcioletnia ocena jakości powietrza w województwie warmińsko-mazurskim. Raport wojewódzki za lata 2014-2018. Regionalny Wydział Monitoringu Środowiska Głównego Inspektoratu Ochrony Środowiska, Olsztyn 2019.</w:t>
      </w:r>
    </w:p>
    <w:p w14:paraId="469589DB" w14:textId="77777777" w:rsidR="008A3FED" w:rsidRDefault="008A3FED" w:rsidP="008A3FED">
      <w:pPr>
        <w:spacing w:line="276" w:lineRule="auto"/>
        <w:jc w:val="both"/>
        <w:rPr>
          <w:rFonts w:asciiTheme="majorHAnsi" w:hAnsiTheme="majorHAnsi" w:cstheme="majorHAnsi"/>
        </w:rPr>
      </w:pPr>
    </w:p>
    <w:p w14:paraId="0F8E0E01" w14:textId="2DE2100E" w:rsidR="00EA2B5F" w:rsidRPr="00F25EBD" w:rsidRDefault="00EA2B5F" w:rsidP="008A3FED">
      <w:pPr>
        <w:spacing w:line="276" w:lineRule="auto"/>
        <w:jc w:val="both"/>
        <w:rPr>
          <w:rFonts w:asciiTheme="majorHAnsi" w:hAnsiTheme="majorHAnsi" w:cstheme="majorHAnsi"/>
        </w:rPr>
      </w:pPr>
      <w:r w:rsidRPr="00F25EBD">
        <w:rPr>
          <w:rFonts w:asciiTheme="majorHAnsi" w:hAnsiTheme="majorHAnsi" w:cstheme="majorHAnsi"/>
        </w:rPr>
        <w:t xml:space="preserve">Z informacji zawartych w </w:t>
      </w:r>
      <w:r w:rsidRPr="00F25EBD">
        <w:rPr>
          <w:rFonts w:asciiTheme="majorHAnsi" w:hAnsiTheme="majorHAnsi" w:cstheme="majorHAnsi"/>
          <w:i/>
          <w:iCs/>
        </w:rPr>
        <w:t>Raporcie o stanie środowiska województwa warmińsko-mazurskiego w</w:t>
      </w:r>
      <w:r w:rsidR="007B04A7">
        <w:rPr>
          <w:rFonts w:asciiTheme="majorHAnsi" w:hAnsiTheme="majorHAnsi" w:cstheme="majorHAnsi"/>
          <w:i/>
          <w:iCs/>
        </w:rPr>
        <w:t xml:space="preserve"> </w:t>
      </w:r>
      <w:r w:rsidRPr="00F25EBD">
        <w:rPr>
          <w:rFonts w:asciiTheme="majorHAnsi" w:hAnsiTheme="majorHAnsi" w:cstheme="majorHAnsi"/>
          <w:i/>
          <w:iCs/>
        </w:rPr>
        <w:t>2017 roku</w:t>
      </w:r>
      <w:r w:rsidRPr="00F25EBD">
        <w:rPr>
          <w:rFonts w:asciiTheme="majorHAnsi" w:hAnsiTheme="majorHAnsi" w:cstheme="majorHAnsi"/>
        </w:rPr>
        <w:t xml:space="preserve"> (str. 92) wynika, że znacznie lepsze warunki zdrowotne pod względem jakości powietrza są na obszarach zaopatrywanych w energię cieplną z centralnych ciepłowni lub zmodernizowanych kotłowni lokalnych, z dala od tras komunikacyjnych o dużym nasileniu ruchu. Wyniki różnego rodzaju analiz, dane zawarte w bazie emisyjnej oraz wyniki pochodzące ze stacji pomiarowych pokazują, że południowo-zachodnia i zachodnia część województwa są narażone na gorszą jakość powietrza atmosferycznego. Drugim obszarem potencjalnego zagrożenia są średniej wielkości miasta bez wykształconej sieci ciepłowniczej z przewagą zabudowy jednorodzinnej. Dodatkowym źródłem zagrożenia może być rozwój źle zlokalizowanego przemysłu. Niebezpieczeństwo pogorszenia się jakości powietrza dotyczy głównie zanieczyszczenia pyłem zawieszonym PM10, </w:t>
      </w:r>
      <w:proofErr w:type="spellStart"/>
      <w:r w:rsidRPr="00F25EBD">
        <w:rPr>
          <w:rFonts w:asciiTheme="majorHAnsi" w:hAnsiTheme="majorHAnsi" w:cstheme="majorHAnsi"/>
        </w:rPr>
        <w:t>benzo</w:t>
      </w:r>
      <w:proofErr w:type="spellEnd"/>
      <w:r w:rsidRPr="00F25EBD">
        <w:rPr>
          <w:rFonts w:asciiTheme="majorHAnsi" w:hAnsiTheme="majorHAnsi" w:cstheme="majorHAnsi"/>
        </w:rPr>
        <w:t>(a)</w:t>
      </w:r>
      <w:proofErr w:type="spellStart"/>
      <w:r w:rsidRPr="00F25EBD">
        <w:rPr>
          <w:rFonts w:asciiTheme="majorHAnsi" w:hAnsiTheme="majorHAnsi" w:cstheme="majorHAnsi"/>
        </w:rPr>
        <w:t>pirenem</w:t>
      </w:r>
      <w:proofErr w:type="spellEnd"/>
      <w:r w:rsidRPr="00F25EBD">
        <w:rPr>
          <w:rFonts w:asciiTheme="majorHAnsi" w:hAnsiTheme="majorHAnsi" w:cstheme="majorHAnsi"/>
        </w:rPr>
        <w:t xml:space="preserve"> i</w:t>
      </w:r>
      <w:r w:rsidR="007B04A7">
        <w:rPr>
          <w:rFonts w:asciiTheme="majorHAnsi" w:hAnsiTheme="majorHAnsi" w:cstheme="majorHAnsi"/>
        </w:rPr>
        <w:t xml:space="preserve"> </w:t>
      </w:r>
      <w:r w:rsidRPr="00F25EBD">
        <w:rPr>
          <w:rFonts w:asciiTheme="majorHAnsi" w:hAnsiTheme="majorHAnsi" w:cstheme="majorHAnsi"/>
        </w:rPr>
        <w:t>NO</w:t>
      </w:r>
      <w:r w:rsidRPr="00F25EBD">
        <w:rPr>
          <w:rFonts w:asciiTheme="majorHAnsi" w:hAnsiTheme="majorHAnsi" w:cstheme="majorHAnsi"/>
          <w:vertAlign w:val="subscript"/>
        </w:rPr>
        <w:t>2</w:t>
      </w:r>
      <w:r w:rsidRPr="00F25EBD">
        <w:rPr>
          <w:rFonts w:asciiTheme="majorHAnsi" w:hAnsiTheme="majorHAnsi" w:cstheme="majorHAnsi"/>
        </w:rPr>
        <w:t xml:space="preserve">. Stosunkowo duże stężenia </w:t>
      </w:r>
      <w:proofErr w:type="spellStart"/>
      <w:r w:rsidRPr="00F25EBD">
        <w:rPr>
          <w:rFonts w:asciiTheme="majorHAnsi" w:hAnsiTheme="majorHAnsi" w:cstheme="majorHAnsi"/>
        </w:rPr>
        <w:t>benzo</w:t>
      </w:r>
      <w:proofErr w:type="spellEnd"/>
      <w:r w:rsidRPr="00F25EBD">
        <w:rPr>
          <w:rFonts w:asciiTheme="majorHAnsi" w:hAnsiTheme="majorHAnsi" w:cstheme="majorHAnsi"/>
        </w:rPr>
        <w:t>(a)</w:t>
      </w:r>
      <w:proofErr w:type="spellStart"/>
      <w:r w:rsidRPr="00F25EBD">
        <w:rPr>
          <w:rFonts w:asciiTheme="majorHAnsi" w:hAnsiTheme="majorHAnsi" w:cstheme="majorHAnsi"/>
        </w:rPr>
        <w:t>pirenu</w:t>
      </w:r>
      <w:proofErr w:type="spellEnd"/>
      <w:r w:rsidRPr="00F25EBD">
        <w:rPr>
          <w:rFonts w:asciiTheme="majorHAnsi" w:hAnsiTheme="majorHAnsi" w:cstheme="majorHAnsi"/>
        </w:rPr>
        <w:t xml:space="preserve"> mogą oznaczać oprócz spalania słabej jakości paliw stałych, wykorzystanie tworzyw sztucznych do ogrzewania gospodarstw domowych. </w:t>
      </w:r>
    </w:p>
    <w:p w14:paraId="5F23A5D4" w14:textId="77777777" w:rsidR="00EA2B5F" w:rsidRPr="00F25EBD" w:rsidRDefault="00EA2B5F" w:rsidP="008A3FED">
      <w:pPr>
        <w:spacing w:line="276" w:lineRule="auto"/>
        <w:jc w:val="both"/>
        <w:rPr>
          <w:rFonts w:asciiTheme="majorHAnsi" w:hAnsiTheme="majorHAnsi" w:cstheme="majorHAnsi"/>
        </w:rPr>
      </w:pPr>
      <w:r w:rsidRPr="00F25EBD">
        <w:rPr>
          <w:rFonts w:asciiTheme="majorHAnsi" w:hAnsiTheme="majorHAnsi" w:cstheme="majorHAnsi"/>
        </w:rPr>
        <w:t xml:space="preserve">Równie poważnym, co emisja zanieczyszczeń, zagrożeniem dla środowiska naturalnego są wytworzone przez człowieka odpady i stan gospodarki wodno-ściekowej. </w:t>
      </w:r>
    </w:p>
    <w:p w14:paraId="3B8FF49B" w14:textId="3B1380E8" w:rsidR="00EA2B5F" w:rsidRPr="00F25EBD" w:rsidRDefault="00EA2B5F" w:rsidP="008A3FED">
      <w:pPr>
        <w:spacing w:line="276" w:lineRule="auto"/>
        <w:jc w:val="both"/>
        <w:rPr>
          <w:rFonts w:asciiTheme="majorHAnsi" w:hAnsiTheme="majorHAnsi" w:cstheme="majorHAnsi"/>
        </w:rPr>
      </w:pPr>
      <w:r w:rsidRPr="00F25EBD">
        <w:rPr>
          <w:rFonts w:asciiTheme="majorHAnsi" w:hAnsiTheme="majorHAnsi" w:cstheme="majorHAnsi"/>
        </w:rPr>
        <w:t>W 2019</w:t>
      </w:r>
      <w:r w:rsidR="00F7062F">
        <w:rPr>
          <w:rFonts w:asciiTheme="majorHAnsi" w:hAnsiTheme="majorHAnsi" w:cstheme="majorHAnsi"/>
        </w:rPr>
        <w:t>r.</w:t>
      </w:r>
      <w:r w:rsidRPr="00F25EBD">
        <w:rPr>
          <w:rFonts w:asciiTheme="majorHAnsi" w:hAnsiTheme="majorHAnsi" w:cstheme="majorHAnsi"/>
        </w:rPr>
        <w:t xml:space="preserve"> każdy mieszkaniec Południowych Mazur wytworzył średnio 275 kg śmieci, przy czym najwięcej tego typu odpadów pojawiło się na terenie powiatu </w:t>
      </w:r>
      <w:proofErr w:type="spellStart"/>
      <w:r w:rsidRPr="00F25EBD">
        <w:rPr>
          <w:rFonts w:asciiTheme="majorHAnsi" w:hAnsiTheme="majorHAnsi" w:cstheme="majorHAnsi"/>
        </w:rPr>
        <w:t>piskiego</w:t>
      </w:r>
      <w:proofErr w:type="spellEnd"/>
      <w:r w:rsidRPr="00F25EBD">
        <w:rPr>
          <w:rFonts w:asciiTheme="majorHAnsi" w:hAnsiTheme="majorHAnsi" w:cstheme="majorHAnsi"/>
        </w:rPr>
        <w:t xml:space="preserve"> (350 kg na osobę), natomiast najmniej szczycieńskiego (234 kg na osobę). Suma odpadów komunalnych zebrana ogółem na terenie PM wyniosła 61.922,41 ton (co stanowiło 14,2% odpadów wygenerowanych w całym województwie). Zdecydowaną większość stanowiły tu odpady wytworzone przez gospodarstwa domowe, których udział w</w:t>
      </w:r>
      <w:r w:rsidR="007B04A7">
        <w:rPr>
          <w:rFonts w:asciiTheme="majorHAnsi" w:hAnsiTheme="majorHAnsi" w:cstheme="majorHAnsi"/>
        </w:rPr>
        <w:t xml:space="preserve"> </w:t>
      </w:r>
      <w:r w:rsidRPr="00F25EBD">
        <w:rPr>
          <w:rFonts w:asciiTheme="majorHAnsi" w:hAnsiTheme="majorHAnsi" w:cstheme="majorHAnsi"/>
        </w:rPr>
        <w:t>ogólnej masie śmieci zebranych na terenie PM w ciągu ostatnich trzech lat</w:t>
      </w:r>
      <w:r w:rsidRPr="00F25EBD">
        <w:rPr>
          <w:rStyle w:val="Odwoanieprzypisudolnego"/>
          <w:rFonts w:asciiTheme="majorHAnsi" w:hAnsiTheme="majorHAnsi" w:cstheme="majorHAnsi"/>
        </w:rPr>
        <w:footnoteReference w:id="13"/>
      </w:r>
      <w:r w:rsidRPr="00F25EBD">
        <w:rPr>
          <w:rFonts w:asciiTheme="majorHAnsi" w:hAnsiTheme="majorHAnsi" w:cstheme="majorHAnsi"/>
        </w:rPr>
        <w:t xml:space="preserve"> wyniósł odpowiednio: 81,9% w 2017</w:t>
      </w:r>
      <w:r w:rsidR="00F7062F">
        <w:rPr>
          <w:rFonts w:asciiTheme="majorHAnsi" w:hAnsiTheme="majorHAnsi" w:cstheme="majorHAnsi"/>
        </w:rPr>
        <w:t>r.</w:t>
      </w:r>
      <w:r w:rsidRPr="00F25EBD">
        <w:rPr>
          <w:rFonts w:asciiTheme="majorHAnsi" w:hAnsiTheme="majorHAnsi" w:cstheme="majorHAnsi"/>
        </w:rPr>
        <w:t>, 81,0% w 2018</w:t>
      </w:r>
      <w:r w:rsidR="00F7062F">
        <w:rPr>
          <w:rFonts w:asciiTheme="majorHAnsi" w:hAnsiTheme="majorHAnsi" w:cstheme="majorHAnsi"/>
        </w:rPr>
        <w:t>r.</w:t>
      </w:r>
      <w:r w:rsidRPr="00F25EBD">
        <w:rPr>
          <w:rFonts w:asciiTheme="majorHAnsi" w:hAnsiTheme="majorHAnsi" w:cstheme="majorHAnsi"/>
        </w:rPr>
        <w:t xml:space="preserve"> i 79,0% w 2019</w:t>
      </w:r>
      <w:r w:rsidR="00F7062F">
        <w:rPr>
          <w:rFonts w:asciiTheme="majorHAnsi" w:hAnsiTheme="majorHAnsi" w:cstheme="majorHAnsi"/>
        </w:rPr>
        <w:t>r.</w:t>
      </w:r>
    </w:p>
    <w:p w14:paraId="69AC5756" w14:textId="552B56BA" w:rsidR="00EA2B5F" w:rsidRPr="00F25EBD" w:rsidRDefault="00EA2B5F" w:rsidP="008A3FED">
      <w:pPr>
        <w:spacing w:line="276" w:lineRule="auto"/>
        <w:jc w:val="both"/>
        <w:rPr>
          <w:rFonts w:asciiTheme="majorHAnsi" w:hAnsiTheme="majorHAnsi" w:cstheme="majorHAnsi"/>
        </w:rPr>
      </w:pPr>
      <w:r w:rsidRPr="00F25EBD">
        <w:rPr>
          <w:rFonts w:asciiTheme="majorHAnsi" w:hAnsiTheme="majorHAnsi" w:cstheme="majorHAnsi"/>
        </w:rPr>
        <w:t>Jedną z form ratowania środowiska naturalnego przed niekontrolowanym zalewem odpadów wytworzonych przez człowieka jest próba ich ponownego przetworzenia, a pierwszym krokiem w tym kierunku</w:t>
      </w:r>
      <w:r w:rsidR="00336D76" w:rsidRPr="00F25EBD">
        <w:rPr>
          <w:rFonts w:asciiTheme="majorHAnsi" w:hAnsiTheme="majorHAnsi" w:cstheme="majorHAnsi"/>
        </w:rPr>
        <w:t xml:space="preserve"> </w:t>
      </w:r>
      <w:r w:rsidR="00642DFD">
        <w:rPr>
          <w:rFonts w:asciiTheme="majorHAnsi" w:hAnsiTheme="majorHAnsi" w:cstheme="majorHAnsi"/>
        </w:rPr>
        <w:t>–</w:t>
      </w:r>
      <w:r w:rsidR="00336D76" w:rsidRPr="00F25EBD">
        <w:rPr>
          <w:rFonts w:asciiTheme="majorHAnsi" w:hAnsiTheme="majorHAnsi" w:cstheme="majorHAnsi"/>
        </w:rPr>
        <w:t xml:space="preserve"> </w:t>
      </w:r>
      <w:r w:rsidRPr="00F25EBD">
        <w:rPr>
          <w:rFonts w:asciiTheme="majorHAnsi" w:hAnsiTheme="majorHAnsi" w:cstheme="majorHAnsi"/>
        </w:rPr>
        <w:t>wprowadzenie selektywnej zbiórki odpadów. Na tym polu sytuacja poszczególnych powiatów Południowych Mazur była bardzo zróżnicowana. Najwyższy odsetek odpadów zebranych w</w:t>
      </w:r>
      <w:r w:rsidR="007B04A7">
        <w:rPr>
          <w:rFonts w:asciiTheme="majorHAnsi" w:hAnsiTheme="majorHAnsi" w:cstheme="majorHAnsi"/>
        </w:rPr>
        <w:t xml:space="preserve"> </w:t>
      </w:r>
      <w:r w:rsidRPr="00F25EBD">
        <w:rPr>
          <w:rFonts w:asciiTheme="majorHAnsi" w:hAnsiTheme="majorHAnsi" w:cstheme="majorHAnsi"/>
        </w:rPr>
        <w:t>ten sposób w relacji do ogółu odpadów odnotowano w 2019</w:t>
      </w:r>
      <w:r w:rsidR="00F7062F">
        <w:rPr>
          <w:rFonts w:asciiTheme="majorHAnsi" w:hAnsiTheme="majorHAnsi" w:cstheme="majorHAnsi"/>
        </w:rPr>
        <w:t>r.</w:t>
      </w:r>
      <w:r w:rsidRPr="00F25EBD">
        <w:rPr>
          <w:rFonts w:asciiTheme="majorHAnsi" w:hAnsiTheme="majorHAnsi" w:cstheme="majorHAnsi"/>
        </w:rPr>
        <w:t xml:space="preserve"> w powiecie działdowskim (53,9% przy średniej wojewódzkiej wynoszącej 22,1%), natomiast najniższy w </w:t>
      </w:r>
      <w:proofErr w:type="spellStart"/>
      <w:r w:rsidRPr="00F25EBD">
        <w:rPr>
          <w:rFonts w:asciiTheme="majorHAnsi" w:hAnsiTheme="majorHAnsi" w:cstheme="majorHAnsi"/>
        </w:rPr>
        <w:t>piskim</w:t>
      </w:r>
      <w:proofErr w:type="spellEnd"/>
      <w:r w:rsidRPr="00F25EBD">
        <w:rPr>
          <w:rFonts w:asciiTheme="majorHAnsi" w:hAnsiTheme="majorHAnsi" w:cstheme="majorHAnsi"/>
        </w:rPr>
        <w:t xml:space="preserve"> (14,5%). Pomimo występujących różnic, wspólnym mianownikiem analizowanych samorządów był systematyczny wzrost odsetka segregowanych śmieci. Na przestrzeni ostatnich trzech lat zwiększył się on o 8 pkt. proc. w powiecie szczycieńskim, 6,1 pkt. proc. w </w:t>
      </w:r>
      <w:proofErr w:type="spellStart"/>
      <w:r w:rsidRPr="00F25EBD">
        <w:rPr>
          <w:rFonts w:asciiTheme="majorHAnsi" w:hAnsiTheme="majorHAnsi" w:cstheme="majorHAnsi"/>
        </w:rPr>
        <w:t>piskim</w:t>
      </w:r>
      <w:proofErr w:type="spellEnd"/>
      <w:r w:rsidRPr="00F25EBD">
        <w:rPr>
          <w:rFonts w:asciiTheme="majorHAnsi" w:hAnsiTheme="majorHAnsi" w:cstheme="majorHAnsi"/>
        </w:rPr>
        <w:t>, 3,5 pkt. proc. w nidzickim i 1,7 pkt. proc. w</w:t>
      </w:r>
      <w:r w:rsidR="007B04A7">
        <w:rPr>
          <w:rFonts w:asciiTheme="majorHAnsi" w:hAnsiTheme="majorHAnsi" w:cstheme="majorHAnsi"/>
        </w:rPr>
        <w:t xml:space="preserve"> </w:t>
      </w:r>
      <w:r w:rsidRPr="00F25EBD">
        <w:rPr>
          <w:rFonts w:asciiTheme="majorHAnsi" w:hAnsiTheme="majorHAnsi" w:cstheme="majorHAnsi"/>
        </w:rPr>
        <w:t>działdowskim.</w:t>
      </w:r>
    </w:p>
    <w:p w14:paraId="662D8AD4" w14:textId="77777777" w:rsidR="00EA2B5F" w:rsidRPr="00F25EBD" w:rsidRDefault="00EA2B5F" w:rsidP="008A3FED">
      <w:pPr>
        <w:spacing w:line="276" w:lineRule="auto"/>
        <w:jc w:val="both"/>
        <w:rPr>
          <w:rFonts w:asciiTheme="majorHAnsi" w:hAnsiTheme="majorHAnsi" w:cstheme="majorHAnsi"/>
        </w:rPr>
      </w:pPr>
      <w:r w:rsidRPr="00F25EBD">
        <w:rPr>
          <w:rFonts w:asciiTheme="majorHAnsi" w:hAnsiTheme="majorHAnsi" w:cstheme="majorHAnsi"/>
        </w:rPr>
        <w:t xml:space="preserve">W ramach gospodarki wodno-ściekowej rozpatrywana jest m.in. wielkość poboru wody oraz sprawność systemu oczyszczania ścieków. </w:t>
      </w:r>
    </w:p>
    <w:p w14:paraId="6C79B530" w14:textId="79C87C98" w:rsidR="00EA2B5F" w:rsidRPr="00F25EBD" w:rsidRDefault="00EA2B5F" w:rsidP="008A3FED">
      <w:pPr>
        <w:spacing w:line="276" w:lineRule="auto"/>
        <w:jc w:val="both"/>
        <w:rPr>
          <w:rFonts w:asciiTheme="majorHAnsi" w:hAnsiTheme="majorHAnsi" w:cstheme="majorHAnsi"/>
        </w:rPr>
      </w:pPr>
      <w:r w:rsidRPr="00F25EBD">
        <w:rPr>
          <w:rFonts w:asciiTheme="majorHAnsi" w:hAnsiTheme="majorHAnsi" w:cstheme="majorHAnsi"/>
        </w:rPr>
        <w:t>Zużycie wody na terenie Południowych Mazur podlegało w ciągu ostatnich dziewięciu lat wahaniom, osiągając wartość maksymalną w 2010</w:t>
      </w:r>
      <w:r w:rsidR="00F7062F">
        <w:rPr>
          <w:rFonts w:asciiTheme="majorHAnsi" w:hAnsiTheme="majorHAnsi" w:cstheme="majorHAnsi"/>
        </w:rPr>
        <w:t>r.</w:t>
      </w:r>
      <w:r w:rsidRPr="00F25EBD">
        <w:rPr>
          <w:rFonts w:asciiTheme="majorHAnsi" w:hAnsiTheme="majorHAnsi" w:cstheme="majorHAnsi"/>
        </w:rPr>
        <w:t xml:space="preserve"> (15.656,4 dam</w:t>
      </w:r>
      <w:r w:rsidRPr="00F25EBD">
        <w:rPr>
          <w:rFonts w:asciiTheme="majorHAnsi" w:hAnsiTheme="majorHAnsi" w:cstheme="majorHAnsi"/>
          <w:vertAlign w:val="superscript"/>
        </w:rPr>
        <w:t>3</w:t>
      </w:r>
      <w:r w:rsidRPr="00F25EBD">
        <w:rPr>
          <w:rFonts w:asciiTheme="majorHAnsi" w:hAnsiTheme="majorHAnsi" w:cstheme="majorHAnsi"/>
        </w:rPr>
        <w:t>) i minimalną w 2019</w:t>
      </w:r>
      <w:r w:rsidR="00F7062F">
        <w:rPr>
          <w:rFonts w:asciiTheme="majorHAnsi" w:hAnsiTheme="majorHAnsi" w:cstheme="majorHAnsi"/>
        </w:rPr>
        <w:t>r.</w:t>
      </w:r>
      <w:r w:rsidRPr="00F25EBD">
        <w:rPr>
          <w:rFonts w:asciiTheme="majorHAnsi" w:hAnsiTheme="majorHAnsi" w:cstheme="majorHAnsi"/>
        </w:rPr>
        <w:t xml:space="preserve"> (12.187,8 dam</w:t>
      </w:r>
      <w:r w:rsidRPr="00F25EBD">
        <w:rPr>
          <w:rFonts w:asciiTheme="majorHAnsi" w:hAnsiTheme="majorHAnsi" w:cstheme="majorHAnsi"/>
          <w:vertAlign w:val="superscript"/>
        </w:rPr>
        <w:t>3</w:t>
      </w:r>
      <w:r w:rsidRPr="00F25EBD">
        <w:rPr>
          <w:rFonts w:asciiTheme="majorHAnsi" w:hAnsiTheme="majorHAnsi" w:cstheme="majorHAnsi"/>
        </w:rPr>
        <w:t>). Różnica wynosząca 3.468,6 dam</w:t>
      </w:r>
      <w:r w:rsidRPr="00F25EBD">
        <w:rPr>
          <w:rFonts w:asciiTheme="majorHAnsi" w:hAnsiTheme="majorHAnsi" w:cstheme="majorHAnsi"/>
          <w:vertAlign w:val="superscript"/>
        </w:rPr>
        <w:t>3</w:t>
      </w:r>
      <w:r w:rsidRPr="00F25EBD">
        <w:rPr>
          <w:rFonts w:asciiTheme="majorHAnsi" w:hAnsiTheme="majorHAnsi" w:cstheme="majorHAnsi"/>
        </w:rPr>
        <w:t xml:space="preserve"> to z jednej strony efekt rzeczywistego ograniczenia wykorzystania tego zasobu o czym świadczą indeksy jednopodstawowe</w:t>
      </w:r>
      <w:r w:rsidRPr="00F25EBD">
        <w:rPr>
          <w:rStyle w:val="Odwoanieprzypisudolnego"/>
          <w:rFonts w:asciiTheme="majorHAnsi" w:hAnsiTheme="majorHAnsi" w:cstheme="majorHAnsi"/>
        </w:rPr>
        <w:footnoteReference w:id="14"/>
      </w:r>
      <w:r w:rsidRPr="00F25EBD">
        <w:rPr>
          <w:rFonts w:asciiTheme="majorHAnsi" w:hAnsiTheme="majorHAnsi" w:cstheme="majorHAnsi"/>
        </w:rPr>
        <w:t xml:space="preserve"> zużycia wody 2019/2010 wyznaczone dla poszczególnych powiatów. Pokazują one, m.in. że przemysł zlokalizowany na terenie powiatu nidzickiego zużył w 2019</w:t>
      </w:r>
      <w:r w:rsidR="00F7062F">
        <w:rPr>
          <w:rFonts w:asciiTheme="majorHAnsi" w:hAnsiTheme="majorHAnsi" w:cstheme="majorHAnsi"/>
        </w:rPr>
        <w:t>r.</w:t>
      </w:r>
      <w:r w:rsidRPr="00F25EBD">
        <w:rPr>
          <w:rFonts w:asciiTheme="majorHAnsi" w:hAnsiTheme="majorHAnsi" w:cstheme="majorHAnsi"/>
        </w:rPr>
        <w:t xml:space="preserve"> o 76,4% wody mniej niż w 2010</w:t>
      </w:r>
      <w:r w:rsidR="00F7062F">
        <w:rPr>
          <w:rFonts w:asciiTheme="majorHAnsi" w:hAnsiTheme="majorHAnsi" w:cstheme="majorHAnsi"/>
        </w:rPr>
        <w:t>r.</w:t>
      </w:r>
      <w:r w:rsidRPr="00F25EBD">
        <w:rPr>
          <w:rFonts w:asciiTheme="majorHAnsi" w:hAnsiTheme="majorHAnsi" w:cstheme="majorHAnsi"/>
        </w:rPr>
        <w:t>, na obszarze powiatu działdowskiego o</w:t>
      </w:r>
      <w:r w:rsidR="007B04A7">
        <w:rPr>
          <w:rFonts w:asciiTheme="majorHAnsi" w:hAnsiTheme="majorHAnsi" w:cstheme="majorHAnsi"/>
        </w:rPr>
        <w:t xml:space="preserve"> </w:t>
      </w:r>
      <w:r w:rsidRPr="00F25EBD">
        <w:rPr>
          <w:rFonts w:asciiTheme="majorHAnsi" w:hAnsiTheme="majorHAnsi" w:cstheme="majorHAnsi"/>
        </w:rPr>
        <w:t>52,1%, a redukcja zużycia wody na potrzeby rolnictwa i leśnictwa w powiecie szczycieńskim wyniosła 98,6%. Jednak z drugiej strony należy mieć na uwadze, że wielkość różnicy została zniekształcona niekompletnością danych udostępnianych przez GUS. Szczególnie chodzi tu o</w:t>
      </w:r>
      <w:r w:rsidR="007B04A7">
        <w:rPr>
          <w:rFonts w:asciiTheme="majorHAnsi" w:hAnsiTheme="majorHAnsi" w:cstheme="majorHAnsi"/>
        </w:rPr>
        <w:t xml:space="preserve"> </w:t>
      </w:r>
      <w:r w:rsidRPr="00F25EBD">
        <w:rPr>
          <w:rFonts w:asciiTheme="majorHAnsi" w:hAnsiTheme="majorHAnsi" w:cstheme="majorHAnsi"/>
        </w:rPr>
        <w:t>wykazany w 2019</w:t>
      </w:r>
      <w:r w:rsidR="00F7062F">
        <w:rPr>
          <w:rFonts w:asciiTheme="majorHAnsi" w:hAnsiTheme="majorHAnsi" w:cstheme="majorHAnsi"/>
        </w:rPr>
        <w:t>r.</w:t>
      </w:r>
      <w:r w:rsidRPr="00F25EBD">
        <w:rPr>
          <w:rFonts w:asciiTheme="majorHAnsi" w:hAnsiTheme="majorHAnsi" w:cstheme="majorHAnsi"/>
        </w:rPr>
        <w:t xml:space="preserve"> zerowy poziom wykorzystania wody przez rolnictwo i leśnictwo z powiatu nidzickiego, w efekcie czego raportowane przez GUS wykorzystanie wody w przeliczeniu na mieszkańca zmniejszyło się tu w latach 2010-2019 aż o 64,5%, podczas gdy w pozostałych jednostkach zmiany te mieściły się w przedziale +/- 10%.</w:t>
      </w:r>
    </w:p>
    <w:p w14:paraId="00815FE2" w14:textId="6DB55B4E" w:rsidR="00EA2B5F" w:rsidRPr="00F25EBD" w:rsidRDefault="00EA2B5F" w:rsidP="008A3FED">
      <w:pPr>
        <w:spacing w:line="276" w:lineRule="auto"/>
        <w:jc w:val="both"/>
        <w:rPr>
          <w:rFonts w:asciiTheme="majorHAnsi" w:eastAsia="Times New Roman" w:hAnsiTheme="majorHAnsi" w:cstheme="majorHAnsi"/>
          <w:lang w:eastAsia="pl-PL"/>
        </w:rPr>
      </w:pPr>
      <w:r w:rsidRPr="00F25EBD">
        <w:rPr>
          <w:rFonts w:asciiTheme="majorHAnsi" w:hAnsiTheme="majorHAnsi" w:cstheme="majorHAnsi"/>
        </w:rPr>
        <w:t>Gospodarstwa domowe i podmioty gospodarki narodowej wpływają na zasoby wodne nie tylko poprzez użytkowanie wody, ale również emitując ścieki o różnym stopniu oczyszczenia. Z punktu widzenia ochrony przyrody sytuacja Południowych Mazur była bardzo korzystna bowiem w 2019</w:t>
      </w:r>
      <w:r w:rsidR="00F7062F">
        <w:rPr>
          <w:rFonts w:asciiTheme="majorHAnsi" w:hAnsiTheme="majorHAnsi" w:cstheme="majorHAnsi"/>
        </w:rPr>
        <w:t>r.</w:t>
      </w:r>
      <w:r w:rsidRPr="00F25EBD">
        <w:rPr>
          <w:rFonts w:asciiTheme="majorHAnsi" w:hAnsiTheme="majorHAnsi" w:cstheme="majorHAnsi"/>
        </w:rPr>
        <w:t xml:space="preserve"> 100% wytworzonych tu ścieków podlegało oczyszczaniu (w skali województwa odsetek ten wyniósł 93,6%). Zdecydowaną większość stanowiły ścieki komunalne, których w latach 2010-2019 wytworzono średnio 107,87 dam</w:t>
      </w:r>
      <w:r w:rsidRPr="00F25EBD">
        <w:rPr>
          <w:rFonts w:asciiTheme="majorHAnsi" w:hAnsiTheme="majorHAnsi" w:cstheme="majorHAnsi"/>
          <w:vertAlign w:val="superscript"/>
        </w:rPr>
        <w:t>3</w:t>
      </w:r>
      <w:r w:rsidRPr="00F25EBD">
        <w:rPr>
          <w:rFonts w:asciiTheme="majorHAnsi" w:hAnsiTheme="majorHAnsi" w:cstheme="majorHAnsi"/>
        </w:rPr>
        <w:t>/100 km</w:t>
      </w:r>
      <w:r w:rsidRPr="00F25EBD">
        <w:rPr>
          <w:rFonts w:asciiTheme="majorHAnsi" w:hAnsiTheme="majorHAnsi" w:cstheme="majorHAnsi"/>
          <w:vertAlign w:val="superscript"/>
        </w:rPr>
        <w:t>2</w:t>
      </w:r>
      <w:r w:rsidRPr="00F25EBD">
        <w:rPr>
          <w:rFonts w:asciiTheme="majorHAnsi" w:hAnsiTheme="majorHAnsi" w:cstheme="majorHAnsi"/>
        </w:rPr>
        <w:t xml:space="preserve"> (w województwie 191,62 dam</w:t>
      </w:r>
      <w:r w:rsidRPr="00F25EBD">
        <w:rPr>
          <w:rFonts w:asciiTheme="majorHAnsi" w:hAnsiTheme="majorHAnsi" w:cstheme="majorHAnsi"/>
          <w:vertAlign w:val="superscript"/>
        </w:rPr>
        <w:t>3</w:t>
      </w:r>
      <w:r w:rsidRPr="00F25EBD">
        <w:rPr>
          <w:rFonts w:asciiTheme="majorHAnsi" w:hAnsiTheme="majorHAnsi" w:cstheme="majorHAnsi"/>
        </w:rPr>
        <w:t>/100 km</w:t>
      </w:r>
      <w:r w:rsidRPr="00F25EBD">
        <w:rPr>
          <w:rFonts w:asciiTheme="majorHAnsi" w:hAnsiTheme="majorHAnsi" w:cstheme="majorHAnsi"/>
          <w:vertAlign w:val="superscript"/>
        </w:rPr>
        <w:t>2</w:t>
      </w:r>
      <w:r w:rsidRPr="00F25EBD">
        <w:rPr>
          <w:rFonts w:asciiTheme="majorHAnsi" w:hAnsiTheme="majorHAnsi" w:cstheme="majorHAnsi"/>
        </w:rPr>
        <w:t>). W każdym analizowanym roku największa ich ilość występowała w powiecie działdowskim (średnio 185,63 dam</w:t>
      </w:r>
      <w:r w:rsidRPr="00F25EBD">
        <w:rPr>
          <w:rFonts w:asciiTheme="majorHAnsi" w:hAnsiTheme="majorHAnsi" w:cstheme="majorHAnsi"/>
          <w:vertAlign w:val="superscript"/>
        </w:rPr>
        <w:t>3</w:t>
      </w:r>
      <w:r w:rsidRPr="00F25EBD">
        <w:rPr>
          <w:rFonts w:asciiTheme="majorHAnsi" w:hAnsiTheme="majorHAnsi" w:cstheme="majorHAnsi"/>
        </w:rPr>
        <w:t>/100 km</w:t>
      </w:r>
      <w:r w:rsidRPr="00F25EBD">
        <w:rPr>
          <w:rFonts w:asciiTheme="majorHAnsi" w:hAnsiTheme="majorHAnsi" w:cstheme="majorHAnsi"/>
          <w:vertAlign w:val="superscript"/>
        </w:rPr>
        <w:t>2</w:t>
      </w:r>
      <w:r w:rsidRPr="00F25EBD">
        <w:rPr>
          <w:rFonts w:asciiTheme="majorHAnsi" w:hAnsiTheme="majorHAnsi" w:cstheme="majorHAnsi"/>
        </w:rPr>
        <w:t xml:space="preserve">), natomiast najmniejsza w nidzickim (średnio </w:t>
      </w:r>
      <w:r w:rsidRPr="00F25EBD">
        <w:rPr>
          <w:rFonts w:asciiTheme="majorHAnsi" w:eastAsia="Times New Roman" w:hAnsiTheme="majorHAnsi" w:cstheme="majorHAnsi"/>
          <w:lang w:eastAsia="pl-PL"/>
        </w:rPr>
        <w:t xml:space="preserve">73,61 </w:t>
      </w:r>
      <w:r w:rsidRPr="00F25EBD">
        <w:rPr>
          <w:rFonts w:asciiTheme="majorHAnsi" w:hAnsiTheme="majorHAnsi" w:cstheme="majorHAnsi"/>
        </w:rPr>
        <w:t>dam</w:t>
      </w:r>
      <w:r w:rsidRPr="00F25EBD">
        <w:rPr>
          <w:rFonts w:asciiTheme="majorHAnsi" w:hAnsiTheme="majorHAnsi" w:cstheme="majorHAnsi"/>
          <w:vertAlign w:val="superscript"/>
        </w:rPr>
        <w:t>3</w:t>
      </w:r>
      <w:r w:rsidRPr="00F25EBD">
        <w:rPr>
          <w:rFonts w:asciiTheme="majorHAnsi" w:hAnsiTheme="majorHAnsi" w:cstheme="majorHAnsi"/>
        </w:rPr>
        <w:t>/100 km</w:t>
      </w:r>
      <w:r w:rsidRPr="00F25EBD">
        <w:rPr>
          <w:rFonts w:asciiTheme="majorHAnsi" w:hAnsiTheme="majorHAnsi" w:cstheme="majorHAnsi"/>
          <w:vertAlign w:val="superscript"/>
        </w:rPr>
        <w:t>2</w:t>
      </w:r>
      <w:r w:rsidRPr="00F25EBD">
        <w:rPr>
          <w:rFonts w:asciiTheme="majorHAnsi" w:hAnsiTheme="majorHAnsi" w:cstheme="majorHAnsi"/>
        </w:rPr>
        <w:t xml:space="preserve">). </w:t>
      </w:r>
    </w:p>
    <w:p w14:paraId="2DD468BE" w14:textId="71B21587" w:rsidR="00EA2B5F" w:rsidRPr="00F25EBD" w:rsidRDefault="00EA2B5F" w:rsidP="008A3FED">
      <w:pPr>
        <w:spacing w:line="276" w:lineRule="auto"/>
        <w:jc w:val="both"/>
        <w:rPr>
          <w:rFonts w:asciiTheme="majorHAnsi" w:hAnsiTheme="majorHAnsi" w:cstheme="majorHAnsi"/>
        </w:rPr>
      </w:pPr>
      <w:r w:rsidRPr="00F25EBD">
        <w:rPr>
          <w:rFonts w:asciiTheme="majorHAnsi" w:hAnsiTheme="majorHAnsi" w:cstheme="majorHAnsi"/>
        </w:rPr>
        <w:t>Wyrazem troski o środowisko naturalne jest tworzenie i funkcjonowanie różnych form ochrony przyrody, w tym: parków narodowych, rezerwatów przyrody, parków krajobrazowych, obszarów chronionego krajobrazu, obszarów Natura 2000, pomników przyrody, stanowisk dokumentacyjnych, użytków ekologicznych, zespołów przyrodniczo-krajobrazowych, ochrony gatunkowej roślin, zwierząt i</w:t>
      </w:r>
      <w:r w:rsidR="007B7167">
        <w:rPr>
          <w:rFonts w:asciiTheme="majorHAnsi" w:hAnsiTheme="majorHAnsi" w:cstheme="majorHAnsi"/>
        </w:rPr>
        <w:t> </w:t>
      </w:r>
      <w:r w:rsidRPr="00F25EBD">
        <w:rPr>
          <w:rFonts w:asciiTheme="majorHAnsi" w:hAnsiTheme="majorHAnsi" w:cstheme="majorHAnsi"/>
        </w:rPr>
        <w:t>grzybów. Każda z tych form spełnia inną rolę w polskim systemie ochrony przyrody i służy innym celom, dlatego charakteryzuje się odmiennym reżimem ochronnym oraz zakresem ograniczeń w</w:t>
      </w:r>
      <w:r w:rsidR="007B04A7">
        <w:rPr>
          <w:rFonts w:asciiTheme="majorHAnsi" w:hAnsiTheme="majorHAnsi" w:cstheme="majorHAnsi"/>
        </w:rPr>
        <w:t xml:space="preserve"> </w:t>
      </w:r>
      <w:r w:rsidRPr="00F25EBD">
        <w:rPr>
          <w:rFonts w:asciiTheme="majorHAnsi" w:hAnsiTheme="majorHAnsi" w:cstheme="majorHAnsi"/>
        </w:rPr>
        <w:t>użytkowaniu.</w:t>
      </w:r>
    </w:p>
    <w:p w14:paraId="7E29F621" w14:textId="07BEDA7A" w:rsidR="00EA2B5F" w:rsidRPr="00F25EBD" w:rsidRDefault="00EA2B5F" w:rsidP="008A3FED">
      <w:pPr>
        <w:spacing w:line="276" w:lineRule="auto"/>
        <w:jc w:val="both"/>
        <w:rPr>
          <w:rFonts w:asciiTheme="majorHAnsi" w:hAnsiTheme="majorHAnsi" w:cstheme="majorHAnsi"/>
        </w:rPr>
      </w:pPr>
      <w:r w:rsidRPr="00F25EBD">
        <w:rPr>
          <w:rFonts w:asciiTheme="majorHAnsi" w:hAnsiTheme="majorHAnsi" w:cstheme="majorHAnsi"/>
        </w:rPr>
        <w:t>Na tle kraju i województwa Południowe Mazury wyróżniają się odsetkiem obszarów prawnie chronionych</w:t>
      </w:r>
      <w:r w:rsidR="00336D76" w:rsidRPr="00F25EBD">
        <w:rPr>
          <w:rFonts w:asciiTheme="majorHAnsi" w:hAnsiTheme="majorHAnsi" w:cstheme="majorHAnsi"/>
        </w:rPr>
        <w:t xml:space="preserve"> </w:t>
      </w:r>
      <w:r w:rsidR="00642DFD">
        <w:rPr>
          <w:rFonts w:asciiTheme="majorHAnsi" w:hAnsiTheme="majorHAnsi" w:cstheme="majorHAnsi"/>
        </w:rPr>
        <w:t>–</w:t>
      </w:r>
      <w:r w:rsidR="00336D76" w:rsidRPr="00F25EBD">
        <w:rPr>
          <w:rFonts w:asciiTheme="majorHAnsi" w:hAnsiTheme="majorHAnsi" w:cstheme="majorHAnsi"/>
        </w:rPr>
        <w:t xml:space="preserve"> </w:t>
      </w:r>
      <w:r w:rsidRPr="00F25EBD">
        <w:rPr>
          <w:rFonts w:asciiTheme="majorHAnsi" w:hAnsiTheme="majorHAnsi" w:cstheme="majorHAnsi"/>
        </w:rPr>
        <w:t>w 2019</w:t>
      </w:r>
      <w:r w:rsidR="00F7062F">
        <w:rPr>
          <w:rFonts w:asciiTheme="majorHAnsi" w:hAnsiTheme="majorHAnsi" w:cstheme="majorHAnsi"/>
        </w:rPr>
        <w:t>r.</w:t>
      </w:r>
      <w:r w:rsidRPr="00F25EBD">
        <w:rPr>
          <w:rFonts w:asciiTheme="majorHAnsi" w:hAnsiTheme="majorHAnsi" w:cstheme="majorHAnsi"/>
        </w:rPr>
        <w:t xml:space="preserve"> ich udział w powierzchni ogółem wyniósł średnio 49,0%, podczas gdy w</w:t>
      </w:r>
      <w:r w:rsidR="007B04A7">
        <w:rPr>
          <w:rFonts w:asciiTheme="majorHAnsi" w:hAnsiTheme="majorHAnsi" w:cstheme="majorHAnsi"/>
        </w:rPr>
        <w:t xml:space="preserve"> </w:t>
      </w:r>
      <w:r w:rsidRPr="00F25EBD">
        <w:rPr>
          <w:rFonts w:asciiTheme="majorHAnsi" w:hAnsiTheme="majorHAnsi" w:cstheme="majorHAnsi"/>
        </w:rPr>
        <w:t>województwie 46,7%, a w skali kraju 32,3%.</w:t>
      </w:r>
    </w:p>
    <w:p w14:paraId="2C9F8A5D" w14:textId="2D3A75BD" w:rsidR="008A3FED" w:rsidRDefault="00EA2B5F" w:rsidP="008A3FED">
      <w:pPr>
        <w:spacing w:line="276" w:lineRule="auto"/>
        <w:jc w:val="both"/>
        <w:rPr>
          <w:rFonts w:asciiTheme="majorHAnsi" w:hAnsiTheme="majorHAnsi" w:cstheme="majorHAnsi"/>
        </w:rPr>
      </w:pPr>
      <w:r w:rsidRPr="00F25EBD">
        <w:rPr>
          <w:rFonts w:asciiTheme="majorHAnsi" w:hAnsiTheme="majorHAnsi" w:cstheme="majorHAnsi"/>
        </w:rPr>
        <w:t>Szczegółowe zestawienie form ochrony przyrody w powiatach Połud</w:t>
      </w:r>
      <w:r w:rsidR="0060383F">
        <w:rPr>
          <w:rFonts w:asciiTheme="majorHAnsi" w:hAnsiTheme="majorHAnsi" w:cstheme="majorHAnsi"/>
        </w:rPr>
        <w:t>niowych Mazur zestawione jest w </w:t>
      </w:r>
      <w:r w:rsidRPr="00F25EBD">
        <w:rPr>
          <w:rFonts w:asciiTheme="majorHAnsi" w:hAnsiTheme="majorHAnsi" w:cstheme="majorHAnsi"/>
        </w:rPr>
        <w:t>poniższej tabeli.</w:t>
      </w:r>
    </w:p>
    <w:p w14:paraId="30E1C417" w14:textId="2E717431" w:rsidR="00EA2B5F" w:rsidRPr="00F25EBD" w:rsidRDefault="00EA2B5F" w:rsidP="000E5B5A">
      <w:pPr>
        <w:pStyle w:val="nad"/>
      </w:pPr>
      <w:bookmarkStart w:id="20" w:name="_Toc81300530"/>
      <w:r w:rsidRPr="00F25EBD">
        <w:t xml:space="preserve">Tabela </w:t>
      </w:r>
      <w:r w:rsidRPr="00F25EBD">
        <w:rPr>
          <w:noProof/>
        </w:rPr>
        <w:fldChar w:fldCharType="begin"/>
      </w:r>
      <w:r w:rsidRPr="00F25EBD">
        <w:rPr>
          <w:noProof/>
        </w:rPr>
        <w:instrText xml:space="preserve"> SEQ Tabela \* ARABIC </w:instrText>
      </w:r>
      <w:r w:rsidRPr="00F25EBD">
        <w:rPr>
          <w:noProof/>
        </w:rPr>
        <w:fldChar w:fldCharType="separate"/>
      </w:r>
      <w:r w:rsidR="006C7815">
        <w:rPr>
          <w:noProof/>
        </w:rPr>
        <w:t>4</w:t>
      </w:r>
      <w:r w:rsidRPr="00F25EBD">
        <w:rPr>
          <w:noProof/>
        </w:rPr>
        <w:fldChar w:fldCharType="end"/>
      </w:r>
      <w:r w:rsidRPr="00F25EBD">
        <w:t>. Formy ochrony przyrody na terenie powiatów Południowych Mazur (2019</w:t>
      </w:r>
      <w:r w:rsidR="00F7062F">
        <w:t>r.</w:t>
      </w:r>
      <w:r w:rsidRPr="00F25EBD">
        <w:t>)</w:t>
      </w:r>
      <w:bookmarkEnd w:id="20"/>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496"/>
        <w:gridCol w:w="1382"/>
        <w:gridCol w:w="1106"/>
        <w:gridCol w:w="1014"/>
        <w:gridCol w:w="968"/>
        <w:gridCol w:w="1106"/>
      </w:tblGrid>
      <w:tr w:rsidR="0060383F" w:rsidRPr="0060383F" w14:paraId="50CC0BC4" w14:textId="77777777" w:rsidTr="0060383F">
        <w:trPr>
          <w:trHeight w:val="288"/>
          <w:jc w:val="center"/>
        </w:trPr>
        <w:tc>
          <w:tcPr>
            <w:tcW w:w="3592" w:type="dxa"/>
            <w:tcBorders>
              <w:top w:val="single" w:sz="4" w:space="0" w:color="FFFFFF" w:themeColor="background1"/>
              <w:left w:val="single" w:sz="4" w:space="0" w:color="FFFFFF" w:themeColor="background1"/>
              <w:bottom w:val="nil"/>
              <w:right w:val="single" w:sz="4" w:space="0" w:color="FFFFFF" w:themeColor="background1"/>
            </w:tcBorders>
            <w:shd w:val="clear" w:color="auto" w:fill="92D050"/>
            <w:vAlign w:val="center"/>
            <w:hideMark/>
          </w:tcPr>
          <w:p w14:paraId="602C7002" w14:textId="77777777" w:rsidR="00EA2B5F" w:rsidRPr="0060383F" w:rsidRDefault="00EA2B5F" w:rsidP="0060383F">
            <w:pPr>
              <w:spacing w:after="0" w:line="240" w:lineRule="auto"/>
              <w:jc w:val="center"/>
              <w:rPr>
                <w:rFonts w:asciiTheme="majorHAnsi" w:eastAsia="Times New Roman" w:hAnsiTheme="majorHAnsi" w:cstheme="majorHAnsi"/>
                <w:color w:val="FFFFFF" w:themeColor="background1"/>
                <w:sz w:val="20"/>
                <w:szCs w:val="20"/>
                <w:lang w:eastAsia="pl-PL"/>
              </w:rPr>
            </w:pPr>
            <w:r w:rsidRPr="0060383F">
              <w:rPr>
                <w:rFonts w:asciiTheme="majorHAnsi" w:eastAsia="Times New Roman" w:hAnsiTheme="majorHAnsi" w:cstheme="majorHAnsi"/>
                <w:color w:val="FFFFFF" w:themeColor="background1"/>
                <w:sz w:val="20"/>
                <w:szCs w:val="20"/>
                <w:lang w:eastAsia="pl-PL"/>
              </w:rPr>
              <w:t>Nazwa</w:t>
            </w:r>
          </w:p>
        </w:tc>
        <w:tc>
          <w:tcPr>
            <w:tcW w:w="1418" w:type="dxa"/>
            <w:tcBorders>
              <w:top w:val="single" w:sz="4" w:space="0" w:color="FFFFFF" w:themeColor="background1"/>
              <w:left w:val="single" w:sz="4" w:space="0" w:color="FFFFFF" w:themeColor="background1"/>
              <w:bottom w:val="nil"/>
              <w:right w:val="single" w:sz="4" w:space="0" w:color="FFFFFF" w:themeColor="background1"/>
            </w:tcBorders>
            <w:shd w:val="clear" w:color="auto" w:fill="92D050"/>
            <w:noWrap/>
            <w:vAlign w:val="center"/>
            <w:hideMark/>
          </w:tcPr>
          <w:p w14:paraId="23D1EBC6" w14:textId="77777777" w:rsidR="00EA2B5F" w:rsidRPr="0060383F" w:rsidRDefault="00EA2B5F" w:rsidP="0060383F">
            <w:pPr>
              <w:spacing w:after="0" w:line="240" w:lineRule="auto"/>
              <w:jc w:val="center"/>
              <w:rPr>
                <w:rFonts w:asciiTheme="majorHAnsi" w:eastAsia="Times New Roman" w:hAnsiTheme="majorHAnsi" w:cstheme="majorHAnsi"/>
                <w:color w:val="FFFFFF" w:themeColor="background1"/>
                <w:sz w:val="20"/>
                <w:szCs w:val="20"/>
                <w:lang w:eastAsia="pl-PL"/>
              </w:rPr>
            </w:pPr>
            <w:r w:rsidRPr="0060383F">
              <w:rPr>
                <w:rFonts w:asciiTheme="majorHAnsi" w:eastAsia="Times New Roman" w:hAnsiTheme="majorHAnsi" w:cstheme="majorHAnsi"/>
                <w:color w:val="FFFFFF" w:themeColor="background1"/>
                <w:sz w:val="20"/>
                <w:szCs w:val="20"/>
                <w:lang w:eastAsia="pl-PL"/>
              </w:rPr>
              <w:t>Województwo</w:t>
            </w:r>
          </w:p>
        </w:tc>
        <w:tc>
          <w:tcPr>
            <w:tcW w:w="1134" w:type="dxa"/>
            <w:tcBorders>
              <w:top w:val="single" w:sz="4" w:space="0" w:color="FFFFFF" w:themeColor="background1"/>
              <w:left w:val="single" w:sz="4" w:space="0" w:color="FFFFFF" w:themeColor="background1"/>
              <w:bottom w:val="nil"/>
              <w:right w:val="single" w:sz="4" w:space="0" w:color="FFFFFF" w:themeColor="background1"/>
            </w:tcBorders>
            <w:shd w:val="clear" w:color="auto" w:fill="92D050"/>
            <w:noWrap/>
            <w:vAlign w:val="center"/>
            <w:hideMark/>
          </w:tcPr>
          <w:p w14:paraId="474EC5C0" w14:textId="77777777" w:rsidR="00EA2B5F" w:rsidRPr="0060383F" w:rsidRDefault="00EA2B5F" w:rsidP="0060383F">
            <w:pPr>
              <w:spacing w:after="0" w:line="240" w:lineRule="auto"/>
              <w:jc w:val="center"/>
              <w:rPr>
                <w:rFonts w:asciiTheme="majorHAnsi" w:eastAsia="Times New Roman" w:hAnsiTheme="majorHAnsi" w:cstheme="majorHAnsi"/>
                <w:color w:val="FFFFFF" w:themeColor="background1"/>
                <w:sz w:val="20"/>
                <w:szCs w:val="20"/>
                <w:lang w:eastAsia="pl-PL"/>
              </w:rPr>
            </w:pPr>
            <w:r w:rsidRPr="0060383F">
              <w:rPr>
                <w:rFonts w:asciiTheme="majorHAnsi" w:eastAsia="Times New Roman" w:hAnsiTheme="majorHAnsi" w:cstheme="majorHAnsi"/>
                <w:color w:val="FFFFFF" w:themeColor="background1"/>
                <w:sz w:val="20"/>
                <w:szCs w:val="20"/>
                <w:lang w:eastAsia="pl-PL"/>
              </w:rPr>
              <w:t>Powiat działdowski</w:t>
            </w:r>
          </w:p>
        </w:tc>
        <w:tc>
          <w:tcPr>
            <w:tcW w:w="1039" w:type="dxa"/>
            <w:tcBorders>
              <w:top w:val="single" w:sz="4" w:space="0" w:color="FFFFFF" w:themeColor="background1"/>
              <w:left w:val="single" w:sz="4" w:space="0" w:color="FFFFFF" w:themeColor="background1"/>
              <w:bottom w:val="nil"/>
              <w:right w:val="single" w:sz="4" w:space="0" w:color="FFFFFF" w:themeColor="background1"/>
            </w:tcBorders>
            <w:shd w:val="clear" w:color="auto" w:fill="92D050"/>
            <w:noWrap/>
            <w:vAlign w:val="center"/>
            <w:hideMark/>
          </w:tcPr>
          <w:p w14:paraId="340520C8" w14:textId="77777777" w:rsidR="00EA2B5F" w:rsidRPr="0060383F" w:rsidRDefault="00EA2B5F" w:rsidP="0060383F">
            <w:pPr>
              <w:spacing w:after="0" w:line="240" w:lineRule="auto"/>
              <w:jc w:val="center"/>
              <w:rPr>
                <w:rFonts w:asciiTheme="majorHAnsi" w:eastAsia="Times New Roman" w:hAnsiTheme="majorHAnsi" w:cstheme="majorHAnsi"/>
                <w:color w:val="FFFFFF" w:themeColor="background1"/>
                <w:sz w:val="20"/>
                <w:szCs w:val="20"/>
                <w:lang w:eastAsia="pl-PL"/>
              </w:rPr>
            </w:pPr>
            <w:r w:rsidRPr="0060383F">
              <w:rPr>
                <w:rFonts w:asciiTheme="majorHAnsi" w:eastAsia="Times New Roman" w:hAnsiTheme="majorHAnsi" w:cstheme="majorHAnsi"/>
                <w:color w:val="FFFFFF" w:themeColor="background1"/>
                <w:sz w:val="20"/>
                <w:szCs w:val="20"/>
                <w:lang w:eastAsia="pl-PL"/>
              </w:rPr>
              <w:t>Powiat nidzicki</w:t>
            </w:r>
          </w:p>
        </w:tc>
        <w:tc>
          <w:tcPr>
            <w:tcW w:w="992" w:type="dxa"/>
            <w:tcBorders>
              <w:top w:val="single" w:sz="4" w:space="0" w:color="FFFFFF" w:themeColor="background1"/>
              <w:left w:val="single" w:sz="4" w:space="0" w:color="FFFFFF" w:themeColor="background1"/>
              <w:bottom w:val="nil"/>
              <w:right w:val="single" w:sz="4" w:space="0" w:color="FFFFFF" w:themeColor="background1"/>
            </w:tcBorders>
            <w:shd w:val="clear" w:color="auto" w:fill="92D050"/>
            <w:noWrap/>
            <w:vAlign w:val="center"/>
            <w:hideMark/>
          </w:tcPr>
          <w:p w14:paraId="43C75DD1" w14:textId="77777777" w:rsidR="00EA2B5F" w:rsidRPr="0060383F" w:rsidRDefault="00EA2B5F" w:rsidP="0060383F">
            <w:pPr>
              <w:spacing w:after="0" w:line="240" w:lineRule="auto"/>
              <w:jc w:val="center"/>
              <w:rPr>
                <w:rFonts w:asciiTheme="majorHAnsi" w:eastAsia="Times New Roman" w:hAnsiTheme="majorHAnsi" w:cstheme="majorHAnsi"/>
                <w:color w:val="FFFFFF" w:themeColor="background1"/>
                <w:sz w:val="20"/>
                <w:szCs w:val="20"/>
                <w:lang w:eastAsia="pl-PL"/>
              </w:rPr>
            </w:pPr>
            <w:r w:rsidRPr="0060383F">
              <w:rPr>
                <w:rFonts w:asciiTheme="majorHAnsi" w:eastAsia="Times New Roman" w:hAnsiTheme="majorHAnsi" w:cstheme="majorHAnsi"/>
                <w:color w:val="FFFFFF" w:themeColor="background1"/>
                <w:sz w:val="20"/>
                <w:szCs w:val="20"/>
                <w:lang w:eastAsia="pl-PL"/>
              </w:rPr>
              <w:t>Powiat piski</w:t>
            </w:r>
          </w:p>
        </w:tc>
        <w:tc>
          <w:tcPr>
            <w:tcW w:w="1134" w:type="dxa"/>
            <w:tcBorders>
              <w:top w:val="single" w:sz="4" w:space="0" w:color="FFFFFF" w:themeColor="background1"/>
              <w:left w:val="single" w:sz="4" w:space="0" w:color="FFFFFF" w:themeColor="background1"/>
              <w:bottom w:val="nil"/>
              <w:right w:val="single" w:sz="4" w:space="0" w:color="FFFFFF" w:themeColor="background1"/>
            </w:tcBorders>
            <w:shd w:val="clear" w:color="auto" w:fill="92D050"/>
            <w:noWrap/>
            <w:vAlign w:val="center"/>
            <w:hideMark/>
          </w:tcPr>
          <w:p w14:paraId="5266E780" w14:textId="77777777" w:rsidR="00EA2B5F" w:rsidRPr="0060383F" w:rsidRDefault="00EA2B5F" w:rsidP="0060383F">
            <w:pPr>
              <w:spacing w:after="0" w:line="240" w:lineRule="auto"/>
              <w:jc w:val="center"/>
              <w:rPr>
                <w:rFonts w:asciiTheme="majorHAnsi" w:eastAsia="Times New Roman" w:hAnsiTheme="majorHAnsi" w:cstheme="majorHAnsi"/>
                <w:color w:val="FFFFFF" w:themeColor="background1"/>
                <w:sz w:val="20"/>
                <w:szCs w:val="20"/>
                <w:lang w:eastAsia="pl-PL"/>
              </w:rPr>
            </w:pPr>
            <w:r w:rsidRPr="0060383F">
              <w:rPr>
                <w:rFonts w:asciiTheme="majorHAnsi" w:eastAsia="Times New Roman" w:hAnsiTheme="majorHAnsi" w:cstheme="majorHAnsi"/>
                <w:color w:val="FFFFFF" w:themeColor="background1"/>
                <w:sz w:val="20"/>
                <w:szCs w:val="20"/>
                <w:lang w:eastAsia="pl-PL"/>
              </w:rPr>
              <w:t>Powiat szczycieński</w:t>
            </w:r>
          </w:p>
        </w:tc>
      </w:tr>
      <w:tr w:rsidR="00EA2B5F" w:rsidRPr="00F25EBD" w14:paraId="1B39317A" w14:textId="77777777" w:rsidTr="0060383F">
        <w:trPr>
          <w:trHeight w:val="289"/>
          <w:jc w:val="center"/>
        </w:trPr>
        <w:tc>
          <w:tcPr>
            <w:tcW w:w="3592" w:type="dxa"/>
            <w:tcBorders>
              <w:top w:val="nil"/>
              <w:left w:val="nil"/>
              <w:bottom w:val="single" w:sz="4" w:space="0" w:color="808080" w:themeColor="background1" w:themeShade="80"/>
              <w:right w:val="nil"/>
            </w:tcBorders>
            <w:shd w:val="clear" w:color="auto" w:fill="auto"/>
            <w:vAlign w:val="center"/>
            <w:hideMark/>
          </w:tcPr>
          <w:p w14:paraId="3EEC381E" w14:textId="77777777" w:rsidR="00EA2B5F" w:rsidRPr="0060383F" w:rsidRDefault="00EA2B5F" w:rsidP="0060383F">
            <w:pPr>
              <w:spacing w:after="0" w:line="240" w:lineRule="auto"/>
              <w:rPr>
                <w:rFonts w:asciiTheme="majorHAnsi" w:eastAsia="Times New Roman" w:hAnsiTheme="majorHAnsi" w:cstheme="majorHAnsi"/>
                <w:color w:val="000000"/>
                <w:sz w:val="19"/>
                <w:szCs w:val="19"/>
                <w:lang w:eastAsia="pl-PL"/>
              </w:rPr>
            </w:pPr>
            <w:r w:rsidRPr="0060383F">
              <w:rPr>
                <w:rFonts w:asciiTheme="majorHAnsi" w:eastAsia="Times New Roman" w:hAnsiTheme="majorHAnsi" w:cstheme="majorHAnsi"/>
                <w:color w:val="000000"/>
                <w:sz w:val="19"/>
                <w:szCs w:val="19"/>
                <w:lang w:eastAsia="pl-PL"/>
              </w:rPr>
              <w:t>parki narodowe (w ha)</w:t>
            </w:r>
          </w:p>
        </w:tc>
        <w:tc>
          <w:tcPr>
            <w:tcW w:w="1418" w:type="dxa"/>
            <w:tcBorders>
              <w:top w:val="nil"/>
              <w:left w:val="nil"/>
              <w:bottom w:val="single" w:sz="4" w:space="0" w:color="808080" w:themeColor="background1" w:themeShade="80"/>
              <w:right w:val="nil"/>
            </w:tcBorders>
            <w:shd w:val="clear" w:color="auto" w:fill="auto"/>
            <w:noWrap/>
            <w:vAlign w:val="center"/>
            <w:hideMark/>
          </w:tcPr>
          <w:p w14:paraId="0731AF8B" w14:textId="77777777" w:rsidR="00EA2B5F" w:rsidRPr="00F25EBD" w:rsidRDefault="00EA2B5F" w:rsidP="0060383F">
            <w:pPr>
              <w:spacing w:after="0" w:line="240" w:lineRule="auto"/>
              <w:jc w:val="right"/>
              <w:rPr>
                <w:rFonts w:asciiTheme="majorHAnsi" w:eastAsia="Times New Roman" w:hAnsiTheme="majorHAnsi" w:cstheme="majorHAnsi"/>
                <w:sz w:val="20"/>
                <w:szCs w:val="20"/>
                <w:lang w:eastAsia="pl-PL"/>
              </w:rPr>
            </w:pPr>
            <w:r w:rsidRPr="00F25EBD">
              <w:rPr>
                <w:rFonts w:asciiTheme="majorHAnsi" w:hAnsiTheme="majorHAnsi" w:cstheme="majorHAnsi"/>
                <w:sz w:val="20"/>
                <w:szCs w:val="20"/>
              </w:rPr>
              <w:t>0,00</w:t>
            </w:r>
          </w:p>
        </w:tc>
        <w:tc>
          <w:tcPr>
            <w:tcW w:w="1134" w:type="dxa"/>
            <w:tcBorders>
              <w:top w:val="nil"/>
              <w:left w:val="nil"/>
              <w:bottom w:val="single" w:sz="4" w:space="0" w:color="808080" w:themeColor="background1" w:themeShade="80"/>
              <w:right w:val="nil"/>
            </w:tcBorders>
            <w:shd w:val="clear" w:color="auto" w:fill="auto"/>
            <w:noWrap/>
            <w:vAlign w:val="center"/>
            <w:hideMark/>
          </w:tcPr>
          <w:p w14:paraId="18281667" w14:textId="77777777" w:rsidR="00EA2B5F" w:rsidRPr="00F25EBD" w:rsidRDefault="00EA2B5F" w:rsidP="0060383F">
            <w:pPr>
              <w:spacing w:after="0" w:line="240" w:lineRule="auto"/>
              <w:jc w:val="right"/>
              <w:rPr>
                <w:rFonts w:asciiTheme="majorHAnsi" w:eastAsia="Times New Roman" w:hAnsiTheme="majorHAnsi" w:cstheme="majorHAnsi"/>
                <w:sz w:val="20"/>
                <w:szCs w:val="20"/>
                <w:lang w:eastAsia="pl-PL"/>
              </w:rPr>
            </w:pPr>
            <w:r w:rsidRPr="00F25EBD">
              <w:rPr>
                <w:rFonts w:asciiTheme="majorHAnsi" w:hAnsiTheme="majorHAnsi" w:cstheme="majorHAnsi"/>
                <w:sz w:val="20"/>
                <w:szCs w:val="20"/>
              </w:rPr>
              <w:t>0,00</w:t>
            </w:r>
          </w:p>
        </w:tc>
        <w:tc>
          <w:tcPr>
            <w:tcW w:w="1039" w:type="dxa"/>
            <w:tcBorders>
              <w:top w:val="nil"/>
              <w:left w:val="nil"/>
              <w:bottom w:val="single" w:sz="4" w:space="0" w:color="808080" w:themeColor="background1" w:themeShade="80"/>
              <w:right w:val="nil"/>
            </w:tcBorders>
            <w:shd w:val="clear" w:color="auto" w:fill="auto"/>
            <w:noWrap/>
            <w:vAlign w:val="center"/>
            <w:hideMark/>
          </w:tcPr>
          <w:p w14:paraId="54F03C04" w14:textId="77777777" w:rsidR="00EA2B5F" w:rsidRPr="00F25EBD" w:rsidRDefault="00EA2B5F" w:rsidP="0060383F">
            <w:pPr>
              <w:spacing w:after="0" w:line="240" w:lineRule="auto"/>
              <w:jc w:val="right"/>
              <w:rPr>
                <w:rFonts w:asciiTheme="majorHAnsi" w:eastAsia="Times New Roman" w:hAnsiTheme="majorHAnsi" w:cstheme="majorHAnsi"/>
                <w:sz w:val="20"/>
                <w:szCs w:val="20"/>
                <w:lang w:eastAsia="pl-PL"/>
              </w:rPr>
            </w:pPr>
            <w:r w:rsidRPr="00F25EBD">
              <w:rPr>
                <w:rFonts w:asciiTheme="majorHAnsi" w:hAnsiTheme="majorHAnsi" w:cstheme="majorHAnsi"/>
                <w:sz w:val="20"/>
                <w:szCs w:val="20"/>
              </w:rPr>
              <w:t>0,00</w:t>
            </w:r>
          </w:p>
        </w:tc>
        <w:tc>
          <w:tcPr>
            <w:tcW w:w="992" w:type="dxa"/>
            <w:tcBorders>
              <w:top w:val="nil"/>
              <w:left w:val="nil"/>
              <w:bottom w:val="single" w:sz="4" w:space="0" w:color="808080" w:themeColor="background1" w:themeShade="80"/>
              <w:right w:val="nil"/>
            </w:tcBorders>
            <w:shd w:val="clear" w:color="auto" w:fill="auto"/>
            <w:noWrap/>
            <w:vAlign w:val="center"/>
            <w:hideMark/>
          </w:tcPr>
          <w:p w14:paraId="1F3B540D" w14:textId="77777777" w:rsidR="00EA2B5F" w:rsidRPr="00F25EBD" w:rsidRDefault="00EA2B5F" w:rsidP="0060383F">
            <w:pPr>
              <w:spacing w:after="0" w:line="240" w:lineRule="auto"/>
              <w:jc w:val="right"/>
              <w:rPr>
                <w:rFonts w:asciiTheme="majorHAnsi" w:eastAsia="Times New Roman" w:hAnsiTheme="majorHAnsi" w:cstheme="majorHAnsi"/>
                <w:sz w:val="20"/>
                <w:szCs w:val="20"/>
                <w:lang w:eastAsia="pl-PL"/>
              </w:rPr>
            </w:pPr>
            <w:r w:rsidRPr="00F25EBD">
              <w:rPr>
                <w:rFonts w:asciiTheme="majorHAnsi" w:hAnsiTheme="majorHAnsi" w:cstheme="majorHAnsi"/>
                <w:sz w:val="20"/>
                <w:szCs w:val="20"/>
              </w:rPr>
              <w:t>0,00</w:t>
            </w:r>
          </w:p>
        </w:tc>
        <w:tc>
          <w:tcPr>
            <w:tcW w:w="1134" w:type="dxa"/>
            <w:tcBorders>
              <w:top w:val="nil"/>
              <w:left w:val="nil"/>
              <w:bottom w:val="single" w:sz="4" w:space="0" w:color="808080" w:themeColor="background1" w:themeShade="80"/>
              <w:right w:val="nil"/>
            </w:tcBorders>
            <w:shd w:val="clear" w:color="auto" w:fill="auto"/>
            <w:noWrap/>
            <w:vAlign w:val="center"/>
            <w:hideMark/>
          </w:tcPr>
          <w:p w14:paraId="42142E18" w14:textId="77777777" w:rsidR="00EA2B5F" w:rsidRPr="00F25EBD" w:rsidRDefault="00EA2B5F" w:rsidP="0060383F">
            <w:pPr>
              <w:spacing w:after="0" w:line="240" w:lineRule="auto"/>
              <w:jc w:val="right"/>
              <w:rPr>
                <w:rFonts w:asciiTheme="majorHAnsi" w:eastAsia="Times New Roman" w:hAnsiTheme="majorHAnsi" w:cstheme="majorHAnsi"/>
                <w:sz w:val="20"/>
                <w:szCs w:val="20"/>
                <w:lang w:eastAsia="pl-PL"/>
              </w:rPr>
            </w:pPr>
            <w:r w:rsidRPr="00F25EBD">
              <w:rPr>
                <w:rFonts w:asciiTheme="majorHAnsi" w:hAnsiTheme="majorHAnsi" w:cstheme="majorHAnsi"/>
                <w:sz w:val="20"/>
                <w:szCs w:val="20"/>
              </w:rPr>
              <w:t>0,00</w:t>
            </w:r>
          </w:p>
        </w:tc>
      </w:tr>
      <w:tr w:rsidR="00EA2B5F" w:rsidRPr="00F25EBD" w14:paraId="4BEE03FC" w14:textId="77777777" w:rsidTr="0060383F">
        <w:trPr>
          <w:trHeight w:val="289"/>
          <w:jc w:val="center"/>
        </w:trPr>
        <w:tc>
          <w:tcPr>
            <w:tcW w:w="3592" w:type="dxa"/>
            <w:tcBorders>
              <w:top w:val="single" w:sz="4" w:space="0" w:color="808080" w:themeColor="background1" w:themeShade="80"/>
              <w:left w:val="nil"/>
              <w:bottom w:val="single" w:sz="4" w:space="0" w:color="808080" w:themeColor="background1" w:themeShade="80"/>
              <w:right w:val="nil"/>
            </w:tcBorders>
            <w:shd w:val="clear" w:color="auto" w:fill="auto"/>
            <w:vAlign w:val="center"/>
            <w:hideMark/>
          </w:tcPr>
          <w:p w14:paraId="7C2BD83A" w14:textId="77777777" w:rsidR="00EA2B5F" w:rsidRPr="0060383F" w:rsidRDefault="00EA2B5F" w:rsidP="0060383F">
            <w:pPr>
              <w:spacing w:after="0" w:line="240" w:lineRule="auto"/>
              <w:rPr>
                <w:rFonts w:asciiTheme="majorHAnsi" w:eastAsia="Times New Roman" w:hAnsiTheme="majorHAnsi" w:cstheme="majorHAnsi"/>
                <w:color w:val="000000"/>
                <w:sz w:val="19"/>
                <w:szCs w:val="19"/>
                <w:lang w:eastAsia="pl-PL"/>
              </w:rPr>
            </w:pPr>
            <w:r w:rsidRPr="0060383F">
              <w:rPr>
                <w:rFonts w:asciiTheme="majorHAnsi" w:eastAsia="Times New Roman" w:hAnsiTheme="majorHAnsi" w:cstheme="majorHAnsi"/>
                <w:color w:val="000000"/>
                <w:sz w:val="19"/>
                <w:szCs w:val="19"/>
                <w:lang w:eastAsia="pl-PL"/>
              </w:rPr>
              <w:t>rezerwaty przyrody (w ha)</w:t>
            </w:r>
          </w:p>
        </w:tc>
        <w:tc>
          <w:tcPr>
            <w:tcW w:w="1418" w:type="dxa"/>
            <w:tcBorders>
              <w:top w:val="single" w:sz="4" w:space="0" w:color="808080" w:themeColor="background1" w:themeShade="80"/>
              <w:left w:val="nil"/>
              <w:bottom w:val="single" w:sz="4" w:space="0" w:color="808080" w:themeColor="background1" w:themeShade="80"/>
              <w:right w:val="nil"/>
            </w:tcBorders>
            <w:shd w:val="clear" w:color="auto" w:fill="auto"/>
            <w:noWrap/>
            <w:vAlign w:val="center"/>
            <w:hideMark/>
          </w:tcPr>
          <w:p w14:paraId="39133124" w14:textId="77777777" w:rsidR="00EA2B5F" w:rsidRPr="00F25EBD" w:rsidRDefault="00EA2B5F" w:rsidP="0060383F">
            <w:pPr>
              <w:spacing w:after="0" w:line="240" w:lineRule="auto"/>
              <w:jc w:val="right"/>
              <w:rPr>
                <w:rFonts w:asciiTheme="majorHAnsi" w:eastAsia="Times New Roman" w:hAnsiTheme="majorHAnsi" w:cstheme="majorHAnsi"/>
                <w:sz w:val="20"/>
                <w:szCs w:val="20"/>
                <w:lang w:eastAsia="pl-PL"/>
              </w:rPr>
            </w:pPr>
            <w:r w:rsidRPr="00F25EBD">
              <w:rPr>
                <w:rFonts w:asciiTheme="majorHAnsi" w:hAnsiTheme="majorHAnsi" w:cstheme="majorHAnsi"/>
                <w:sz w:val="20"/>
                <w:szCs w:val="20"/>
              </w:rPr>
              <w:t>33.257,33</w:t>
            </w:r>
          </w:p>
        </w:tc>
        <w:tc>
          <w:tcPr>
            <w:tcW w:w="1134" w:type="dxa"/>
            <w:tcBorders>
              <w:top w:val="single" w:sz="4" w:space="0" w:color="808080" w:themeColor="background1" w:themeShade="80"/>
              <w:left w:val="nil"/>
              <w:bottom w:val="single" w:sz="4" w:space="0" w:color="808080" w:themeColor="background1" w:themeShade="80"/>
              <w:right w:val="nil"/>
            </w:tcBorders>
            <w:shd w:val="clear" w:color="auto" w:fill="auto"/>
            <w:noWrap/>
            <w:vAlign w:val="center"/>
            <w:hideMark/>
          </w:tcPr>
          <w:p w14:paraId="30510686" w14:textId="77777777" w:rsidR="00EA2B5F" w:rsidRPr="00F25EBD" w:rsidRDefault="00EA2B5F" w:rsidP="0060383F">
            <w:pPr>
              <w:spacing w:after="0" w:line="240" w:lineRule="auto"/>
              <w:jc w:val="right"/>
              <w:rPr>
                <w:rFonts w:asciiTheme="majorHAnsi" w:eastAsia="Times New Roman" w:hAnsiTheme="majorHAnsi" w:cstheme="majorHAnsi"/>
                <w:sz w:val="20"/>
                <w:szCs w:val="20"/>
                <w:lang w:eastAsia="pl-PL"/>
              </w:rPr>
            </w:pPr>
            <w:r w:rsidRPr="00F25EBD">
              <w:rPr>
                <w:rFonts w:asciiTheme="majorHAnsi" w:hAnsiTheme="majorHAnsi" w:cstheme="majorHAnsi"/>
                <w:sz w:val="20"/>
                <w:szCs w:val="20"/>
              </w:rPr>
              <w:t>419,50</w:t>
            </w:r>
          </w:p>
        </w:tc>
        <w:tc>
          <w:tcPr>
            <w:tcW w:w="1039" w:type="dxa"/>
            <w:tcBorders>
              <w:top w:val="single" w:sz="4" w:space="0" w:color="808080" w:themeColor="background1" w:themeShade="80"/>
              <w:left w:val="nil"/>
              <w:bottom w:val="single" w:sz="4" w:space="0" w:color="808080" w:themeColor="background1" w:themeShade="80"/>
              <w:right w:val="nil"/>
            </w:tcBorders>
            <w:shd w:val="clear" w:color="auto" w:fill="auto"/>
            <w:noWrap/>
            <w:vAlign w:val="center"/>
            <w:hideMark/>
          </w:tcPr>
          <w:p w14:paraId="2F74115B" w14:textId="77777777" w:rsidR="00EA2B5F" w:rsidRPr="00F25EBD" w:rsidRDefault="00EA2B5F" w:rsidP="0060383F">
            <w:pPr>
              <w:spacing w:after="0" w:line="240" w:lineRule="auto"/>
              <w:jc w:val="right"/>
              <w:rPr>
                <w:rFonts w:asciiTheme="majorHAnsi" w:eastAsia="Times New Roman" w:hAnsiTheme="majorHAnsi" w:cstheme="majorHAnsi"/>
                <w:sz w:val="20"/>
                <w:szCs w:val="20"/>
                <w:lang w:eastAsia="pl-PL"/>
              </w:rPr>
            </w:pPr>
            <w:r w:rsidRPr="00F25EBD">
              <w:rPr>
                <w:rFonts w:asciiTheme="majorHAnsi" w:hAnsiTheme="majorHAnsi" w:cstheme="majorHAnsi"/>
                <w:sz w:val="20"/>
                <w:szCs w:val="20"/>
              </w:rPr>
              <w:t>224,95</w:t>
            </w:r>
          </w:p>
        </w:tc>
        <w:tc>
          <w:tcPr>
            <w:tcW w:w="992" w:type="dxa"/>
            <w:tcBorders>
              <w:top w:val="single" w:sz="4" w:space="0" w:color="808080" w:themeColor="background1" w:themeShade="80"/>
              <w:left w:val="nil"/>
              <w:bottom w:val="single" w:sz="4" w:space="0" w:color="808080" w:themeColor="background1" w:themeShade="80"/>
              <w:right w:val="nil"/>
            </w:tcBorders>
            <w:shd w:val="clear" w:color="auto" w:fill="auto"/>
            <w:noWrap/>
            <w:vAlign w:val="center"/>
            <w:hideMark/>
          </w:tcPr>
          <w:p w14:paraId="12CA9F43" w14:textId="77777777" w:rsidR="00EA2B5F" w:rsidRPr="00F25EBD" w:rsidRDefault="00EA2B5F" w:rsidP="0060383F">
            <w:pPr>
              <w:spacing w:after="0" w:line="240" w:lineRule="auto"/>
              <w:jc w:val="right"/>
              <w:rPr>
                <w:rFonts w:asciiTheme="majorHAnsi" w:eastAsia="Times New Roman" w:hAnsiTheme="majorHAnsi" w:cstheme="majorHAnsi"/>
                <w:sz w:val="20"/>
                <w:szCs w:val="20"/>
                <w:lang w:eastAsia="pl-PL"/>
              </w:rPr>
            </w:pPr>
            <w:r w:rsidRPr="00F25EBD">
              <w:rPr>
                <w:rFonts w:asciiTheme="majorHAnsi" w:hAnsiTheme="majorHAnsi" w:cstheme="majorHAnsi"/>
                <w:sz w:val="20"/>
                <w:szCs w:val="20"/>
              </w:rPr>
              <w:t>5.797,94</w:t>
            </w:r>
          </w:p>
        </w:tc>
        <w:tc>
          <w:tcPr>
            <w:tcW w:w="1134" w:type="dxa"/>
            <w:tcBorders>
              <w:top w:val="single" w:sz="4" w:space="0" w:color="808080" w:themeColor="background1" w:themeShade="80"/>
              <w:left w:val="nil"/>
              <w:bottom w:val="single" w:sz="4" w:space="0" w:color="808080" w:themeColor="background1" w:themeShade="80"/>
              <w:right w:val="nil"/>
            </w:tcBorders>
            <w:shd w:val="clear" w:color="auto" w:fill="auto"/>
            <w:noWrap/>
            <w:vAlign w:val="center"/>
            <w:hideMark/>
          </w:tcPr>
          <w:p w14:paraId="024C8098" w14:textId="77777777" w:rsidR="00EA2B5F" w:rsidRPr="00F25EBD" w:rsidRDefault="00EA2B5F" w:rsidP="0060383F">
            <w:pPr>
              <w:spacing w:after="0" w:line="240" w:lineRule="auto"/>
              <w:jc w:val="right"/>
              <w:rPr>
                <w:rFonts w:asciiTheme="majorHAnsi" w:eastAsia="Times New Roman" w:hAnsiTheme="majorHAnsi" w:cstheme="majorHAnsi"/>
                <w:sz w:val="20"/>
                <w:szCs w:val="20"/>
                <w:lang w:eastAsia="pl-PL"/>
              </w:rPr>
            </w:pPr>
            <w:r w:rsidRPr="00F25EBD">
              <w:rPr>
                <w:rFonts w:asciiTheme="majorHAnsi" w:hAnsiTheme="majorHAnsi" w:cstheme="majorHAnsi"/>
                <w:sz w:val="20"/>
                <w:szCs w:val="20"/>
              </w:rPr>
              <w:t>584,33</w:t>
            </w:r>
          </w:p>
        </w:tc>
      </w:tr>
      <w:tr w:rsidR="00EA2B5F" w:rsidRPr="00F25EBD" w14:paraId="0E0CAAC1" w14:textId="77777777" w:rsidTr="0060383F">
        <w:trPr>
          <w:trHeight w:val="289"/>
          <w:jc w:val="center"/>
        </w:trPr>
        <w:tc>
          <w:tcPr>
            <w:tcW w:w="3592" w:type="dxa"/>
            <w:tcBorders>
              <w:top w:val="single" w:sz="4" w:space="0" w:color="808080" w:themeColor="background1" w:themeShade="80"/>
              <w:left w:val="nil"/>
              <w:bottom w:val="single" w:sz="4" w:space="0" w:color="808080" w:themeColor="background1" w:themeShade="80"/>
              <w:right w:val="nil"/>
            </w:tcBorders>
            <w:shd w:val="clear" w:color="auto" w:fill="auto"/>
            <w:vAlign w:val="center"/>
            <w:hideMark/>
          </w:tcPr>
          <w:p w14:paraId="051BC04E" w14:textId="77777777" w:rsidR="00EA2B5F" w:rsidRPr="0060383F" w:rsidRDefault="00EA2B5F" w:rsidP="0060383F">
            <w:pPr>
              <w:spacing w:after="0" w:line="240" w:lineRule="auto"/>
              <w:rPr>
                <w:rFonts w:asciiTheme="majorHAnsi" w:eastAsia="Times New Roman" w:hAnsiTheme="majorHAnsi" w:cstheme="majorHAnsi"/>
                <w:color w:val="000000"/>
                <w:sz w:val="19"/>
                <w:szCs w:val="19"/>
                <w:lang w:eastAsia="pl-PL"/>
              </w:rPr>
            </w:pPr>
            <w:r w:rsidRPr="0060383F">
              <w:rPr>
                <w:rFonts w:asciiTheme="majorHAnsi" w:eastAsia="Times New Roman" w:hAnsiTheme="majorHAnsi" w:cstheme="majorHAnsi"/>
                <w:color w:val="000000"/>
                <w:sz w:val="19"/>
                <w:szCs w:val="19"/>
                <w:lang w:eastAsia="pl-PL"/>
              </w:rPr>
              <w:t>parki krajobrazowe (w ha)</w:t>
            </w:r>
          </w:p>
        </w:tc>
        <w:tc>
          <w:tcPr>
            <w:tcW w:w="1418" w:type="dxa"/>
            <w:tcBorders>
              <w:top w:val="single" w:sz="4" w:space="0" w:color="808080" w:themeColor="background1" w:themeShade="80"/>
              <w:left w:val="nil"/>
              <w:bottom w:val="single" w:sz="4" w:space="0" w:color="808080" w:themeColor="background1" w:themeShade="80"/>
              <w:right w:val="nil"/>
            </w:tcBorders>
            <w:shd w:val="clear" w:color="auto" w:fill="auto"/>
            <w:noWrap/>
            <w:vAlign w:val="center"/>
            <w:hideMark/>
          </w:tcPr>
          <w:p w14:paraId="14AD2E14" w14:textId="77777777" w:rsidR="00EA2B5F" w:rsidRPr="00F25EBD" w:rsidRDefault="00EA2B5F" w:rsidP="0060383F">
            <w:pPr>
              <w:spacing w:after="0" w:line="240" w:lineRule="auto"/>
              <w:jc w:val="right"/>
              <w:rPr>
                <w:rFonts w:asciiTheme="majorHAnsi" w:eastAsia="Times New Roman" w:hAnsiTheme="majorHAnsi" w:cstheme="majorHAnsi"/>
                <w:sz w:val="20"/>
                <w:szCs w:val="20"/>
                <w:lang w:eastAsia="pl-PL"/>
              </w:rPr>
            </w:pPr>
            <w:r w:rsidRPr="00F25EBD">
              <w:rPr>
                <w:rFonts w:asciiTheme="majorHAnsi" w:hAnsiTheme="majorHAnsi" w:cstheme="majorHAnsi"/>
                <w:sz w:val="20"/>
                <w:szCs w:val="20"/>
              </w:rPr>
              <w:t>144.994,16</w:t>
            </w:r>
          </w:p>
        </w:tc>
        <w:tc>
          <w:tcPr>
            <w:tcW w:w="1134" w:type="dxa"/>
            <w:tcBorders>
              <w:top w:val="single" w:sz="4" w:space="0" w:color="808080" w:themeColor="background1" w:themeShade="80"/>
              <w:left w:val="nil"/>
              <w:bottom w:val="single" w:sz="4" w:space="0" w:color="808080" w:themeColor="background1" w:themeShade="80"/>
              <w:right w:val="nil"/>
            </w:tcBorders>
            <w:shd w:val="clear" w:color="auto" w:fill="auto"/>
            <w:noWrap/>
            <w:vAlign w:val="center"/>
            <w:hideMark/>
          </w:tcPr>
          <w:p w14:paraId="52CD8284" w14:textId="77777777" w:rsidR="00EA2B5F" w:rsidRPr="00F25EBD" w:rsidRDefault="00EA2B5F" w:rsidP="0060383F">
            <w:pPr>
              <w:spacing w:after="0" w:line="240" w:lineRule="auto"/>
              <w:jc w:val="right"/>
              <w:rPr>
                <w:rFonts w:asciiTheme="majorHAnsi" w:eastAsia="Times New Roman" w:hAnsiTheme="majorHAnsi" w:cstheme="majorHAnsi"/>
                <w:sz w:val="20"/>
                <w:szCs w:val="20"/>
                <w:lang w:eastAsia="pl-PL"/>
              </w:rPr>
            </w:pPr>
            <w:r w:rsidRPr="00F25EBD">
              <w:rPr>
                <w:rFonts w:asciiTheme="majorHAnsi" w:hAnsiTheme="majorHAnsi" w:cstheme="majorHAnsi"/>
                <w:sz w:val="20"/>
                <w:szCs w:val="20"/>
              </w:rPr>
              <w:t>25.136,69</w:t>
            </w:r>
          </w:p>
        </w:tc>
        <w:tc>
          <w:tcPr>
            <w:tcW w:w="1039" w:type="dxa"/>
            <w:tcBorders>
              <w:top w:val="single" w:sz="4" w:space="0" w:color="808080" w:themeColor="background1" w:themeShade="80"/>
              <w:left w:val="nil"/>
              <w:bottom w:val="single" w:sz="4" w:space="0" w:color="808080" w:themeColor="background1" w:themeShade="80"/>
              <w:right w:val="nil"/>
            </w:tcBorders>
            <w:shd w:val="clear" w:color="auto" w:fill="auto"/>
            <w:noWrap/>
            <w:vAlign w:val="center"/>
            <w:hideMark/>
          </w:tcPr>
          <w:p w14:paraId="3114E635" w14:textId="77777777" w:rsidR="00EA2B5F" w:rsidRPr="00F25EBD" w:rsidRDefault="00EA2B5F" w:rsidP="0060383F">
            <w:pPr>
              <w:spacing w:after="0" w:line="240" w:lineRule="auto"/>
              <w:jc w:val="right"/>
              <w:rPr>
                <w:rFonts w:asciiTheme="majorHAnsi" w:eastAsia="Times New Roman" w:hAnsiTheme="majorHAnsi" w:cstheme="majorHAnsi"/>
                <w:sz w:val="20"/>
                <w:szCs w:val="20"/>
                <w:lang w:eastAsia="pl-PL"/>
              </w:rPr>
            </w:pPr>
            <w:r w:rsidRPr="00F25EBD">
              <w:rPr>
                <w:rFonts w:asciiTheme="majorHAnsi" w:hAnsiTheme="majorHAnsi" w:cstheme="majorHAnsi"/>
                <w:sz w:val="20"/>
                <w:szCs w:val="20"/>
              </w:rPr>
              <w:t>0,00</w:t>
            </w:r>
          </w:p>
        </w:tc>
        <w:tc>
          <w:tcPr>
            <w:tcW w:w="992" w:type="dxa"/>
            <w:tcBorders>
              <w:top w:val="single" w:sz="4" w:space="0" w:color="808080" w:themeColor="background1" w:themeShade="80"/>
              <w:left w:val="nil"/>
              <w:bottom w:val="single" w:sz="4" w:space="0" w:color="808080" w:themeColor="background1" w:themeShade="80"/>
              <w:right w:val="nil"/>
            </w:tcBorders>
            <w:shd w:val="clear" w:color="auto" w:fill="auto"/>
            <w:noWrap/>
            <w:vAlign w:val="center"/>
            <w:hideMark/>
          </w:tcPr>
          <w:p w14:paraId="09D05A72" w14:textId="77777777" w:rsidR="00EA2B5F" w:rsidRPr="00F25EBD" w:rsidRDefault="00EA2B5F" w:rsidP="0060383F">
            <w:pPr>
              <w:spacing w:after="0" w:line="240" w:lineRule="auto"/>
              <w:jc w:val="right"/>
              <w:rPr>
                <w:rFonts w:asciiTheme="majorHAnsi" w:eastAsia="Times New Roman" w:hAnsiTheme="majorHAnsi" w:cstheme="majorHAnsi"/>
                <w:sz w:val="20"/>
                <w:szCs w:val="20"/>
                <w:lang w:eastAsia="pl-PL"/>
              </w:rPr>
            </w:pPr>
            <w:r w:rsidRPr="00F25EBD">
              <w:rPr>
                <w:rFonts w:asciiTheme="majorHAnsi" w:hAnsiTheme="majorHAnsi" w:cstheme="majorHAnsi"/>
                <w:sz w:val="20"/>
                <w:szCs w:val="20"/>
              </w:rPr>
              <w:t>26.361,97</w:t>
            </w:r>
          </w:p>
        </w:tc>
        <w:tc>
          <w:tcPr>
            <w:tcW w:w="1134" w:type="dxa"/>
            <w:tcBorders>
              <w:top w:val="single" w:sz="4" w:space="0" w:color="808080" w:themeColor="background1" w:themeShade="80"/>
              <w:left w:val="nil"/>
              <w:bottom w:val="single" w:sz="4" w:space="0" w:color="808080" w:themeColor="background1" w:themeShade="80"/>
              <w:right w:val="nil"/>
            </w:tcBorders>
            <w:shd w:val="clear" w:color="auto" w:fill="auto"/>
            <w:noWrap/>
            <w:vAlign w:val="center"/>
            <w:hideMark/>
          </w:tcPr>
          <w:p w14:paraId="192A7D11" w14:textId="77777777" w:rsidR="00EA2B5F" w:rsidRPr="00F25EBD" w:rsidRDefault="00EA2B5F" w:rsidP="0060383F">
            <w:pPr>
              <w:spacing w:after="0" w:line="240" w:lineRule="auto"/>
              <w:jc w:val="right"/>
              <w:rPr>
                <w:rFonts w:asciiTheme="majorHAnsi" w:eastAsia="Times New Roman" w:hAnsiTheme="majorHAnsi" w:cstheme="majorHAnsi"/>
                <w:sz w:val="20"/>
                <w:szCs w:val="20"/>
                <w:lang w:eastAsia="pl-PL"/>
              </w:rPr>
            </w:pPr>
            <w:r w:rsidRPr="00F25EBD">
              <w:rPr>
                <w:rFonts w:asciiTheme="majorHAnsi" w:hAnsiTheme="majorHAnsi" w:cstheme="majorHAnsi"/>
                <w:sz w:val="20"/>
                <w:szCs w:val="20"/>
              </w:rPr>
              <w:t>1.358,18</w:t>
            </w:r>
          </w:p>
        </w:tc>
      </w:tr>
      <w:tr w:rsidR="00EA2B5F" w:rsidRPr="00F25EBD" w14:paraId="314235B2" w14:textId="77777777" w:rsidTr="0060383F">
        <w:trPr>
          <w:trHeight w:val="289"/>
          <w:jc w:val="center"/>
        </w:trPr>
        <w:tc>
          <w:tcPr>
            <w:tcW w:w="3592" w:type="dxa"/>
            <w:tcBorders>
              <w:top w:val="single" w:sz="4" w:space="0" w:color="808080" w:themeColor="background1" w:themeShade="80"/>
              <w:left w:val="nil"/>
              <w:bottom w:val="single" w:sz="4" w:space="0" w:color="808080" w:themeColor="background1" w:themeShade="80"/>
              <w:right w:val="nil"/>
            </w:tcBorders>
            <w:shd w:val="clear" w:color="auto" w:fill="auto"/>
            <w:vAlign w:val="center"/>
            <w:hideMark/>
          </w:tcPr>
          <w:p w14:paraId="16FF5CB9" w14:textId="77777777" w:rsidR="00EA2B5F" w:rsidRPr="0060383F" w:rsidRDefault="00EA2B5F" w:rsidP="0060383F">
            <w:pPr>
              <w:spacing w:after="0" w:line="240" w:lineRule="auto"/>
              <w:rPr>
                <w:rFonts w:asciiTheme="majorHAnsi" w:eastAsia="Times New Roman" w:hAnsiTheme="majorHAnsi" w:cstheme="majorHAnsi"/>
                <w:color w:val="000000"/>
                <w:sz w:val="19"/>
                <w:szCs w:val="19"/>
                <w:lang w:eastAsia="pl-PL"/>
              </w:rPr>
            </w:pPr>
            <w:r w:rsidRPr="0060383F">
              <w:rPr>
                <w:rFonts w:asciiTheme="majorHAnsi" w:eastAsia="Times New Roman" w:hAnsiTheme="majorHAnsi" w:cstheme="majorHAnsi"/>
                <w:color w:val="000000"/>
                <w:sz w:val="19"/>
                <w:szCs w:val="19"/>
                <w:lang w:eastAsia="pl-PL"/>
              </w:rPr>
              <w:t>obszary chronionego krajobrazu (w ha)</w:t>
            </w:r>
          </w:p>
        </w:tc>
        <w:tc>
          <w:tcPr>
            <w:tcW w:w="1418" w:type="dxa"/>
            <w:tcBorders>
              <w:top w:val="single" w:sz="4" w:space="0" w:color="808080" w:themeColor="background1" w:themeShade="80"/>
              <w:left w:val="nil"/>
              <w:bottom w:val="single" w:sz="4" w:space="0" w:color="808080" w:themeColor="background1" w:themeShade="80"/>
              <w:right w:val="nil"/>
            </w:tcBorders>
            <w:shd w:val="clear" w:color="auto" w:fill="auto"/>
            <w:noWrap/>
            <w:vAlign w:val="center"/>
            <w:hideMark/>
          </w:tcPr>
          <w:p w14:paraId="5D94D7EF" w14:textId="77777777" w:rsidR="00EA2B5F" w:rsidRPr="00F25EBD" w:rsidRDefault="00EA2B5F" w:rsidP="0060383F">
            <w:pPr>
              <w:spacing w:after="0" w:line="240" w:lineRule="auto"/>
              <w:jc w:val="right"/>
              <w:rPr>
                <w:rFonts w:asciiTheme="majorHAnsi" w:eastAsia="Times New Roman" w:hAnsiTheme="majorHAnsi" w:cstheme="majorHAnsi"/>
                <w:sz w:val="20"/>
                <w:szCs w:val="20"/>
                <w:lang w:eastAsia="pl-PL"/>
              </w:rPr>
            </w:pPr>
            <w:r w:rsidRPr="00F25EBD">
              <w:rPr>
                <w:rFonts w:asciiTheme="majorHAnsi" w:hAnsiTheme="majorHAnsi" w:cstheme="majorHAnsi"/>
                <w:sz w:val="20"/>
                <w:szCs w:val="20"/>
              </w:rPr>
              <w:t>954.780,36</w:t>
            </w:r>
          </w:p>
        </w:tc>
        <w:tc>
          <w:tcPr>
            <w:tcW w:w="1134" w:type="dxa"/>
            <w:tcBorders>
              <w:top w:val="single" w:sz="4" w:space="0" w:color="808080" w:themeColor="background1" w:themeShade="80"/>
              <w:left w:val="nil"/>
              <w:bottom w:val="single" w:sz="4" w:space="0" w:color="808080" w:themeColor="background1" w:themeShade="80"/>
              <w:right w:val="nil"/>
            </w:tcBorders>
            <w:shd w:val="clear" w:color="auto" w:fill="auto"/>
            <w:noWrap/>
            <w:vAlign w:val="center"/>
            <w:hideMark/>
          </w:tcPr>
          <w:p w14:paraId="322CC48A" w14:textId="77777777" w:rsidR="00EA2B5F" w:rsidRPr="00F25EBD" w:rsidRDefault="00EA2B5F" w:rsidP="0060383F">
            <w:pPr>
              <w:spacing w:after="0" w:line="240" w:lineRule="auto"/>
              <w:jc w:val="right"/>
              <w:rPr>
                <w:rFonts w:asciiTheme="majorHAnsi" w:eastAsia="Times New Roman" w:hAnsiTheme="majorHAnsi" w:cstheme="majorHAnsi"/>
                <w:sz w:val="20"/>
                <w:szCs w:val="20"/>
                <w:lang w:eastAsia="pl-PL"/>
              </w:rPr>
            </w:pPr>
            <w:r w:rsidRPr="00F25EBD">
              <w:rPr>
                <w:rFonts w:asciiTheme="majorHAnsi" w:hAnsiTheme="majorHAnsi" w:cstheme="majorHAnsi"/>
                <w:sz w:val="20"/>
                <w:szCs w:val="20"/>
              </w:rPr>
              <w:t>11.029,87</w:t>
            </w:r>
          </w:p>
        </w:tc>
        <w:tc>
          <w:tcPr>
            <w:tcW w:w="1039" w:type="dxa"/>
            <w:tcBorders>
              <w:top w:val="single" w:sz="4" w:space="0" w:color="808080" w:themeColor="background1" w:themeShade="80"/>
              <w:left w:val="nil"/>
              <w:bottom w:val="single" w:sz="4" w:space="0" w:color="808080" w:themeColor="background1" w:themeShade="80"/>
              <w:right w:val="nil"/>
            </w:tcBorders>
            <w:shd w:val="clear" w:color="auto" w:fill="auto"/>
            <w:noWrap/>
            <w:vAlign w:val="center"/>
            <w:hideMark/>
          </w:tcPr>
          <w:p w14:paraId="7A7CBE5E" w14:textId="77777777" w:rsidR="00EA2B5F" w:rsidRPr="00F25EBD" w:rsidRDefault="00EA2B5F" w:rsidP="0060383F">
            <w:pPr>
              <w:spacing w:after="0" w:line="240" w:lineRule="auto"/>
              <w:jc w:val="right"/>
              <w:rPr>
                <w:rFonts w:asciiTheme="majorHAnsi" w:eastAsia="Times New Roman" w:hAnsiTheme="majorHAnsi" w:cstheme="majorHAnsi"/>
                <w:sz w:val="20"/>
                <w:szCs w:val="20"/>
                <w:lang w:eastAsia="pl-PL"/>
              </w:rPr>
            </w:pPr>
            <w:r w:rsidRPr="00F25EBD">
              <w:rPr>
                <w:rFonts w:asciiTheme="majorHAnsi" w:hAnsiTheme="majorHAnsi" w:cstheme="majorHAnsi"/>
                <w:sz w:val="20"/>
                <w:szCs w:val="20"/>
              </w:rPr>
              <w:t>52.778,76</w:t>
            </w:r>
          </w:p>
        </w:tc>
        <w:tc>
          <w:tcPr>
            <w:tcW w:w="992" w:type="dxa"/>
            <w:tcBorders>
              <w:top w:val="single" w:sz="4" w:space="0" w:color="808080" w:themeColor="background1" w:themeShade="80"/>
              <w:left w:val="nil"/>
              <w:bottom w:val="single" w:sz="4" w:space="0" w:color="808080" w:themeColor="background1" w:themeShade="80"/>
              <w:right w:val="nil"/>
            </w:tcBorders>
            <w:shd w:val="clear" w:color="auto" w:fill="auto"/>
            <w:noWrap/>
            <w:vAlign w:val="center"/>
            <w:hideMark/>
          </w:tcPr>
          <w:p w14:paraId="1EA00CFE" w14:textId="77777777" w:rsidR="00EA2B5F" w:rsidRPr="00F25EBD" w:rsidRDefault="00EA2B5F" w:rsidP="0060383F">
            <w:pPr>
              <w:spacing w:after="0" w:line="240" w:lineRule="auto"/>
              <w:jc w:val="right"/>
              <w:rPr>
                <w:rFonts w:asciiTheme="majorHAnsi" w:eastAsia="Times New Roman" w:hAnsiTheme="majorHAnsi" w:cstheme="majorHAnsi"/>
                <w:sz w:val="20"/>
                <w:szCs w:val="20"/>
                <w:lang w:eastAsia="pl-PL"/>
              </w:rPr>
            </w:pPr>
            <w:r w:rsidRPr="00F25EBD">
              <w:rPr>
                <w:rFonts w:asciiTheme="majorHAnsi" w:hAnsiTheme="majorHAnsi" w:cstheme="majorHAnsi"/>
                <w:sz w:val="20"/>
                <w:szCs w:val="20"/>
              </w:rPr>
              <w:t>74.974,86</w:t>
            </w:r>
          </w:p>
        </w:tc>
        <w:tc>
          <w:tcPr>
            <w:tcW w:w="1134" w:type="dxa"/>
            <w:tcBorders>
              <w:top w:val="single" w:sz="4" w:space="0" w:color="808080" w:themeColor="background1" w:themeShade="80"/>
              <w:left w:val="nil"/>
              <w:bottom w:val="single" w:sz="4" w:space="0" w:color="808080" w:themeColor="background1" w:themeShade="80"/>
              <w:right w:val="nil"/>
            </w:tcBorders>
            <w:shd w:val="clear" w:color="auto" w:fill="auto"/>
            <w:noWrap/>
            <w:vAlign w:val="center"/>
            <w:hideMark/>
          </w:tcPr>
          <w:p w14:paraId="7D1F3507" w14:textId="77777777" w:rsidR="00EA2B5F" w:rsidRPr="00F25EBD" w:rsidRDefault="00EA2B5F" w:rsidP="0060383F">
            <w:pPr>
              <w:spacing w:after="0" w:line="240" w:lineRule="auto"/>
              <w:jc w:val="right"/>
              <w:rPr>
                <w:rFonts w:asciiTheme="majorHAnsi" w:eastAsia="Times New Roman" w:hAnsiTheme="majorHAnsi" w:cstheme="majorHAnsi"/>
                <w:sz w:val="20"/>
                <w:szCs w:val="20"/>
                <w:lang w:eastAsia="pl-PL"/>
              </w:rPr>
            </w:pPr>
            <w:r w:rsidRPr="00F25EBD">
              <w:rPr>
                <w:rFonts w:asciiTheme="majorHAnsi" w:hAnsiTheme="majorHAnsi" w:cstheme="majorHAnsi"/>
                <w:sz w:val="20"/>
                <w:szCs w:val="20"/>
              </w:rPr>
              <w:t>79.591,29</w:t>
            </w:r>
          </w:p>
        </w:tc>
      </w:tr>
      <w:tr w:rsidR="00EA2B5F" w:rsidRPr="00F25EBD" w14:paraId="2BAC7B45" w14:textId="77777777" w:rsidTr="0060383F">
        <w:trPr>
          <w:trHeight w:val="289"/>
          <w:jc w:val="center"/>
        </w:trPr>
        <w:tc>
          <w:tcPr>
            <w:tcW w:w="3592" w:type="dxa"/>
            <w:tcBorders>
              <w:top w:val="single" w:sz="4" w:space="0" w:color="808080" w:themeColor="background1" w:themeShade="80"/>
              <w:left w:val="nil"/>
              <w:bottom w:val="single" w:sz="4" w:space="0" w:color="808080" w:themeColor="background1" w:themeShade="80"/>
              <w:right w:val="nil"/>
            </w:tcBorders>
            <w:shd w:val="clear" w:color="auto" w:fill="auto"/>
            <w:vAlign w:val="center"/>
            <w:hideMark/>
          </w:tcPr>
          <w:p w14:paraId="5412B3B9" w14:textId="77777777" w:rsidR="00EA2B5F" w:rsidRPr="0060383F" w:rsidRDefault="00EA2B5F" w:rsidP="0060383F">
            <w:pPr>
              <w:spacing w:after="0" w:line="240" w:lineRule="auto"/>
              <w:rPr>
                <w:rFonts w:asciiTheme="majorHAnsi" w:eastAsia="Times New Roman" w:hAnsiTheme="majorHAnsi" w:cstheme="majorHAnsi"/>
                <w:color w:val="000000"/>
                <w:sz w:val="19"/>
                <w:szCs w:val="19"/>
                <w:lang w:eastAsia="pl-PL"/>
              </w:rPr>
            </w:pPr>
            <w:r w:rsidRPr="0060383F">
              <w:rPr>
                <w:rFonts w:asciiTheme="majorHAnsi" w:eastAsia="Times New Roman" w:hAnsiTheme="majorHAnsi" w:cstheme="majorHAnsi"/>
                <w:color w:val="000000"/>
                <w:sz w:val="19"/>
                <w:szCs w:val="19"/>
                <w:lang w:eastAsia="pl-PL"/>
              </w:rPr>
              <w:t>użytki ekologiczne (w ha)</w:t>
            </w:r>
          </w:p>
        </w:tc>
        <w:tc>
          <w:tcPr>
            <w:tcW w:w="1418" w:type="dxa"/>
            <w:tcBorders>
              <w:top w:val="single" w:sz="4" w:space="0" w:color="808080" w:themeColor="background1" w:themeShade="80"/>
              <w:left w:val="nil"/>
              <w:bottom w:val="single" w:sz="4" w:space="0" w:color="808080" w:themeColor="background1" w:themeShade="80"/>
              <w:right w:val="nil"/>
            </w:tcBorders>
            <w:shd w:val="clear" w:color="auto" w:fill="auto"/>
            <w:noWrap/>
            <w:vAlign w:val="center"/>
            <w:hideMark/>
          </w:tcPr>
          <w:p w14:paraId="6C8593AD" w14:textId="77777777" w:rsidR="00EA2B5F" w:rsidRPr="00F25EBD" w:rsidRDefault="00EA2B5F" w:rsidP="0060383F">
            <w:pPr>
              <w:spacing w:after="0" w:line="240" w:lineRule="auto"/>
              <w:jc w:val="right"/>
              <w:rPr>
                <w:rFonts w:asciiTheme="majorHAnsi" w:eastAsia="Times New Roman" w:hAnsiTheme="majorHAnsi" w:cstheme="majorHAnsi"/>
                <w:sz w:val="20"/>
                <w:szCs w:val="20"/>
                <w:lang w:eastAsia="pl-PL"/>
              </w:rPr>
            </w:pPr>
            <w:r w:rsidRPr="00F25EBD">
              <w:rPr>
                <w:rFonts w:asciiTheme="majorHAnsi" w:hAnsiTheme="majorHAnsi" w:cstheme="majorHAnsi"/>
                <w:sz w:val="20"/>
                <w:szCs w:val="20"/>
              </w:rPr>
              <w:t>6.042,23</w:t>
            </w:r>
          </w:p>
        </w:tc>
        <w:tc>
          <w:tcPr>
            <w:tcW w:w="1134" w:type="dxa"/>
            <w:tcBorders>
              <w:top w:val="single" w:sz="4" w:space="0" w:color="808080" w:themeColor="background1" w:themeShade="80"/>
              <w:left w:val="nil"/>
              <w:bottom w:val="single" w:sz="4" w:space="0" w:color="808080" w:themeColor="background1" w:themeShade="80"/>
              <w:right w:val="nil"/>
            </w:tcBorders>
            <w:shd w:val="clear" w:color="auto" w:fill="auto"/>
            <w:noWrap/>
            <w:vAlign w:val="center"/>
            <w:hideMark/>
          </w:tcPr>
          <w:p w14:paraId="5B7F3B06" w14:textId="77777777" w:rsidR="00EA2B5F" w:rsidRPr="00F25EBD" w:rsidRDefault="00EA2B5F" w:rsidP="0060383F">
            <w:pPr>
              <w:spacing w:after="0" w:line="240" w:lineRule="auto"/>
              <w:jc w:val="right"/>
              <w:rPr>
                <w:rFonts w:asciiTheme="majorHAnsi" w:eastAsia="Times New Roman" w:hAnsiTheme="majorHAnsi" w:cstheme="majorHAnsi"/>
                <w:sz w:val="20"/>
                <w:szCs w:val="20"/>
                <w:lang w:eastAsia="pl-PL"/>
              </w:rPr>
            </w:pPr>
            <w:r w:rsidRPr="00F25EBD">
              <w:rPr>
                <w:rFonts w:asciiTheme="majorHAnsi" w:hAnsiTheme="majorHAnsi" w:cstheme="majorHAnsi"/>
                <w:sz w:val="20"/>
                <w:szCs w:val="20"/>
              </w:rPr>
              <w:t>1.076,34</w:t>
            </w:r>
          </w:p>
        </w:tc>
        <w:tc>
          <w:tcPr>
            <w:tcW w:w="1039" w:type="dxa"/>
            <w:tcBorders>
              <w:top w:val="single" w:sz="4" w:space="0" w:color="808080" w:themeColor="background1" w:themeShade="80"/>
              <w:left w:val="nil"/>
              <w:bottom w:val="single" w:sz="4" w:space="0" w:color="808080" w:themeColor="background1" w:themeShade="80"/>
              <w:right w:val="nil"/>
            </w:tcBorders>
            <w:shd w:val="clear" w:color="auto" w:fill="auto"/>
            <w:noWrap/>
            <w:vAlign w:val="center"/>
            <w:hideMark/>
          </w:tcPr>
          <w:p w14:paraId="3B0833AA" w14:textId="77777777" w:rsidR="00EA2B5F" w:rsidRPr="00F25EBD" w:rsidRDefault="00EA2B5F" w:rsidP="0060383F">
            <w:pPr>
              <w:spacing w:after="0" w:line="240" w:lineRule="auto"/>
              <w:jc w:val="right"/>
              <w:rPr>
                <w:rFonts w:asciiTheme="majorHAnsi" w:eastAsia="Times New Roman" w:hAnsiTheme="majorHAnsi" w:cstheme="majorHAnsi"/>
                <w:sz w:val="20"/>
                <w:szCs w:val="20"/>
                <w:lang w:eastAsia="pl-PL"/>
              </w:rPr>
            </w:pPr>
            <w:r w:rsidRPr="00F25EBD">
              <w:rPr>
                <w:rFonts w:asciiTheme="majorHAnsi" w:hAnsiTheme="majorHAnsi" w:cstheme="majorHAnsi"/>
                <w:sz w:val="20"/>
                <w:szCs w:val="20"/>
              </w:rPr>
              <w:t>0,00</w:t>
            </w:r>
          </w:p>
        </w:tc>
        <w:tc>
          <w:tcPr>
            <w:tcW w:w="992" w:type="dxa"/>
            <w:tcBorders>
              <w:top w:val="single" w:sz="4" w:space="0" w:color="808080" w:themeColor="background1" w:themeShade="80"/>
              <w:left w:val="nil"/>
              <w:bottom w:val="single" w:sz="4" w:space="0" w:color="808080" w:themeColor="background1" w:themeShade="80"/>
              <w:right w:val="nil"/>
            </w:tcBorders>
            <w:shd w:val="clear" w:color="auto" w:fill="auto"/>
            <w:noWrap/>
            <w:vAlign w:val="center"/>
            <w:hideMark/>
          </w:tcPr>
          <w:p w14:paraId="44B2DC78" w14:textId="77777777" w:rsidR="00EA2B5F" w:rsidRPr="00F25EBD" w:rsidRDefault="00EA2B5F" w:rsidP="0060383F">
            <w:pPr>
              <w:spacing w:after="0" w:line="240" w:lineRule="auto"/>
              <w:jc w:val="right"/>
              <w:rPr>
                <w:rFonts w:asciiTheme="majorHAnsi" w:eastAsia="Times New Roman" w:hAnsiTheme="majorHAnsi" w:cstheme="majorHAnsi"/>
                <w:sz w:val="20"/>
                <w:szCs w:val="20"/>
                <w:lang w:eastAsia="pl-PL"/>
              </w:rPr>
            </w:pPr>
            <w:r w:rsidRPr="00F25EBD">
              <w:rPr>
                <w:rFonts w:asciiTheme="majorHAnsi" w:hAnsiTheme="majorHAnsi" w:cstheme="majorHAnsi"/>
                <w:sz w:val="20"/>
                <w:szCs w:val="20"/>
              </w:rPr>
              <w:t>600,43</w:t>
            </w:r>
          </w:p>
        </w:tc>
        <w:tc>
          <w:tcPr>
            <w:tcW w:w="1134" w:type="dxa"/>
            <w:tcBorders>
              <w:top w:val="single" w:sz="4" w:space="0" w:color="808080" w:themeColor="background1" w:themeShade="80"/>
              <w:left w:val="nil"/>
              <w:bottom w:val="single" w:sz="4" w:space="0" w:color="808080" w:themeColor="background1" w:themeShade="80"/>
              <w:right w:val="nil"/>
            </w:tcBorders>
            <w:shd w:val="clear" w:color="auto" w:fill="auto"/>
            <w:noWrap/>
            <w:vAlign w:val="center"/>
            <w:hideMark/>
          </w:tcPr>
          <w:p w14:paraId="1CC0CE06" w14:textId="77777777" w:rsidR="00EA2B5F" w:rsidRPr="00F25EBD" w:rsidRDefault="00EA2B5F" w:rsidP="0060383F">
            <w:pPr>
              <w:spacing w:after="0" w:line="240" w:lineRule="auto"/>
              <w:jc w:val="right"/>
              <w:rPr>
                <w:rFonts w:asciiTheme="majorHAnsi" w:eastAsia="Times New Roman" w:hAnsiTheme="majorHAnsi" w:cstheme="majorHAnsi"/>
                <w:sz w:val="20"/>
                <w:szCs w:val="20"/>
                <w:lang w:eastAsia="pl-PL"/>
              </w:rPr>
            </w:pPr>
            <w:r w:rsidRPr="00F25EBD">
              <w:rPr>
                <w:rFonts w:asciiTheme="majorHAnsi" w:hAnsiTheme="majorHAnsi" w:cstheme="majorHAnsi"/>
                <w:sz w:val="20"/>
                <w:szCs w:val="20"/>
              </w:rPr>
              <w:t>242,47</w:t>
            </w:r>
          </w:p>
        </w:tc>
      </w:tr>
      <w:tr w:rsidR="00EA2B5F" w:rsidRPr="00F25EBD" w14:paraId="5407E144" w14:textId="77777777" w:rsidTr="0060383F">
        <w:trPr>
          <w:trHeight w:val="289"/>
          <w:jc w:val="center"/>
        </w:trPr>
        <w:tc>
          <w:tcPr>
            <w:tcW w:w="3592" w:type="dxa"/>
            <w:tcBorders>
              <w:top w:val="single" w:sz="4" w:space="0" w:color="808080" w:themeColor="background1" w:themeShade="80"/>
              <w:left w:val="nil"/>
              <w:bottom w:val="single" w:sz="4" w:space="0" w:color="808080" w:themeColor="background1" w:themeShade="80"/>
              <w:right w:val="nil"/>
            </w:tcBorders>
            <w:shd w:val="clear" w:color="auto" w:fill="auto"/>
            <w:vAlign w:val="center"/>
            <w:hideMark/>
          </w:tcPr>
          <w:p w14:paraId="1301DDA9" w14:textId="77777777" w:rsidR="00EA2B5F" w:rsidRPr="0060383F" w:rsidRDefault="00EA2B5F" w:rsidP="0060383F">
            <w:pPr>
              <w:spacing w:after="0" w:line="240" w:lineRule="auto"/>
              <w:rPr>
                <w:rFonts w:asciiTheme="majorHAnsi" w:eastAsia="Times New Roman" w:hAnsiTheme="majorHAnsi" w:cstheme="majorHAnsi"/>
                <w:color w:val="000000"/>
                <w:sz w:val="19"/>
                <w:szCs w:val="19"/>
                <w:lang w:eastAsia="pl-PL"/>
              </w:rPr>
            </w:pPr>
            <w:r w:rsidRPr="0060383F">
              <w:rPr>
                <w:rFonts w:asciiTheme="majorHAnsi" w:eastAsia="Times New Roman" w:hAnsiTheme="majorHAnsi" w:cstheme="majorHAnsi"/>
                <w:color w:val="000000"/>
                <w:sz w:val="19"/>
                <w:szCs w:val="19"/>
                <w:lang w:eastAsia="pl-PL"/>
              </w:rPr>
              <w:t>stanowiska dokumentacyjne (w ha)</w:t>
            </w:r>
          </w:p>
        </w:tc>
        <w:tc>
          <w:tcPr>
            <w:tcW w:w="1418" w:type="dxa"/>
            <w:tcBorders>
              <w:top w:val="single" w:sz="4" w:space="0" w:color="808080" w:themeColor="background1" w:themeShade="80"/>
              <w:left w:val="nil"/>
              <w:bottom w:val="single" w:sz="4" w:space="0" w:color="808080" w:themeColor="background1" w:themeShade="80"/>
              <w:right w:val="nil"/>
            </w:tcBorders>
            <w:shd w:val="clear" w:color="auto" w:fill="auto"/>
            <w:noWrap/>
            <w:vAlign w:val="center"/>
            <w:hideMark/>
          </w:tcPr>
          <w:p w14:paraId="49A15CD5" w14:textId="77777777" w:rsidR="00EA2B5F" w:rsidRPr="00F25EBD" w:rsidRDefault="00EA2B5F" w:rsidP="0060383F">
            <w:pPr>
              <w:spacing w:after="0" w:line="240" w:lineRule="auto"/>
              <w:jc w:val="right"/>
              <w:rPr>
                <w:rFonts w:asciiTheme="majorHAnsi" w:eastAsia="Times New Roman" w:hAnsiTheme="majorHAnsi" w:cstheme="majorHAnsi"/>
                <w:sz w:val="20"/>
                <w:szCs w:val="20"/>
                <w:lang w:eastAsia="pl-PL"/>
              </w:rPr>
            </w:pPr>
            <w:r w:rsidRPr="00F25EBD">
              <w:rPr>
                <w:rFonts w:asciiTheme="majorHAnsi" w:hAnsiTheme="majorHAnsi" w:cstheme="majorHAnsi"/>
                <w:sz w:val="20"/>
                <w:szCs w:val="20"/>
              </w:rPr>
              <w:t>2,00</w:t>
            </w:r>
          </w:p>
        </w:tc>
        <w:tc>
          <w:tcPr>
            <w:tcW w:w="1134" w:type="dxa"/>
            <w:tcBorders>
              <w:top w:val="single" w:sz="4" w:space="0" w:color="808080" w:themeColor="background1" w:themeShade="80"/>
              <w:left w:val="nil"/>
              <w:bottom w:val="single" w:sz="4" w:space="0" w:color="808080" w:themeColor="background1" w:themeShade="80"/>
              <w:right w:val="nil"/>
            </w:tcBorders>
            <w:shd w:val="clear" w:color="auto" w:fill="auto"/>
            <w:noWrap/>
            <w:vAlign w:val="center"/>
            <w:hideMark/>
          </w:tcPr>
          <w:p w14:paraId="4E73394F" w14:textId="77777777" w:rsidR="00EA2B5F" w:rsidRPr="00F25EBD" w:rsidRDefault="00EA2B5F" w:rsidP="0060383F">
            <w:pPr>
              <w:spacing w:after="0" w:line="240" w:lineRule="auto"/>
              <w:jc w:val="right"/>
              <w:rPr>
                <w:rFonts w:asciiTheme="majorHAnsi" w:eastAsia="Times New Roman" w:hAnsiTheme="majorHAnsi" w:cstheme="majorHAnsi"/>
                <w:sz w:val="20"/>
                <w:szCs w:val="20"/>
                <w:lang w:eastAsia="pl-PL"/>
              </w:rPr>
            </w:pPr>
            <w:r w:rsidRPr="00F25EBD">
              <w:rPr>
                <w:rFonts w:asciiTheme="majorHAnsi" w:hAnsiTheme="majorHAnsi" w:cstheme="majorHAnsi"/>
                <w:sz w:val="20"/>
                <w:szCs w:val="20"/>
              </w:rPr>
              <w:t>0,00</w:t>
            </w:r>
          </w:p>
        </w:tc>
        <w:tc>
          <w:tcPr>
            <w:tcW w:w="1039" w:type="dxa"/>
            <w:tcBorders>
              <w:top w:val="single" w:sz="4" w:space="0" w:color="808080" w:themeColor="background1" w:themeShade="80"/>
              <w:left w:val="nil"/>
              <w:bottom w:val="single" w:sz="4" w:space="0" w:color="808080" w:themeColor="background1" w:themeShade="80"/>
              <w:right w:val="nil"/>
            </w:tcBorders>
            <w:shd w:val="clear" w:color="auto" w:fill="auto"/>
            <w:noWrap/>
            <w:vAlign w:val="center"/>
            <w:hideMark/>
          </w:tcPr>
          <w:p w14:paraId="356A750D" w14:textId="77777777" w:rsidR="00EA2B5F" w:rsidRPr="00F25EBD" w:rsidRDefault="00EA2B5F" w:rsidP="0060383F">
            <w:pPr>
              <w:spacing w:after="0" w:line="240" w:lineRule="auto"/>
              <w:jc w:val="right"/>
              <w:rPr>
                <w:rFonts w:asciiTheme="majorHAnsi" w:eastAsia="Times New Roman" w:hAnsiTheme="majorHAnsi" w:cstheme="majorHAnsi"/>
                <w:sz w:val="20"/>
                <w:szCs w:val="20"/>
                <w:lang w:eastAsia="pl-PL"/>
              </w:rPr>
            </w:pPr>
            <w:r w:rsidRPr="00F25EBD">
              <w:rPr>
                <w:rFonts w:asciiTheme="majorHAnsi" w:hAnsiTheme="majorHAnsi" w:cstheme="majorHAnsi"/>
                <w:sz w:val="20"/>
                <w:szCs w:val="20"/>
              </w:rPr>
              <w:t>0,00</w:t>
            </w:r>
          </w:p>
        </w:tc>
        <w:tc>
          <w:tcPr>
            <w:tcW w:w="992" w:type="dxa"/>
            <w:tcBorders>
              <w:top w:val="single" w:sz="4" w:space="0" w:color="808080" w:themeColor="background1" w:themeShade="80"/>
              <w:left w:val="nil"/>
              <w:bottom w:val="single" w:sz="4" w:space="0" w:color="808080" w:themeColor="background1" w:themeShade="80"/>
              <w:right w:val="nil"/>
            </w:tcBorders>
            <w:shd w:val="clear" w:color="auto" w:fill="auto"/>
            <w:noWrap/>
            <w:vAlign w:val="center"/>
            <w:hideMark/>
          </w:tcPr>
          <w:p w14:paraId="50193609" w14:textId="77777777" w:rsidR="00EA2B5F" w:rsidRPr="00F25EBD" w:rsidRDefault="00EA2B5F" w:rsidP="0060383F">
            <w:pPr>
              <w:spacing w:after="0" w:line="240" w:lineRule="auto"/>
              <w:jc w:val="right"/>
              <w:rPr>
                <w:rFonts w:asciiTheme="majorHAnsi" w:eastAsia="Times New Roman" w:hAnsiTheme="majorHAnsi" w:cstheme="majorHAnsi"/>
                <w:sz w:val="20"/>
                <w:szCs w:val="20"/>
                <w:lang w:eastAsia="pl-PL"/>
              </w:rPr>
            </w:pPr>
            <w:r w:rsidRPr="00F25EBD">
              <w:rPr>
                <w:rFonts w:asciiTheme="majorHAnsi" w:hAnsiTheme="majorHAnsi" w:cstheme="majorHAnsi"/>
                <w:sz w:val="20"/>
                <w:szCs w:val="20"/>
              </w:rPr>
              <w:t>0,00</w:t>
            </w:r>
          </w:p>
        </w:tc>
        <w:tc>
          <w:tcPr>
            <w:tcW w:w="1134" w:type="dxa"/>
            <w:tcBorders>
              <w:top w:val="single" w:sz="4" w:space="0" w:color="808080" w:themeColor="background1" w:themeShade="80"/>
              <w:left w:val="nil"/>
              <w:bottom w:val="single" w:sz="4" w:space="0" w:color="808080" w:themeColor="background1" w:themeShade="80"/>
              <w:right w:val="nil"/>
            </w:tcBorders>
            <w:shd w:val="clear" w:color="auto" w:fill="auto"/>
            <w:noWrap/>
            <w:vAlign w:val="center"/>
            <w:hideMark/>
          </w:tcPr>
          <w:p w14:paraId="723AC797" w14:textId="77777777" w:rsidR="00EA2B5F" w:rsidRPr="00F25EBD" w:rsidRDefault="00EA2B5F" w:rsidP="0060383F">
            <w:pPr>
              <w:spacing w:after="0" w:line="240" w:lineRule="auto"/>
              <w:jc w:val="right"/>
              <w:rPr>
                <w:rFonts w:asciiTheme="majorHAnsi" w:eastAsia="Times New Roman" w:hAnsiTheme="majorHAnsi" w:cstheme="majorHAnsi"/>
                <w:sz w:val="20"/>
                <w:szCs w:val="20"/>
                <w:lang w:eastAsia="pl-PL"/>
              </w:rPr>
            </w:pPr>
            <w:r w:rsidRPr="00F25EBD">
              <w:rPr>
                <w:rFonts w:asciiTheme="majorHAnsi" w:hAnsiTheme="majorHAnsi" w:cstheme="majorHAnsi"/>
                <w:sz w:val="20"/>
                <w:szCs w:val="20"/>
              </w:rPr>
              <w:t>0,00</w:t>
            </w:r>
          </w:p>
        </w:tc>
      </w:tr>
      <w:tr w:rsidR="00EA2B5F" w:rsidRPr="00F25EBD" w14:paraId="64A51F29" w14:textId="77777777" w:rsidTr="0060383F">
        <w:trPr>
          <w:trHeight w:val="289"/>
          <w:jc w:val="center"/>
        </w:trPr>
        <w:tc>
          <w:tcPr>
            <w:tcW w:w="3592" w:type="dxa"/>
            <w:tcBorders>
              <w:top w:val="single" w:sz="4" w:space="0" w:color="808080" w:themeColor="background1" w:themeShade="80"/>
              <w:left w:val="nil"/>
              <w:bottom w:val="single" w:sz="4" w:space="0" w:color="808080" w:themeColor="background1" w:themeShade="80"/>
              <w:right w:val="nil"/>
            </w:tcBorders>
            <w:shd w:val="clear" w:color="auto" w:fill="auto"/>
            <w:vAlign w:val="center"/>
            <w:hideMark/>
          </w:tcPr>
          <w:p w14:paraId="4D59DFD2" w14:textId="77777777" w:rsidR="00EA2B5F" w:rsidRPr="0060383F" w:rsidRDefault="00EA2B5F" w:rsidP="0060383F">
            <w:pPr>
              <w:spacing w:after="0" w:line="240" w:lineRule="auto"/>
              <w:rPr>
                <w:rFonts w:asciiTheme="majorHAnsi" w:eastAsia="Times New Roman" w:hAnsiTheme="majorHAnsi" w:cstheme="majorHAnsi"/>
                <w:color w:val="000000"/>
                <w:sz w:val="19"/>
                <w:szCs w:val="19"/>
                <w:lang w:eastAsia="pl-PL"/>
              </w:rPr>
            </w:pPr>
            <w:r w:rsidRPr="0060383F">
              <w:rPr>
                <w:rFonts w:asciiTheme="majorHAnsi" w:eastAsia="Times New Roman" w:hAnsiTheme="majorHAnsi" w:cstheme="majorHAnsi"/>
                <w:color w:val="000000"/>
                <w:sz w:val="19"/>
                <w:szCs w:val="19"/>
                <w:lang w:eastAsia="pl-PL"/>
              </w:rPr>
              <w:t>zespoły przyrodniczo-krajobrazowe (w ha)</w:t>
            </w:r>
          </w:p>
        </w:tc>
        <w:tc>
          <w:tcPr>
            <w:tcW w:w="1418" w:type="dxa"/>
            <w:tcBorders>
              <w:top w:val="single" w:sz="4" w:space="0" w:color="808080" w:themeColor="background1" w:themeShade="80"/>
              <w:left w:val="nil"/>
              <w:bottom w:val="single" w:sz="4" w:space="0" w:color="808080" w:themeColor="background1" w:themeShade="80"/>
              <w:right w:val="nil"/>
            </w:tcBorders>
            <w:shd w:val="clear" w:color="auto" w:fill="auto"/>
            <w:noWrap/>
            <w:vAlign w:val="center"/>
            <w:hideMark/>
          </w:tcPr>
          <w:p w14:paraId="0BEC4745" w14:textId="77777777" w:rsidR="00EA2B5F" w:rsidRPr="00F25EBD" w:rsidRDefault="00EA2B5F" w:rsidP="0060383F">
            <w:pPr>
              <w:spacing w:after="0" w:line="240" w:lineRule="auto"/>
              <w:jc w:val="right"/>
              <w:rPr>
                <w:rFonts w:asciiTheme="majorHAnsi" w:eastAsia="Times New Roman" w:hAnsiTheme="majorHAnsi" w:cstheme="majorHAnsi"/>
                <w:sz w:val="20"/>
                <w:szCs w:val="20"/>
                <w:lang w:eastAsia="pl-PL"/>
              </w:rPr>
            </w:pPr>
            <w:r w:rsidRPr="00F25EBD">
              <w:rPr>
                <w:rFonts w:asciiTheme="majorHAnsi" w:hAnsiTheme="majorHAnsi" w:cstheme="majorHAnsi"/>
                <w:sz w:val="20"/>
                <w:szCs w:val="20"/>
              </w:rPr>
              <w:t>24.517,31</w:t>
            </w:r>
          </w:p>
        </w:tc>
        <w:tc>
          <w:tcPr>
            <w:tcW w:w="1134" w:type="dxa"/>
            <w:tcBorders>
              <w:top w:val="single" w:sz="4" w:space="0" w:color="808080" w:themeColor="background1" w:themeShade="80"/>
              <w:left w:val="nil"/>
              <w:bottom w:val="single" w:sz="4" w:space="0" w:color="808080" w:themeColor="background1" w:themeShade="80"/>
              <w:right w:val="nil"/>
            </w:tcBorders>
            <w:shd w:val="clear" w:color="auto" w:fill="auto"/>
            <w:noWrap/>
            <w:vAlign w:val="center"/>
            <w:hideMark/>
          </w:tcPr>
          <w:p w14:paraId="0276DC97" w14:textId="77777777" w:rsidR="00EA2B5F" w:rsidRPr="00F25EBD" w:rsidRDefault="00EA2B5F" w:rsidP="0060383F">
            <w:pPr>
              <w:spacing w:after="0" w:line="240" w:lineRule="auto"/>
              <w:jc w:val="right"/>
              <w:rPr>
                <w:rFonts w:asciiTheme="majorHAnsi" w:eastAsia="Times New Roman" w:hAnsiTheme="majorHAnsi" w:cstheme="majorHAnsi"/>
                <w:sz w:val="20"/>
                <w:szCs w:val="20"/>
                <w:lang w:eastAsia="pl-PL"/>
              </w:rPr>
            </w:pPr>
            <w:r w:rsidRPr="00F25EBD">
              <w:rPr>
                <w:rFonts w:asciiTheme="majorHAnsi" w:hAnsiTheme="majorHAnsi" w:cstheme="majorHAnsi"/>
                <w:sz w:val="20"/>
                <w:szCs w:val="20"/>
              </w:rPr>
              <w:t>365,00</w:t>
            </w:r>
          </w:p>
        </w:tc>
        <w:tc>
          <w:tcPr>
            <w:tcW w:w="1039" w:type="dxa"/>
            <w:tcBorders>
              <w:top w:val="single" w:sz="4" w:space="0" w:color="808080" w:themeColor="background1" w:themeShade="80"/>
              <w:left w:val="nil"/>
              <w:bottom w:val="single" w:sz="4" w:space="0" w:color="808080" w:themeColor="background1" w:themeShade="80"/>
              <w:right w:val="nil"/>
            </w:tcBorders>
            <w:shd w:val="clear" w:color="auto" w:fill="auto"/>
            <w:noWrap/>
            <w:vAlign w:val="center"/>
            <w:hideMark/>
          </w:tcPr>
          <w:p w14:paraId="24F93B03" w14:textId="77777777" w:rsidR="00EA2B5F" w:rsidRPr="00F25EBD" w:rsidRDefault="00EA2B5F" w:rsidP="0060383F">
            <w:pPr>
              <w:spacing w:after="0" w:line="240" w:lineRule="auto"/>
              <w:jc w:val="right"/>
              <w:rPr>
                <w:rFonts w:asciiTheme="majorHAnsi" w:eastAsia="Times New Roman" w:hAnsiTheme="majorHAnsi" w:cstheme="majorHAnsi"/>
                <w:sz w:val="20"/>
                <w:szCs w:val="20"/>
                <w:lang w:eastAsia="pl-PL"/>
              </w:rPr>
            </w:pPr>
            <w:r w:rsidRPr="00F25EBD">
              <w:rPr>
                <w:rFonts w:asciiTheme="majorHAnsi" w:hAnsiTheme="majorHAnsi" w:cstheme="majorHAnsi"/>
                <w:sz w:val="20"/>
                <w:szCs w:val="20"/>
              </w:rPr>
              <w:t>620,00</w:t>
            </w:r>
          </w:p>
        </w:tc>
        <w:tc>
          <w:tcPr>
            <w:tcW w:w="992" w:type="dxa"/>
            <w:tcBorders>
              <w:top w:val="single" w:sz="4" w:space="0" w:color="808080" w:themeColor="background1" w:themeShade="80"/>
              <w:left w:val="nil"/>
              <w:bottom w:val="single" w:sz="4" w:space="0" w:color="808080" w:themeColor="background1" w:themeShade="80"/>
              <w:right w:val="nil"/>
            </w:tcBorders>
            <w:shd w:val="clear" w:color="auto" w:fill="auto"/>
            <w:noWrap/>
            <w:vAlign w:val="center"/>
            <w:hideMark/>
          </w:tcPr>
          <w:p w14:paraId="0859B7BD" w14:textId="77777777" w:rsidR="00EA2B5F" w:rsidRPr="00F25EBD" w:rsidRDefault="00EA2B5F" w:rsidP="0060383F">
            <w:pPr>
              <w:spacing w:after="0" w:line="240" w:lineRule="auto"/>
              <w:jc w:val="right"/>
              <w:rPr>
                <w:rFonts w:asciiTheme="majorHAnsi" w:eastAsia="Times New Roman" w:hAnsiTheme="majorHAnsi" w:cstheme="majorHAnsi"/>
                <w:sz w:val="20"/>
                <w:szCs w:val="20"/>
                <w:lang w:eastAsia="pl-PL"/>
              </w:rPr>
            </w:pPr>
            <w:r w:rsidRPr="00F25EBD">
              <w:rPr>
                <w:rFonts w:asciiTheme="majorHAnsi" w:hAnsiTheme="majorHAnsi" w:cstheme="majorHAnsi"/>
                <w:sz w:val="20"/>
                <w:szCs w:val="20"/>
              </w:rPr>
              <w:t>0,00</w:t>
            </w:r>
          </w:p>
        </w:tc>
        <w:tc>
          <w:tcPr>
            <w:tcW w:w="1134" w:type="dxa"/>
            <w:tcBorders>
              <w:top w:val="single" w:sz="4" w:space="0" w:color="808080" w:themeColor="background1" w:themeShade="80"/>
              <w:left w:val="nil"/>
              <w:bottom w:val="single" w:sz="4" w:space="0" w:color="808080" w:themeColor="background1" w:themeShade="80"/>
              <w:right w:val="nil"/>
            </w:tcBorders>
            <w:shd w:val="clear" w:color="auto" w:fill="auto"/>
            <w:noWrap/>
            <w:vAlign w:val="center"/>
            <w:hideMark/>
          </w:tcPr>
          <w:p w14:paraId="74EA8960" w14:textId="77777777" w:rsidR="00EA2B5F" w:rsidRPr="00F25EBD" w:rsidRDefault="00EA2B5F" w:rsidP="0060383F">
            <w:pPr>
              <w:spacing w:after="0" w:line="240" w:lineRule="auto"/>
              <w:jc w:val="right"/>
              <w:rPr>
                <w:rFonts w:asciiTheme="majorHAnsi" w:eastAsia="Times New Roman" w:hAnsiTheme="majorHAnsi" w:cstheme="majorHAnsi"/>
                <w:sz w:val="20"/>
                <w:szCs w:val="20"/>
                <w:lang w:eastAsia="pl-PL"/>
              </w:rPr>
            </w:pPr>
            <w:r w:rsidRPr="00F25EBD">
              <w:rPr>
                <w:rFonts w:asciiTheme="majorHAnsi" w:hAnsiTheme="majorHAnsi" w:cstheme="majorHAnsi"/>
                <w:sz w:val="20"/>
                <w:szCs w:val="20"/>
              </w:rPr>
              <w:t>6.071,43</w:t>
            </w:r>
          </w:p>
        </w:tc>
      </w:tr>
      <w:tr w:rsidR="00EA2B5F" w:rsidRPr="00F25EBD" w14:paraId="6C914158" w14:textId="77777777" w:rsidTr="0060383F">
        <w:trPr>
          <w:trHeight w:val="289"/>
          <w:jc w:val="center"/>
        </w:trPr>
        <w:tc>
          <w:tcPr>
            <w:tcW w:w="3592" w:type="dxa"/>
            <w:tcBorders>
              <w:top w:val="single" w:sz="4" w:space="0" w:color="808080" w:themeColor="background1" w:themeShade="80"/>
              <w:left w:val="nil"/>
              <w:bottom w:val="single" w:sz="4" w:space="0" w:color="808080" w:themeColor="background1" w:themeShade="80"/>
              <w:right w:val="nil"/>
            </w:tcBorders>
            <w:shd w:val="clear" w:color="auto" w:fill="auto"/>
            <w:noWrap/>
            <w:vAlign w:val="bottom"/>
            <w:hideMark/>
          </w:tcPr>
          <w:p w14:paraId="2DA94854" w14:textId="77777777" w:rsidR="00EA2B5F" w:rsidRPr="0060383F" w:rsidRDefault="00EA2B5F" w:rsidP="0060383F">
            <w:pPr>
              <w:spacing w:after="0" w:line="240" w:lineRule="auto"/>
              <w:rPr>
                <w:rFonts w:asciiTheme="majorHAnsi" w:eastAsia="Times New Roman" w:hAnsiTheme="majorHAnsi" w:cstheme="majorHAnsi"/>
                <w:sz w:val="19"/>
                <w:szCs w:val="19"/>
                <w:lang w:eastAsia="pl-PL"/>
              </w:rPr>
            </w:pPr>
            <w:r w:rsidRPr="0060383F">
              <w:rPr>
                <w:rFonts w:asciiTheme="majorHAnsi" w:eastAsia="Times New Roman" w:hAnsiTheme="majorHAnsi" w:cstheme="majorHAnsi"/>
                <w:sz w:val="19"/>
                <w:szCs w:val="19"/>
                <w:lang w:eastAsia="pl-PL"/>
              </w:rPr>
              <w:t>pomniki przyrody (w szt.)</w:t>
            </w:r>
          </w:p>
        </w:tc>
        <w:tc>
          <w:tcPr>
            <w:tcW w:w="1418" w:type="dxa"/>
            <w:tcBorders>
              <w:top w:val="single" w:sz="4" w:space="0" w:color="808080" w:themeColor="background1" w:themeShade="80"/>
              <w:left w:val="nil"/>
              <w:bottom w:val="single" w:sz="4" w:space="0" w:color="808080" w:themeColor="background1" w:themeShade="80"/>
              <w:right w:val="nil"/>
            </w:tcBorders>
            <w:shd w:val="clear" w:color="auto" w:fill="auto"/>
            <w:noWrap/>
            <w:vAlign w:val="center"/>
            <w:hideMark/>
          </w:tcPr>
          <w:p w14:paraId="52488F96" w14:textId="77777777" w:rsidR="00EA2B5F" w:rsidRPr="00F25EBD" w:rsidRDefault="00EA2B5F" w:rsidP="0060383F">
            <w:pPr>
              <w:spacing w:after="0" w:line="240" w:lineRule="auto"/>
              <w:jc w:val="right"/>
              <w:rPr>
                <w:rFonts w:asciiTheme="majorHAnsi" w:eastAsia="Times New Roman" w:hAnsiTheme="majorHAnsi" w:cstheme="majorHAnsi"/>
                <w:sz w:val="20"/>
                <w:szCs w:val="20"/>
                <w:lang w:eastAsia="pl-PL"/>
              </w:rPr>
            </w:pPr>
            <w:r w:rsidRPr="00F25EBD">
              <w:rPr>
                <w:rFonts w:asciiTheme="majorHAnsi" w:hAnsiTheme="majorHAnsi" w:cstheme="majorHAnsi"/>
                <w:sz w:val="20"/>
                <w:szCs w:val="20"/>
              </w:rPr>
              <w:t>2.330</w:t>
            </w:r>
          </w:p>
        </w:tc>
        <w:tc>
          <w:tcPr>
            <w:tcW w:w="1134" w:type="dxa"/>
            <w:tcBorders>
              <w:top w:val="single" w:sz="4" w:space="0" w:color="808080" w:themeColor="background1" w:themeShade="80"/>
              <w:left w:val="nil"/>
              <w:bottom w:val="single" w:sz="4" w:space="0" w:color="808080" w:themeColor="background1" w:themeShade="80"/>
              <w:right w:val="nil"/>
            </w:tcBorders>
            <w:shd w:val="clear" w:color="auto" w:fill="auto"/>
            <w:noWrap/>
            <w:vAlign w:val="center"/>
            <w:hideMark/>
          </w:tcPr>
          <w:p w14:paraId="44B95BDD" w14:textId="77777777" w:rsidR="00EA2B5F" w:rsidRPr="00F25EBD" w:rsidRDefault="00EA2B5F" w:rsidP="0060383F">
            <w:pPr>
              <w:spacing w:after="0" w:line="240" w:lineRule="auto"/>
              <w:jc w:val="right"/>
              <w:rPr>
                <w:rFonts w:asciiTheme="majorHAnsi" w:eastAsia="Times New Roman" w:hAnsiTheme="majorHAnsi" w:cstheme="majorHAnsi"/>
                <w:sz w:val="20"/>
                <w:szCs w:val="20"/>
                <w:lang w:eastAsia="pl-PL"/>
              </w:rPr>
            </w:pPr>
            <w:r w:rsidRPr="00F25EBD">
              <w:rPr>
                <w:rFonts w:asciiTheme="majorHAnsi" w:hAnsiTheme="majorHAnsi" w:cstheme="majorHAnsi"/>
                <w:sz w:val="20"/>
                <w:szCs w:val="20"/>
              </w:rPr>
              <w:t>101</w:t>
            </w:r>
          </w:p>
        </w:tc>
        <w:tc>
          <w:tcPr>
            <w:tcW w:w="1039" w:type="dxa"/>
            <w:tcBorders>
              <w:top w:val="single" w:sz="4" w:space="0" w:color="808080" w:themeColor="background1" w:themeShade="80"/>
              <w:left w:val="nil"/>
              <w:bottom w:val="single" w:sz="4" w:space="0" w:color="808080" w:themeColor="background1" w:themeShade="80"/>
              <w:right w:val="nil"/>
            </w:tcBorders>
            <w:shd w:val="clear" w:color="auto" w:fill="auto"/>
            <w:noWrap/>
            <w:vAlign w:val="center"/>
            <w:hideMark/>
          </w:tcPr>
          <w:p w14:paraId="1605F61E" w14:textId="77777777" w:rsidR="00EA2B5F" w:rsidRPr="00F25EBD" w:rsidRDefault="00EA2B5F" w:rsidP="0060383F">
            <w:pPr>
              <w:spacing w:after="0" w:line="240" w:lineRule="auto"/>
              <w:jc w:val="right"/>
              <w:rPr>
                <w:rFonts w:asciiTheme="majorHAnsi" w:eastAsia="Times New Roman" w:hAnsiTheme="majorHAnsi" w:cstheme="majorHAnsi"/>
                <w:sz w:val="20"/>
                <w:szCs w:val="20"/>
                <w:lang w:eastAsia="pl-PL"/>
              </w:rPr>
            </w:pPr>
            <w:r w:rsidRPr="00F25EBD">
              <w:rPr>
                <w:rFonts w:asciiTheme="majorHAnsi" w:hAnsiTheme="majorHAnsi" w:cstheme="majorHAnsi"/>
                <w:sz w:val="20"/>
                <w:szCs w:val="20"/>
              </w:rPr>
              <w:t>22</w:t>
            </w:r>
          </w:p>
        </w:tc>
        <w:tc>
          <w:tcPr>
            <w:tcW w:w="992" w:type="dxa"/>
            <w:tcBorders>
              <w:top w:val="single" w:sz="4" w:space="0" w:color="808080" w:themeColor="background1" w:themeShade="80"/>
              <w:left w:val="nil"/>
              <w:bottom w:val="single" w:sz="4" w:space="0" w:color="808080" w:themeColor="background1" w:themeShade="80"/>
              <w:right w:val="nil"/>
            </w:tcBorders>
            <w:shd w:val="clear" w:color="auto" w:fill="auto"/>
            <w:noWrap/>
            <w:vAlign w:val="center"/>
            <w:hideMark/>
          </w:tcPr>
          <w:p w14:paraId="7DBFA5A6" w14:textId="77777777" w:rsidR="00EA2B5F" w:rsidRPr="00F25EBD" w:rsidRDefault="00EA2B5F" w:rsidP="0060383F">
            <w:pPr>
              <w:spacing w:after="0" w:line="240" w:lineRule="auto"/>
              <w:jc w:val="right"/>
              <w:rPr>
                <w:rFonts w:asciiTheme="majorHAnsi" w:eastAsia="Times New Roman" w:hAnsiTheme="majorHAnsi" w:cstheme="majorHAnsi"/>
                <w:sz w:val="20"/>
                <w:szCs w:val="20"/>
                <w:lang w:eastAsia="pl-PL"/>
              </w:rPr>
            </w:pPr>
            <w:r w:rsidRPr="00F25EBD">
              <w:rPr>
                <w:rFonts w:asciiTheme="majorHAnsi" w:hAnsiTheme="majorHAnsi" w:cstheme="majorHAnsi"/>
                <w:sz w:val="20"/>
                <w:szCs w:val="20"/>
              </w:rPr>
              <w:t>123</w:t>
            </w:r>
          </w:p>
        </w:tc>
        <w:tc>
          <w:tcPr>
            <w:tcW w:w="1134" w:type="dxa"/>
            <w:tcBorders>
              <w:top w:val="single" w:sz="4" w:space="0" w:color="808080" w:themeColor="background1" w:themeShade="80"/>
              <w:left w:val="nil"/>
              <w:bottom w:val="single" w:sz="4" w:space="0" w:color="808080" w:themeColor="background1" w:themeShade="80"/>
              <w:right w:val="nil"/>
            </w:tcBorders>
            <w:shd w:val="clear" w:color="auto" w:fill="auto"/>
            <w:noWrap/>
            <w:vAlign w:val="center"/>
            <w:hideMark/>
          </w:tcPr>
          <w:p w14:paraId="3C42DFD2" w14:textId="77777777" w:rsidR="00EA2B5F" w:rsidRPr="00F25EBD" w:rsidRDefault="00EA2B5F" w:rsidP="0060383F">
            <w:pPr>
              <w:spacing w:after="0" w:line="240" w:lineRule="auto"/>
              <w:jc w:val="right"/>
              <w:rPr>
                <w:rFonts w:asciiTheme="majorHAnsi" w:eastAsia="Times New Roman" w:hAnsiTheme="majorHAnsi" w:cstheme="majorHAnsi"/>
                <w:sz w:val="20"/>
                <w:szCs w:val="20"/>
                <w:lang w:eastAsia="pl-PL"/>
              </w:rPr>
            </w:pPr>
            <w:r w:rsidRPr="00F25EBD">
              <w:rPr>
                <w:rFonts w:asciiTheme="majorHAnsi" w:hAnsiTheme="majorHAnsi" w:cstheme="majorHAnsi"/>
                <w:sz w:val="20"/>
                <w:szCs w:val="20"/>
              </w:rPr>
              <w:t>116</w:t>
            </w:r>
          </w:p>
        </w:tc>
      </w:tr>
    </w:tbl>
    <w:p w14:paraId="1B84C6CE" w14:textId="77777777" w:rsidR="00EA2B5F" w:rsidRPr="00F25EBD" w:rsidRDefault="00EA2B5F" w:rsidP="0060383F">
      <w:pPr>
        <w:pStyle w:val="rdo"/>
      </w:pPr>
      <w:r w:rsidRPr="00F25EBD">
        <w:t>Źródło: opracowanie własne na podstawie danych BDL.</w:t>
      </w:r>
    </w:p>
    <w:p w14:paraId="1DFB23B5" w14:textId="77777777" w:rsidR="008A3FED" w:rsidRDefault="008A3FED" w:rsidP="00FC7062">
      <w:pPr>
        <w:spacing w:after="0" w:line="276" w:lineRule="auto"/>
        <w:jc w:val="both"/>
        <w:rPr>
          <w:rFonts w:asciiTheme="majorHAnsi" w:hAnsiTheme="majorHAnsi" w:cstheme="majorHAnsi"/>
        </w:rPr>
      </w:pPr>
    </w:p>
    <w:p w14:paraId="4F0BB775" w14:textId="3334CBE3" w:rsidR="00EA2B5F" w:rsidRPr="00F25EBD" w:rsidRDefault="00EA2B5F" w:rsidP="00FC7062">
      <w:pPr>
        <w:spacing w:after="0" w:line="276" w:lineRule="auto"/>
        <w:jc w:val="both"/>
        <w:rPr>
          <w:rFonts w:asciiTheme="majorHAnsi" w:hAnsiTheme="majorHAnsi" w:cstheme="majorHAnsi"/>
        </w:rPr>
      </w:pPr>
      <w:r w:rsidRPr="00F25EBD">
        <w:rPr>
          <w:rFonts w:asciiTheme="majorHAnsi" w:hAnsiTheme="majorHAnsi" w:cstheme="majorHAnsi"/>
        </w:rPr>
        <w:t>W strukturze form ochrony przyrody występujących na terenie Południowych Mazur zdecydowany prym (76,0%) wiodły obszary chronionego krajobrazu. Z punktu widzenia udziału poszczególnych form ochrony przyrody występujących na tym terenie w ogólnej ich powierzchni w skali województwa można przyjąć, że domeną analizowanej jednostki są parki krajobrazowe i użytki ekologiczne, dla których wskaźniki struktury wyniosły w 2019</w:t>
      </w:r>
      <w:r w:rsidR="00F7062F">
        <w:rPr>
          <w:rFonts w:asciiTheme="majorHAnsi" w:hAnsiTheme="majorHAnsi" w:cstheme="majorHAnsi"/>
        </w:rPr>
        <w:t>r.</w:t>
      </w:r>
      <w:r w:rsidRPr="00F25EBD">
        <w:rPr>
          <w:rFonts w:asciiTheme="majorHAnsi" w:hAnsiTheme="majorHAnsi" w:cstheme="majorHAnsi"/>
        </w:rPr>
        <w:t xml:space="preserve"> odpowiednio 36,5% oraz 31,8%.</w:t>
      </w:r>
    </w:p>
    <w:p w14:paraId="0F89D002" w14:textId="77777777" w:rsidR="00F47E30" w:rsidRDefault="00F47E30" w:rsidP="00FC7062">
      <w:pPr>
        <w:spacing w:line="276" w:lineRule="auto"/>
        <w:rPr>
          <w:rFonts w:asciiTheme="majorHAnsi" w:hAnsiTheme="majorHAnsi" w:cstheme="majorHAnsi"/>
        </w:rPr>
      </w:pPr>
      <w:r>
        <w:rPr>
          <w:rFonts w:asciiTheme="majorHAnsi" w:hAnsiTheme="majorHAnsi" w:cstheme="majorHAnsi"/>
        </w:rPr>
        <w:br w:type="page"/>
      </w:r>
    </w:p>
    <w:p w14:paraId="012FAE6F" w14:textId="2F3F6E66" w:rsidR="00EA2B5F" w:rsidRPr="00F25EBD" w:rsidRDefault="0060383F" w:rsidP="0060383F">
      <w:pPr>
        <w:pStyle w:val="Nagwek1"/>
        <w:spacing w:line="276" w:lineRule="auto"/>
        <w:jc w:val="both"/>
        <w:rPr>
          <w:rFonts w:cstheme="majorHAnsi"/>
        </w:rPr>
      </w:pPr>
      <w:bookmarkStart w:id="21" w:name="_Toc77070602"/>
      <w:r>
        <w:rPr>
          <w:rFonts w:cstheme="majorHAnsi"/>
        </w:rPr>
        <w:t xml:space="preserve">3. </w:t>
      </w:r>
      <w:r w:rsidR="00EA2B5F" w:rsidRPr="00F25EBD">
        <w:rPr>
          <w:rFonts w:cstheme="majorHAnsi"/>
        </w:rPr>
        <w:t>Sfera społeczna</w:t>
      </w:r>
      <w:bookmarkEnd w:id="21"/>
    </w:p>
    <w:p w14:paraId="1D438A3B" w14:textId="77777777" w:rsidR="00EA2B5F" w:rsidRPr="0060383F" w:rsidRDefault="00EA2B5F" w:rsidP="00FC7062">
      <w:pPr>
        <w:spacing w:line="276" w:lineRule="auto"/>
        <w:rPr>
          <w:rFonts w:asciiTheme="majorHAnsi" w:hAnsiTheme="majorHAnsi" w:cstheme="majorHAnsi"/>
          <w:sz w:val="2"/>
        </w:rPr>
      </w:pPr>
    </w:p>
    <w:p w14:paraId="431AABDD" w14:textId="2F7AFBD3" w:rsidR="00EA2B5F" w:rsidRPr="007A5888" w:rsidRDefault="0060383F" w:rsidP="007A5888">
      <w:pPr>
        <w:pStyle w:val="Nagwek2"/>
      </w:pPr>
      <w:bookmarkStart w:id="22" w:name="_Toc77070603"/>
      <w:r w:rsidRPr="007A5888">
        <w:t xml:space="preserve">3.1 </w:t>
      </w:r>
      <w:r w:rsidR="00EA2B5F" w:rsidRPr="007A5888">
        <w:t>Demografia</w:t>
      </w:r>
      <w:bookmarkEnd w:id="22"/>
    </w:p>
    <w:p w14:paraId="714005A0" w14:textId="77777777" w:rsidR="00EA2B5F" w:rsidRPr="0060383F" w:rsidRDefault="00EA2B5F" w:rsidP="00FC7062">
      <w:pPr>
        <w:spacing w:after="0" w:line="276" w:lineRule="auto"/>
        <w:jc w:val="both"/>
        <w:rPr>
          <w:rFonts w:asciiTheme="majorHAnsi" w:hAnsiTheme="majorHAnsi" w:cstheme="majorHAnsi"/>
          <w:sz w:val="6"/>
        </w:rPr>
      </w:pPr>
    </w:p>
    <w:p w14:paraId="4024C675" w14:textId="359A64F8" w:rsidR="00EA2B5F" w:rsidRPr="00F25EBD" w:rsidRDefault="00EA2B5F" w:rsidP="00FC7062">
      <w:pPr>
        <w:spacing w:after="0" w:line="276" w:lineRule="auto"/>
        <w:jc w:val="both"/>
        <w:rPr>
          <w:rFonts w:asciiTheme="majorHAnsi" w:hAnsiTheme="majorHAnsi" w:cstheme="majorHAnsi"/>
        </w:rPr>
      </w:pPr>
      <w:r w:rsidRPr="00F25EBD">
        <w:rPr>
          <w:rFonts w:asciiTheme="majorHAnsi" w:hAnsiTheme="majorHAnsi" w:cstheme="majorHAnsi"/>
        </w:rPr>
        <w:t>Rozwój każdej je</w:t>
      </w:r>
      <w:r w:rsidR="0060383F">
        <w:rPr>
          <w:rFonts w:asciiTheme="majorHAnsi" w:hAnsiTheme="majorHAnsi" w:cstheme="majorHAnsi"/>
        </w:rPr>
        <w:t>dnostki terytorialnej bazuje w </w:t>
      </w:r>
      <w:r w:rsidRPr="00F25EBD">
        <w:rPr>
          <w:rFonts w:asciiTheme="majorHAnsi" w:hAnsiTheme="majorHAnsi" w:cstheme="majorHAnsi"/>
        </w:rPr>
        <w:t>głównej mierze na zasobach endogenicznych, wśród których kluczowe znaczenie ma kapitał ludzki. Na jakość tego zasobu wpływa szereg czynników, w</w:t>
      </w:r>
      <w:r w:rsidR="007B04A7">
        <w:rPr>
          <w:rFonts w:asciiTheme="majorHAnsi" w:hAnsiTheme="majorHAnsi" w:cstheme="majorHAnsi"/>
        </w:rPr>
        <w:t xml:space="preserve"> </w:t>
      </w:r>
      <w:r w:rsidRPr="00F25EBD">
        <w:rPr>
          <w:rFonts w:asciiTheme="majorHAnsi" w:hAnsiTheme="majorHAnsi" w:cstheme="majorHAnsi"/>
        </w:rPr>
        <w:t>tym m.in. stan i struktura ludności, zmiany demograficzne, a także procesy migracyjne. Jest to spowodowane tym, że zjawiska takie jak starzenie się społeczeństwa, malejący przyrost naturalny czy depopulacja przekładają się na liczbę osób zdolnych do podjęcia aktywności zawodowej, co z kolei bezpośrednio determinuje jakość życia, zamożność mieszkańców i bogactwo poszczególnych obszarów.</w:t>
      </w:r>
    </w:p>
    <w:p w14:paraId="5DDE4FBE" w14:textId="77777777" w:rsidR="00EA2B5F" w:rsidRPr="00F25EBD" w:rsidRDefault="00EA2B5F" w:rsidP="00FC7062">
      <w:pPr>
        <w:spacing w:after="0" w:line="276" w:lineRule="auto"/>
        <w:jc w:val="both"/>
        <w:rPr>
          <w:rFonts w:asciiTheme="majorHAnsi" w:hAnsiTheme="majorHAnsi" w:cstheme="majorHAnsi"/>
        </w:rPr>
      </w:pPr>
    </w:p>
    <w:p w14:paraId="34A612AD" w14:textId="77777777" w:rsidR="00EA2B5F" w:rsidRPr="007A5888" w:rsidRDefault="00EA2B5F" w:rsidP="002C7D64">
      <w:pPr>
        <w:pStyle w:val="Norm"/>
      </w:pPr>
      <w:r w:rsidRPr="007A5888">
        <w:t>Struktura wiekowa ludności</w:t>
      </w:r>
    </w:p>
    <w:p w14:paraId="186F0BB3" w14:textId="5410A00F" w:rsidR="00EA2B5F" w:rsidRPr="00F25EBD" w:rsidRDefault="00EA2B5F" w:rsidP="008A3FED">
      <w:pPr>
        <w:spacing w:line="276" w:lineRule="auto"/>
        <w:jc w:val="both"/>
        <w:rPr>
          <w:rFonts w:asciiTheme="majorHAnsi" w:eastAsia="Times New Roman" w:hAnsiTheme="majorHAnsi" w:cstheme="majorHAnsi"/>
          <w:color w:val="000000"/>
          <w:lang w:eastAsia="pl-PL"/>
        </w:rPr>
      </w:pPr>
      <w:r w:rsidRPr="00F25EBD">
        <w:rPr>
          <w:rFonts w:asciiTheme="majorHAnsi" w:hAnsiTheme="majorHAnsi" w:cstheme="majorHAnsi"/>
        </w:rPr>
        <w:t>W 2019</w:t>
      </w:r>
      <w:r w:rsidR="00F7062F">
        <w:rPr>
          <w:rFonts w:asciiTheme="majorHAnsi" w:hAnsiTheme="majorHAnsi" w:cstheme="majorHAnsi"/>
        </w:rPr>
        <w:t>r.</w:t>
      </w:r>
      <w:r w:rsidRPr="00F25EBD">
        <w:rPr>
          <w:rFonts w:asciiTheme="majorHAnsi" w:hAnsiTheme="majorHAnsi" w:cstheme="majorHAnsi"/>
        </w:rPr>
        <w:t xml:space="preserve"> obszar Południowych Mazur zamieszkiwało łącznie </w:t>
      </w:r>
      <w:r w:rsidRPr="00F25EBD">
        <w:rPr>
          <w:rFonts w:asciiTheme="majorHAnsi" w:eastAsia="Times New Roman" w:hAnsiTheme="majorHAnsi" w:cstheme="majorHAnsi"/>
          <w:color w:val="000000"/>
          <w:lang w:eastAsia="pl-PL"/>
        </w:rPr>
        <w:t>223.507 osób, tj. 15,7% mieszkańców województwa warmińsko-mazurskiego. Z tego, 31,0% stanowiła ludność powiatu szczycieńskiego (piątego pod względem liczby mieszkańców powiatu województwa</w:t>
      </w:r>
      <w:r w:rsidRPr="00F25EBD">
        <w:rPr>
          <w:rStyle w:val="Odwoanieprzypisudolnego"/>
          <w:rFonts w:asciiTheme="majorHAnsi" w:eastAsia="Times New Roman" w:hAnsiTheme="majorHAnsi" w:cstheme="majorHAnsi"/>
          <w:color w:val="000000"/>
          <w:lang w:eastAsia="pl-PL"/>
        </w:rPr>
        <w:footnoteReference w:id="15"/>
      </w:r>
      <w:r w:rsidRPr="00F25EBD">
        <w:rPr>
          <w:rFonts w:asciiTheme="majorHAnsi" w:eastAsia="Times New Roman" w:hAnsiTheme="majorHAnsi" w:cstheme="majorHAnsi"/>
          <w:color w:val="000000"/>
          <w:lang w:eastAsia="pl-PL"/>
        </w:rPr>
        <w:t>), 29,1%</w:t>
      </w:r>
      <w:r w:rsidR="00336D76" w:rsidRPr="00F25EBD">
        <w:rPr>
          <w:rFonts w:asciiTheme="majorHAnsi" w:eastAsia="Times New Roman" w:hAnsiTheme="majorHAnsi" w:cstheme="majorHAnsi"/>
          <w:color w:val="000000"/>
          <w:lang w:eastAsia="pl-PL"/>
        </w:rPr>
        <w:t xml:space="preserve"> - </w:t>
      </w:r>
      <w:r w:rsidRPr="00F25EBD">
        <w:rPr>
          <w:rFonts w:asciiTheme="majorHAnsi" w:eastAsia="Times New Roman" w:hAnsiTheme="majorHAnsi" w:cstheme="majorHAnsi"/>
          <w:color w:val="000000"/>
          <w:lang w:eastAsia="pl-PL"/>
        </w:rPr>
        <w:t>działdowskiego (6. miejsce), 25,1%</w:t>
      </w:r>
      <w:r w:rsidR="00336D76" w:rsidRPr="00F25EBD">
        <w:rPr>
          <w:rFonts w:asciiTheme="majorHAnsi" w:eastAsia="Times New Roman" w:hAnsiTheme="majorHAnsi" w:cstheme="majorHAnsi"/>
          <w:color w:val="000000"/>
          <w:lang w:eastAsia="pl-PL"/>
        </w:rPr>
        <w:t xml:space="preserve"> - </w:t>
      </w:r>
      <w:proofErr w:type="spellStart"/>
      <w:r w:rsidRPr="00F25EBD">
        <w:rPr>
          <w:rFonts w:asciiTheme="majorHAnsi" w:eastAsia="Times New Roman" w:hAnsiTheme="majorHAnsi" w:cstheme="majorHAnsi"/>
          <w:color w:val="000000"/>
          <w:lang w:eastAsia="pl-PL"/>
        </w:rPr>
        <w:t>piskiego</w:t>
      </w:r>
      <w:proofErr w:type="spellEnd"/>
      <w:r w:rsidRPr="00F25EBD">
        <w:rPr>
          <w:rFonts w:asciiTheme="majorHAnsi" w:eastAsia="Times New Roman" w:hAnsiTheme="majorHAnsi" w:cstheme="majorHAnsi"/>
          <w:color w:val="000000"/>
          <w:lang w:eastAsia="pl-PL"/>
        </w:rPr>
        <w:t xml:space="preserve"> (11. miejsce) i 14,7%</w:t>
      </w:r>
      <w:r w:rsidR="00336D76" w:rsidRPr="00F25EBD">
        <w:rPr>
          <w:rFonts w:asciiTheme="majorHAnsi" w:eastAsia="Times New Roman" w:hAnsiTheme="majorHAnsi" w:cstheme="majorHAnsi"/>
          <w:color w:val="000000"/>
          <w:lang w:eastAsia="pl-PL"/>
        </w:rPr>
        <w:t xml:space="preserve"> - </w:t>
      </w:r>
      <w:r w:rsidRPr="00F25EBD">
        <w:rPr>
          <w:rFonts w:asciiTheme="majorHAnsi" w:eastAsia="Times New Roman" w:hAnsiTheme="majorHAnsi" w:cstheme="majorHAnsi"/>
          <w:color w:val="000000"/>
          <w:lang w:eastAsia="pl-PL"/>
        </w:rPr>
        <w:t>nidzickiego (17. miejsce). W przeciwieństwie do sytuacji panującej w kraju i regionie, gdzie dominowała ludność zamieszkująca miasta (odpowiednio 60,0% oraz 59,0%), Południowe Mazury charakteryzowały się nadwyżką osób zasiedlających tereny wiejskie. Ich odsetek w strukturze mieszkańców wyniósł w 2019</w:t>
      </w:r>
      <w:r w:rsidR="00F7062F">
        <w:rPr>
          <w:rFonts w:asciiTheme="majorHAnsi" w:eastAsia="Times New Roman" w:hAnsiTheme="majorHAnsi" w:cstheme="majorHAnsi"/>
          <w:color w:val="000000"/>
          <w:lang w:eastAsia="pl-PL"/>
        </w:rPr>
        <w:t>r.</w:t>
      </w:r>
      <w:r w:rsidRPr="00F25EBD">
        <w:rPr>
          <w:rFonts w:asciiTheme="majorHAnsi" w:eastAsia="Times New Roman" w:hAnsiTheme="majorHAnsi" w:cstheme="majorHAnsi"/>
          <w:color w:val="000000"/>
          <w:lang w:eastAsia="pl-PL"/>
        </w:rPr>
        <w:t xml:space="preserve"> 53,2%.</w:t>
      </w:r>
    </w:p>
    <w:p w14:paraId="37CADF39" w14:textId="204B1769" w:rsidR="00EA2B5F" w:rsidRPr="00F25EBD" w:rsidRDefault="00EA2B5F" w:rsidP="008A3FED">
      <w:pPr>
        <w:spacing w:line="276" w:lineRule="auto"/>
        <w:jc w:val="both"/>
        <w:rPr>
          <w:rFonts w:asciiTheme="majorHAnsi" w:eastAsia="Times New Roman" w:hAnsiTheme="majorHAnsi" w:cstheme="majorHAnsi"/>
          <w:sz w:val="18"/>
          <w:szCs w:val="18"/>
          <w:lang w:eastAsia="pl-PL"/>
        </w:rPr>
      </w:pPr>
      <w:r w:rsidRPr="00F25EBD">
        <w:rPr>
          <w:rFonts w:asciiTheme="majorHAnsi" w:hAnsiTheme="majorHAnsi" w:cstheme="majorHAnsi"/>
        </w:rPr>
        <w:t>Na przestrzeni lat 2010-2019 liczba ludności analizowanego obszaru zmniejszyła się o 3,3% (tj. o</w:t>
      </w:r>
      <w:r w:rsidR="007B04A7">
        <w:rPr>
          <w:rFonts w:asciiTheme="majorHAnsi" w:hAnsiTheme="majorHAnsi" w:cstheme="majorHAnsi"/>
        </w:rPr>
        <w:t xml:space="preserve"> </w:t>
      </w:r>
      <w:r w:rsidRPr="00F25EBD">
        <w:rPr>
          <w:rFonts w:asciiTheme="majorHAnsi" w:eastAsia="Times New Roman" w:hAnsiTheme="majorHAnsi" w:cstheme="majorHAnsi"/>
          <w:lang w:eastAsia="pl-PL"/>
        </w:rPr>
        <w:t xml:space="preserve">7.725 osób). Najwyższy ubytek dotyczył powiatu nidzickiego (4,5%), a następnie </w:t>
      </w:r>
      <w:proofErr w:type="spellStart"/>
      <w:r w:rsidRPr="00F25EBD">
        <w:rPr>
          <w:rFonts w:asciiTheme="majorHAnsi" w:eastAsia="Times New Roman" w:hAnsiTheme="majorHAnsi" w:cstheme="majorHAnsi"/>
          <w:lang w:eastAsia="pl-PL"/>
        </w:rPr>
        <w:t>piskiego</w:t>
      </w:r>
      <w:proofErr w:type="spellEnd"/>
      <w:r w:rsidRPr="00F25EBD">
        <w:rPr>
          <w:rFonts w:asciiTheme="majorHAnsi" w:eastAsia="Times New Roman" w:hAnsiTheme="majorHAnsi" w:cstheme="majorHAnsi"/>
          <w:lang w:eastAsia="pl-PL"/>
        </w:rPr>
        <w:t xml:space="preserve"> (4,1%), szczycieńskiego (2,8%) i na końcu działdowskiego (2,6%). Intensywność tych zmian była nieco wyższa niż to miało miejsce na poziomie kraju (tu ubytek ludności wyniósł 0,4%) i w skali regionu (gdzie redukcja wyniosła 2,1%). </w:t>
      </w:r>
      <w:r w:rsidRPr="00F25EBD">
        <w:rPr>
          <w:rFonts w:asciiTheme="majorHAnsi" w:hAnsiTheme="majorHAnsi" w:cstheme="majorHAnsi"/>
        </w:rPr>
        <w:t>Główny Urząd Statystyczny prognozuje, że spadkowa tendencja liczby ludności będzie nadal postępowała, w efekcie czego w 2050</w:t>
      </w:r>
      <w:r w:rsidR="00F7062F">
        <w:rPr>
          <w:rFonts w:asciiTheme="majorHAnsi" w:hAnsiTheme="majorHAnsi" w:cstheme="majorHAnsi"/>
        </w:rPr>
        <w:t>r.</w:t>
      </w:r>
      <w:r w:rsidRPr="00F25EBD">
        <w:rPr>
          <w:rFonts w:asciiTheme="majorHAnsi" w:hAnsiTheme="majorHAnsi" w:cstheme="majorHAnsi"/>
        </w:rPr>
        <w:t xml:space="preserve"> Południowe Mazury zamieszkiwać będzie 184.840 osób, tj. o</w:t>
      </w:r>
      <w:r w:rsidR="007B04A7">
        <w:rPr>
          <w:rFonts w:asciiTheme="majorHAnsi" w:hAnsiTheme="majorHAnsi" w:cstheme="majorHAnsi"/>
        </w:rPr>
        <w:t xml:space="preserve"> </w:t>
      </w:r>
      <w:r w:rsidRPr="00F25EBD">
        <w:rPr>
          <w:rFonts w:asciiTheme="majorHAnsi" w:hAnsiTheme="majorHAnsi" w:cstheme="majorHAnsi"/>
        </w:rPr>
        <w:t>17,3% mniej niż w 2019</w:t>
      </w:r>
      <w:r w:rsidR="00F7062F">
        <w:rPr>
          <w:rFonts w:asciiTheme="majorHAnsi" w:hAnsiTheme="majorHAnsi" w:cstheme="majorHAnsi"/>
        </w:rPr>
        <w:t>r.</w:t>
      </w:r>
    </w:p>
    <w:p w14:paraId="138044FC" w14:textId="77777777" w:rsidR="00EA2B5F" w:rsidRPr="00F25EBD" w:rsidRDefault="00EA2B5F" w:rsidP="008A3FED">
      <w:pPr>
        <w:spacing w:line="276" w:lineRule="auto"/>
        <w:jc w:val="both"/>
        <w:rPr>
          <w:rFonts w:asciiTheme="majorHAnsi" w:eastAsia="Times New Roman" w:hAnsiTheme="majorHAnsi" w:cstheme="majorHAnsi"/>
          <w:lang w:eastAsia="pl-PL"/>
        </w:rPr>
      </w:pPr>
      <w:r w:rsidRPr="00F25EBD">
        <w:rPr>
          <w:rFonts w:asciiTheme="majorHAnsi" w:eastAsia="Times New Roman" w:hAnsiTheme="majorHAnsi" w:cstheme="majorHAnsi"/>
          <w:lang w:eastAsia="pl-PL"/>
        </w:rPr>
        <w:t>Zmiany liczby ludności w latach 2010-2019 przedstawiono na poniższym rysunku.</w:t>
      </w:r>
    </w:p>
    <w:p w14:paraId="38E7CBFD" w14:textId="5E91C293" w:rsidR="00EA2B5F" w:rsidRPr="00F25EBD" w:rsidRDefault="00EA2B5F" w:rsidP="000E5B5A">
      <w:pPr>
        <w:pStyle w:val="nad"/>
      </w:pPr>
      <w:bookmarkStart w:id="23" w:name="_Toc81301534"/>
      <w:r w:rsidRPr="00F25EBD">
        <w:t xml:space="preserve">Rysunek </w:t>
      </w:r>
      <w:r w:rsidRPr="00F25EBD">
        <w:rPr>
          <w:noProof/>
        </w:rPr>
        <w:fldChar w:fldCharType="begin"/>
      </w:r>
      <w:r w:rsidRPr="00F25EBD">
        <w:rPr>
          <w:noProof/>
        </w:rPr>
        <w:instrText xml:space="preserve"> SEQ Rysunek \* ARABIC </w:instrText>
      </w:r>
      <w:r w:rsidRPr="00F25EBD">
        <w:rPr>
          <w:noProof/>
        </w:rPr>
        <w:fldChar w:fldCharType="separate"/>
      </w:r>
      <w:r w:rsidR="006C7815">
        <w:rPr>
          <w:noProof/>
        </w:rPr>
        <w:t>6</w:t>
      </w:r>
      <w:r w:rsidRPr="00F25EBD">
        <w:rPr>
          <w:noProof/>
        </w:rPr>
        <w:fldChar w:fldCharType="end"/>
      </w:r>
      <w:r w:rsidRPr="00F25EBD">
        <w:t>. Liczba ludności w latach 2010-2019</w:t>
      </w:r>
      <w:bookmarkEnd w:id="23"/>
    </w:p>
    <w:p w14:paraId="2F898167" w14:textId="77777777" w:rsidR="00EA2B5F" w:rsidRPr="00F25EBD" w:rsidRDefault="00EA2B5F" w:rsidP="00FC7062">
      <w:pPr>
        <w:spacing w:after="0" w:line="276" w:lineRule="auto"/>
        <w:jc w:val="center"/>
        <w:rPr>
          <w:rFonts w:asciiTheme="majorHAnsi" w:hAnsiTheme="majorHAnsi" w:cstheme="majorHAnsi"/>
        </w:rPr>
      </w:pPr>
      <w:r w:rsidRPr="00F25EBD">
        <w:rPr>
          <w:rFonts w:asciiTheme="majorHAnsi" w:hAnsiTheme="majorHAnsi" w:cstheme="majorHAnsi"/>
          <w:noProof/>
          <w:lang w:eastAsia="pl-PL"/>
        </w:rPr>
        <w:drawing>
          <wp:inline distT="0" distB="0" distL="0" distR="0" wp14:anchorId="1F279104" wp14:editId="2BC97706">
            <wp:extent cx="5759450" cy="2011680"/>
            <wp:effectExtent l="0" t="0" r="12700" b="7620"/>
            <wp:docPr id="3" name="Wykres 3">
              <a:extLst xmlns:a="http://schemas.openxmlformats.org/drawingml/2006/main">
                <a:ext uri="{FF2B5EF4-FFF2-40B4-BE49-F238E27FC236}">
                  <a16:creationId xmlns:a16="http://schemas.microsoft.com/office/drawing/2014/main" id="{E69A2FA5-963D-43BE-BFA4-01D284B3CFE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493613C0" w14:textId="77777777" w:rsidR="00EA2B5F" w:rsidRPr="00F25EBD" w:rsidRDefault="00EA2B5F" w:rsidP="0060383F">
      <w:pPr>
        <w:pStyle w:val="rdo"/>
      </w:pPr>
      <w:r w:rsidRPr="00F25EBD">
        <w:t>Źródło: opracowanie własne na podstawie danych BDL.</w:t>
      </w:r>
    </w:p>
    <w:p w14:paraId="5B065BC3" w14:textId="77777777" w:rsidR="008A3FED" w:rsidRDefault="008A3FED" w:rsidP="008A3FED">
      <w:pPr>
        <w:spacing w:line="276" w:lineRule="auto"/>
        <w:jc w:val="both"/>
        <w:rPr>
          <w:rFonts w:asciiTheme="majorHAnsi" w:hAnsiTheme="majorHAnsi" w:cstheme="majorHAnsi"/>
        </w:rPr>
      </w:pPr>
    </w:p>
    <w:p w14:paraId="3AE525B3" w14:textId="3AC879A4" w:rsidR="00EA2B5F" w:rsidRPr="00F25EBD" w:rsidRDefault="00EA2B5F" w:rsidP="008A3FED">
      <w:pPr>
        <w:spacing w:line="276" w:lineRule="auto"/>
        <w:jc w:val="both"/>
        <w:rPr>
          <w:rFonts w:asciiTheme="majorHAnsi" w:hAnsiTheme="majorHAnsi" w:cstheme="majorHAnsi"/>
        </w:rPr>
      </w:pPr>
      <w:r w:rsidRPr="00F25EBD">
        <w:rPr>
          <w:rFonts w:asciiTheme="majorHAnsi" w:hAnsiTheme="majorHAnsi" w:cstheme="majorHAnsi"/>
        </w:rPr>
        <w:t>Z punktu widzenia rozwoju społeczno-ekonomicznego istotna jest nie tylko liczba ludności, ale także struktura społeczeństwa ze względu na wiek oraz zachodzące w tym obszarze zmiany. Wynika to z</w:t>
      </w:r>
      <w:r w:rsidR="007B04A7">
        <w:rPr>
          <w:rFonts w:asciiTheme="majorHAnsi" w:hAnsiTheme="majorHAnsi" w:cstheme="majorHAnsi"/>
        </w:rPr>
        <w:t xml:space="preserve"> </w:t>
      </w:r>
      <w:r w:rsidRPr="00F25EBD">
        <w:rPr>
          <w:rFonts w:asciiTheme="majorHAnsi" w:hAnsiTheme="majorHAnsi" w:cstheme="majorHAnsi"/>
        </w:rPr>
        <w:t>wieloaspektowych konsekwencji tych przeobrażeń rzutujących m.in. na wydolność systemów zabezpieczenia społecznego, równowagę na rynku pracy czy możliwości zaspokojenia podstawowych potrzeb ludności.</w:t>
      </w:r>
    </w:p>
    <w:p w14:paraId="62FE4C70" w14:textId="1AE2348D" w:rsidR="00EA2B5F" w:rsidRPr="00F25EBD" w:rsidRDefault="00EA2B5F" w:rsidP="008A3FED">
      <w:pPr>
        <w:spacing w:line="276" w:lineRule="auto"/>
        <w:jc w:val="both"/>
        <w:rPr>
          <w:rFonts w:asciiTheme="majorHAnsi" w:hAnsiTheme="majorHAnsi" w:cstheme="majorHAnsi"/>
        </w:rPr>
      </w:pPr>
      <w:r w:rsidRPr="00F25EBD">
        <w:rPr>
          <w:rFonts w:asciiTheme="majorHAnsi" w:hAnsiTheme="majorHAnsi" w:cstheme="majorHAnsi"/>
        </w:rPr>
        <w:t>W 2019</w:t>
      </w:r>
      <w:r w:rsidR="00F7062F">
        <w:rPr>
          <w:rFonts w:asciiTheme="majorHAnsi" w:hAnsiTheme="majorHAnsi" w:cstheme="majorHAnsi"/>
        </w:rPr>
        <w:t>r.</w:t>
      </w:r>
      <w:r w:rsidRPr="00F25EBD">
        <w:rPr>
          <w:rFonts w:asciiTheme="majorHAnsi" w:hAnsiTheme="majorHAnsi" w:cstheme="majorHAnsi"/>
        </w:rPr>
        <w:t xml:space="preserve"> w społeczeństwie zamieszkującym Południowe Mazury największy udział miały osoby w</w:t>
      </w:r>
      <w:r w:rsidR="007B04A7">
        <w:rPr>
          <w:rFonts w:asciiTheme="majorHAnsi" w:hAnsiTheme="majorHAnsi" w:cstheme="majorHAnsi"/>
        </w:rPr>
        <w:t xml:space="preserve"> </w:t>
      </w:r>
      <w:r w:rsidRPr="00F25EBD">
        <w:rPr>
          <w:rFonts w:asciiTheme="majorHAnsi" w:hAnsiTheme="majorHAnsi" w:cstheme="majorHAnsi"/>
        </w:rPr>
        <w:t>wieku</w:t>
      </w:r>
      <w:r w:rsidRPr="00F25EBD">
        <w:rPr>
          <w:rStyle w:val="Odwoanieprzypisudolnego"/>
          <w:rFonts w:asciiTheme="majorHAnsi" w:hAnsiTheme="majorHAnsi" w:cstheme="majorHAnsi"/>
        </w:rPr>
        <w:footnoteReference w:id="16"/>
      </w:r>
      <w:r w:rsidRPr="00F25EBD">
        <w:rPr>
          <w:rFonts w:asciiTheme="majorHAnsi" w:hAnsiTheme="majorHAnsi" w:cstheme="majorHAnsi"/>
        </w:rPr>
        <w:t xml:space="preserve"> produkcyjnym mobilnym (38,6%), a następnie produkcyjnym niemobilnym (23,5%), poprodukcyjnym (19,4%), i przedprodukcyjnym (18,6%). Układ ten był zbliżony do struktury mieszkańców zarówno kraju, jak i województwa warmińsko-mazurskiego, z tą różnicą, że powiaty PM korzystniej wypadały pod względem odsetka osób starszych, tj. powyżej 70 roku życia. Pomimo, że ta grupa wiekowa na przestrzeni analizowanego okresu systematycznie zwiększała swoją liczebność (z</w:t>
      </w:r>
      <w:r w:rsidR="007B04A7">
        <w:rPr>
          <w:rFonts w:asciiTheme="majorHAnsi" w:hAnsiTheme="majorHAnsi" w:cstheme="majorHAnsi"/>
        </w:rPr>
        <w:t xml:space="preserve"> </w:t>
      </w:r>
      <w:r w:rsidRPr="00F25EBD">
        <w:rPr>
          <w:rFonts w:asciiTheme="majorHAnsi" w:hAnsiTheme="majorHAnsi" w:cstheme="majorHAnsi"/>
        </w:rPr>
        <w:t>19.498 osób w 2010</w:t>
      </w:r>
      <w:r w:rsidR="00F7062F">
        <w:rPr>
          <w:rFonts w:asciiTheme="majorHAnsi" w:hAnsiTheme="majorHAnsi" w:cstheme="majorHAnsi"/>
        </w:rPr>
        <w:t>r.</w:t>
      </w:r>
      <w:r w:rsidRPr="00F25EBD">
        <w:rPr>
          <w:rFonts w:asciiTheme="majorHAnsi" w:hAnsiTheme="majorHAnsi" w:cstheme="majorHAnsi"/>
        </w:rPr>
        <w:t xml:space="preserve"> do 22.063 w 2019</w:t>
      </w:r>
      <w:r w:rsidR="00F7062F">
        <w:rPr>
          <w:rFonts w:asciiTheme="majorHAnsi" w:hAnsiTheme="majorHAnsi" w:cstheme="majorHAnsi"/>
        </w:rPr>
        <w:t>r.</w:t>
      </w:r>
      <w:r w:rsidRPr="00F25EBD">
        <w:rPr>
          <w:rFonts w:asciiTheme="majorHAnsi" w:hAnsiTheme="majorHAnsi" w:cstheme="majorHAnsi"/>
        </w:rPr>
        <w:t>), to ich udział w ogóle mieszkańców (9,9%) był niższy od wskaźnika wyznaczonego dla Polski (11,7%) i województwa (10,3%). W konsekwencji korzystniej kształtowała się również relacja ludności w wieku nieprodukcyjnym na 100 osób w</w:t>
      </w:r>
      <w:r w:rsidR="007B04A7">
        <w:rPr>
          <w:rFonts w:asciiTheme="majorHAnsi" w:hAnsiTheme="majorHAnsi" w:cstheme="majorHAnsi"/>
        </w:rPr>
        <w:t xml:space="preserve"> </w:t>
      </w:r>
      <w:r w:rsidRPr="00F25EBD">
        <w:rPr>
          <w:rFonts w:asciiTheme="majorHAnsi" w:hAnsiTheme="majorHAnsi" w:cstheme="majorHAnsi"/>
        </w:rPr>
        <w:t>wieku produkcyjnym. W 2019</w:t>
      </w:r>
      <w:r w:rsidR="00F7062F">
        <w:rPr>
          <w:rFonts w:asciiTheme="majorHAnsi" w:hAnsiTheme="majorHAnsi" w:cstheme="majorHAnsi"/>
        </w:rPr>
        <w:t>r.</w:t>
      </w:r>
      <w:r w:rsidRPr="00F25EBD">
        <w:rPr>
          <w:rFonts w:asciiTheme="majorHAnsi" w:hAnsiTheme="majorHAnsi" w:cstheme="majorHAnsi"/>
        </w:rPr>
        <w:t xml:space="preserve"> jej średnia wartość dla Południowych Mazur wyniosła 61,25, podczas gdy dla województwa 63,3, a dla Polski 66,7.</w:t>
      </w:r>
    </w:p>
    <w:p w14:paraId="0876FE8B" w14:textId="5A7E00F3" w:rsidR="00EA2B5F" w:rsidRPr="00F25EBD" w:rsidRDefault="00EA2B5F" w:rsidP="008A3FED">
      <w:pPr>
        <w:spacing w:line="276" w:lineRule="auto"/>
        <w:jc w:val="both"/>
        <w:rPr>
          <w:rFonts w:asciiTheme="majorHAnsi" w:hAnsiTheme="majorHAnsi" w:cstheme="majorHAnsi"/>
        </w:rPr>
      </w:pPr>
      <w:r w:rsidRPr="00F25EBD">
        <w:rPr>
          <w:rFonts w:asciiTheme="majorHAnsi" w:hAnsiTheme="majorHAnsi" w:cstheme="majorHAnsi"/>
        </w:rPr>
        <w:t>Zmiany zachodzące w ostatnim czasie w strukturze demograficznej społeczności zamieszkującej Południowe Mazury, z jednej strony wpisywały się w ogólnopolską tendencję starzenia populacji, z</w:t>
      </w:r>
      <w:r w:rsidR="007B04A7">
        <w:rPr>
          <w:rFonts w:asciiTheme="majorHAnsi" w:hAnsiTheme="majorHAnsi" w:cstheme="majorHAnsi"/>
        </w:rPr>
        <w:t xml:space="preserve"> </w:t>
      </w:r>
      <w:r w:rsidRPr="00F25EBD">
        <w:rPr>
          <w:rFonts w:asciiTheme="majorHAnsi" w:hAnsiTheme="majorHAnsi" w:cstheme="majorHAnsi"/>
        </w:rPr>
        <w:t xml:space="preserve">drugiej natomiast różniły </w:t>
      </w:r>
      <w:r w:rsidR="00E312DA">
        <w:rPr>
          <w:rFonts w:asciiTheme="majorHAnsi" w:hAnsiTheme="majorHAnsi" w:cstheme="majorHAnsi"/>
        </w:rPr>
        <w:t xml:space="preserve">się </w:t>
      </w:r>
      <w:r w:rsidRPr="00F25EBD">
        <w:rPr>
          <w:rFonts w:asciiTheme="majorHAnsi" w:hAnsiTheme="majorHAnsi" w:cstheme="majorHAnsi"/>
        </w:rPr>
        <w:t>nieco dynamiką przeobrażeń, co widoczne jest na poniższym rysunku.</w:t>
      </w:r>
    </w:p>
    <w:p w14:paraId="72B0CBDE" w14:textId="1E39C374" w:rsidR="00EA2B5F" w:rsidRPr="00F25EBD" w:rsidRDefault="00EA2B5F" w:rsidP="000E5B5A">
      <w:pPr>
        <w:pStyle w:val="nad"/>
      </w:pPr>
      <w:bookmarkStart w:id="24" w:name="_Toc81301535"/>
      <w:r w:rsidRPr="00F25EBD">
        <w:t xml:space="preserve">Rysunek </w:t>
      </w:r>
      <w:r w:rsidRPr="00F25EBD">
        <w:rPr>
          <w:noProof/>
        </w:rPr>
        <w:fldChar w:fldCharType="begin"/>
      </w:r>
      <w:r w:rsidRPr="00F25EBD">
        <w:rPr>
          <w:noProof/>
        </w:rPr>
        <w:instrText xml:space="preserve"> SEQ Rysunek \* ARABIC </w:instrText>
      </w:r>
      <w:r w:rsidRPr="00F25EBD">
        <w:rPr>
          <w:noProof/>
        </w:rPr>
        <w:fldChar w:fldCharType="separate"/>
      </w:r>
      <w:r w:rsidR="006C7815">
        <w:rPr>
          <w:noProof/>
        </w:rPr>
        <w:t>7</w:t>
      </w:r>
      <w:r w:rsidRPr="00F25EBD">
        <w:rPr>
          <w:noProof/>
        </w:rPr>
        <w:fldChar w:fldCharType="end"/>
      </w:r>
      <w:r w:rsidRPr="00F25EBD">
        <w:t>. Odsetek ludności wg grup wieku w ogóle mieszkańców w latach 2010-2019</w:t>
      </w:r>
      <w:bookmarkEnd w:id="24"/>
    </w:p>
    <w:p w14:paraId="0389E97B" w14:textId="77777777" w:rsidR="00EA2B5F" w:rsidRPr="00F25EBD" w:rsidRDefault="00EA2B5F" w:rsidP="00FC7062">
      <w:pPr>
        <w:spacing w:after="0" w:line="276" w:lineRule="auto"/>
        <w:rPr>
          <w:rFonts w:asciiTheme="majorHAnsi" w:hAnsiTheme="majorHAnsi" w:cstheme="majorHAnsi"/>
        </w:rPr>
      </w:pPr>
      <w:r w:rsidRPr="00F25EBD">
        <w:rPr>
          <w:rFonts w:asciiTheme="majorHAnsi" w:hAnsiTheme="majorHAnsi" w:cstheme="majorHAnsi"/>
          <w:noProof/>
          <w:lang w:eastAsia="pl-PL"/>
        </w:rPr>
        <w:drawing>
          <wp:inline distT="0" distB="0" distL="0" distR="0" wp14:anchorId="4719C6B7" wp14:editId="788DBB3A">
            <wp:extent cx="5796623" cy="3522428"/>
            <wp:effectExtent l="0" t="0" r="0" b="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831790" cy="3543798"/>
                    </a:xfrm>
                    <a:prstGeom prst="rect">
                      <a:avLst/>
                    </a:prstGeom>
                    <a:noFill/>
                  </pic:spPr>
                </pic:pic>
              </a:graphicData>
            </a:graphic>
          </wp:inline>
        </w:drawing>
      </w:r>
    </w:p>
    <w:p w14:paraId="5CCEC177" w14:textId="77777777" w:rsidR="00EA2B5F" w:rsidRPr="00F25EBD" w:rsidRDefault="00EA2B5F" w:rsidP="0060383F">
      <w:pPr>
        <w:pStyle w:val="rdo"/>
      </w:pPr>
      <w:r w:rsidRPr="00F25EBD">
        <w:t>Źródło: opracowanie własne na podstawie danych BDL.</w:t>
      </w:r>
    </w:p>
    <w:p w14:paraId="04E7C161" w14:textId="32E3675D" w:rsidR="00EA2B5F" w:rsidRPr="00F25EBD" w:rsidRDefault="00EA2B5F" w:rsidP="00FC7062">
      <w:pPr>
        <w:spacing w:after="0" w:line="276" w:lineRule="auto"/>
        <w:jc w:val="both"/>
        <w:rPr>
          <w:rFonts w:asciiTheme="majorHAnsi" w:hAnsiTheme="majorHAnsi" w:cstheme="majorHAnsi"/>
        </w:rPr>
      </w:pPr>
      <w:r w:rsidRPr="00F25EBD">
        <w:rPr>
          <w:rFonts w:asciiTheme="majorHAnsi" w:hAnsiTheme="majorHAnsi" w:cstheme="majorHAnsi"/>
        </w:rPr>
        <w:t>Największe różnice pomiędzy tym, co działo się na terenie Południowyc</w:t>
      </w:r>
      <w:r w:rsidR="0060383F">
        <w:rPr>
          <w:rFonts w:asciiTheme="majorHAnsi" w:hAnsiTheme="majorHAnsi" w:cstheme="majorHAnsi"/>
        </w:rPr>
        <w:t>h Mazur, a</w:t>
      </w:r>
      <w:r w:rsidR="007B04A7">
        <w:rPr>
          <w:rFonts w:asciiTheme="majorHAnsi" w:hAnsiTheme="majorHAnsi" w:cstheme="majorHAnsi"/>
        </w:rPr>
        <w:t xml:space="preserve"> </w:t>
      </w:r>
      <w:r w:rsidR="0060383F">
        <w:rPr>
          <w:rFonts w:asciiTheme="majorHAnsi" w:hAnsiTheme="majorHAnsi" w:cstheme="majorHAnsi"/>
        </w:rPr>
        <w:t>sytuacją panującą w </w:t>
      </w:r>
      <w:r w:rsidRPr="00F25EBD">
        <w:rPr>
          <w:rFonts w:asciiTheme="majorHAnsi" w:hAnsiTheme="majorHAnsi" w:cstheme="majorHAnsi"/>
        </w:rPr>
        <w:t>regionie i kraju pojawiły się w dwóch grupach wiekowych, tj. wieku przedprodukcyjnym oraz w</w:t>
      </w:r>
      <w:r w:rsidR="007B04A7">
        <w:rPr>
          <w:rFonts w:asciiTheme="majorHAnsi" w:hAnsiTheme="majorHAnsi" w:cstheme="majorHAnsi"/>
        </w:rPr>
        <w:t xml:space="preserve"> </w:t>
      </w:r>
      <w:r w:rsidRPr="00F25EBD">
        <w:rPr>
          <w:rFonts w:asciiTheme="majorHAnsi" w:hAnsiTheme="majorHAnsi" w:cstheme="majorHAnsi"/>
        </w:rPr>
        <w:t>wieku produkcyjnym niemobilnym. W pierwszym przypadku powiaty PM charakteryzowała znacznie większa (niż to miało miejsce w regionie i kraju) redukcja wartości wskaźnika. W</w:t>
      </w:r>
      <w:r w:rsidR="0060383F">
        <w:rPr>
          <w:rFonts w:asciiTheme="majorHAnsi" w:hAnsiTheme="majorHAnsi" w:cstheme="majorHAnsi"/>
        </w:rPr>
        <w:t xml:space="preserve"> latach 2010-2019 udział osób w </w:t>
      </w:r>
      <w:r w:rsidRPr="00F25EBD">
        <w:rPr>
          <w:rFonts w:asciiTheme="majorHAnsi" w:hAnsiTheme="majorHAnsi" w:cstheme="majorHAnsi"/>
        </w:rPr>
        <w:t>wieku przedprodukcyjnym w ogólnej liczbie mieszkańców zmniejszył się tu o 2,8 pkt. proc., podczas gdy w województwie o 1,7 pkt. proc., a w kraju o 0,7 pkt. proc. Z kolei w</w:t>
      </w:r>
      <w:r w:rsidR="007B04A7">
        <w:rPr>
          <w:rFonts w:asciiTheme="majorHAnsi" w:hAnsiTheme="majorHAnsi" w:cstheme="majorHAnsi"/>
        </w:rPr>
        <w:t xml:space="preserve"> </w:t>
      </w:r>
      <w:r w:rsidRPr="00F25EBD">
        <w:rPr>
          <w:rFonts w:asciiTheme="majorHAnsi" w:hAnsiTheme="majorHAnsi" w:cstheme="majorHAnsi"/>
        </w:rPr>
        <w:t>drugim przypadku nastąpiło odwrócenie proporcji. Tym razem to powiaty PM zanotowały najmniejszą</w:t>
      </w:r>
      <w:r w:rsidR="00336D76" w:rsidRPr="00F25EBD">
        <w:rPr>
          <w:rFonts w:asciiTheme="majorHAnsi" w:hAnsiTheme="majorHAnsi" w:cstheme="majorHAnsi"/>
        </w:rPr>
        <w:t xml:space="preserve"> - </w:t>
      </w:r>
      <w:r w:rsidRPr="00F25EBD">
        <w:rPr>
          <w:rFonts w:asciiTheme="majorHAnsi" w:hAnsiTheme="majorHAnsi" w:cstheme="majorHAnsi"/>
        </w:rPr>
        <w:t>wynoszącą jedynie 0,2 pkt. proc</w:t>
      </w:r>
      <w:r w:rsidR="00336D76" w:rsidRPr="00F25EBD">
        <w:rPr>
          <w:rFonts w:asciiTheme="majorHAnsi" w:hAnsiTheme="majorHAnsi" w:cstheme="majorHAnsi"/>
        </w:rPr>
        <w:t xml:space="preserve"> - </w:t>
      </w:r>
      <w:r w:rsidRPr="00F25EBD">
        <w:rPr>
          <w:rFonts w:asciiTheme="majorHAnsi" w:hAnsiTheme="majorHAnsi" w:cstheme="majorHAnsi"/>
        </w:rPr>
        <w:t>redukcję. W tym samym czasie odsetek osób w</w:t>
      </w:r>
      <w:r w:rsidR="007B04A7">
        <w:rPr>
          <w:rFonts w:asciiTheme="majorHAnsi" w:hAnsiTheme="majorHAnsi" w:cstheme="majorHAnsi"/>
        </w:rPr>
        <w:t xml:space="preserve"> </w:t>
      </w:r>
      <w:r w:rsidRPr="00F25EBD">
        <w:rPr>
          <w:rFonts w:asciiTheme="majorHAnsi" w:hAnsiTheme="majorHAnsi" w:cstheme="majorHAnsi"/>
        </w:rPr>
        <w:t xml:space="preserve">wieku nieprodukcyjnym w skali kraju zmniejszył się o 2,1 pkt proc., a </w:t>
      </w:r>
      <w:r w:rsidR="00E312DA">
        <w:rPr>
          <w:rFonts w:asciiTheme="majorHAnsi" w:hAnsiTheme="majorHAnsi" w:cstheme="majorHAnsi"/>
        </w:rPr>
        <w:t xml:space="preserve">w </w:t>
      </w:r>
      <w:r w:rsidRPr="00F25EBD">
        <w:rPr>
          <w:rFonts w:asciiTheme="majorHAnsi" w:hAnsiTheme="majorHAnsi" w:cstheme="majorHAnsi"/>
        </w:rPr>
        <w:t>regionie o 1,7 pkt. proc.</w:t>
      </w:r>
    </w:p>
    <w:p w14:paraId="49F257FE" w14:textId="77777777" w:rsidR="00EA2B5F" w:rsidRPr="0060383F" w:rsidRDefault="00EA2B5F" w:rsidP="00FC7062">
      <w:pPr>
        <w:spacing w:after="0" w:line="276" w:lineRule="auto"/>
        <w:jc w:val="both"/>
        <w:rPr>
          <w:rFonts w:asciiTheme="majorHAnsi" w:hAnsiTheme="majorHAnsi" w:cstheme="majorHAnsi"/>
          <w:color w:val="92D050"/>
        </w:rPr>
      </w:pPr>
    </w:p>
    <w:p w14:paraId="6F00B15B" w14:textId="5AA6FC55" w:rsidR="00EA2B5F" w:rsidRPr="0060383F" w:rsidRDefault="00EA2B5F" w:rsidP="002C7D64">
      <w:pPr>
        <w:pStyle w:val="Norm"/>
      </w:pPr>
      <w:r w:rsidRPr="0060383F">
        <w:t>Ruch naturalny ludności</w:t>
      </w:r>
    </w:p>
    <w:p w14:paraId="08A0DAD6" w14:textId="3A318229" w:rsidR="00EA2B5F" w:rsidRPr="00F25EBD" w:rsidRDefault="00EA2B5F" w:rsidP="008A3FED">
      <w:pPr>
        <w:spacing w:line="276" w:lineRule="auto"/>
        <w:jc w:val="both"/>
        <w:rPr>
          <w:rFonts w:asciiTheme="majorHAnsi" w:hAnsiTheme="majorHAnsi" w:cstheme="majorHAnsi"/>
        </w:rPr>
      </w:pPr>
      <w:r w:rsidRPr="00F25EBD">
        <w:rPr>
          <w:rFonts w:asciiTheme="majorHAnsi" w:hAnsiTheme="majorHAnsi" w:cstheme="majorHAnsi"/>
        </w:rPr>
        <w:t>Sytuacja ludnościowa danego obszaru to wypadkowa oddziaływania bardzo wielu różnorodnych czynników wśród których jednym z</w:t>
      </w:r>
      <w:r w:rsidR="007B04A7">
        <w:rPr>
          <w:rFonts w:asciiTheme="majorHAnsi" w:hAnsiTheme="majorHAnsi" w:cstheme="majorHAnsi"/>
        </w:rPr>
        <w:t xml:space="preserve"> </w:t>
      </w:r>
      <w:r w:rsidRPr="00F25EBD">
        <w:rPr>
          <w:rFonts w:asciiTheme="majorHAnsi" w:hAnsiTheme="majorHAnsi" w:cstheme="majorHAnsi"/>
        </w:rPr>
        <w:t xml:space="preserve">ważniejszych jest ruch naturalny, obejmujący urodzenia, zgony i wzajemną relację tych procesów. </w:t>
      </w:r>
    </w:p>
    <w:p w14:paraId="4BE83B9F" w14:textId="04E45C4D" w:rsidR="00EA2B5F" w:rsidRPr="00F25EBD" w:rsidRDefault="00EA2B5F" w:rsidP="008A3FED">
      <w:pPr>
        <w:spacing w:line="276" w:lineRule="auto"/>
        <w:jc w:val="both"/>
        <w:rPr>
          <w:rFonts w:asciiTheme="majorHAnsi" w:hAnsiTheme="majorHAnsi" w:cstheme="majorHAnsi"/>
        </w:rPr>
      </w:pPr>
      <w:r w:rsidRPr="00F25EBD">
        <w:rPr>
          <w:rFonts w:asciiTheme="majorHAnsi" w:hAnsiTheme="majorHAnsi" w:cstheme="majorHAnsi"/>
        </w:rPr>
        <w:t>W 2019</w:t>
      </w:r>
      <w:r w:rsidR="00F7062F">
        <w:rPr>
          <w:rFonts w:asciiTheme="majorHAnsi" w:hAnsiTheme="majorHAnsi" w:cstheme="majorHAnsi"/>
        </w:rPr>
        <w:t>r.</w:t>
      </w:r>
      <w:r w:rsidRPr="00F25EBD">
        <w:rPr>
          <w:rFonts w:asciiTheme="majorHAnsi" w:hAnsiTheme="majorHAnsi" w:cstheme="majorHAnsi"/>
        </w:rPr>
        <w:t xml:space="preserve"> w powiatach PM przyszło na świat 2.054 dzieci, co stanowiło</w:t>
      </w:r>
      <w:r w:rsidR="007A5888">
        <w:rPr>
          <w:rFonts w:asciiTheme="majorHAnsi" w:hAnsiTheme="majorHAnsi" w:cstheme="majorHAnsi"/>
        </w:rPr>
        <w:t xml:space="preserve"> 15,9% ogólnej liczby urodzeń w </w:t>
      </w:r>
      <w:r w:rsidRPr="00F25EBD">
        <w:rPr>
          <w:rFonts w:asciiTheme="majorHAnsi" w:hAnsiTheme="majorHAnsi" w:cstheme="majorHAnsi"/>
        </w:rPr>
        <w:t>województwie warmińsko-mazurskim. Pod tym względem sytuacja panująca wewnątrz analizowanej jednostki była dynamiczna lecz porównywalna. W latach 2010-20</w:t>
      </w:r>
      <w:r w:rsidR="007A5888">
        <w:rPr>
          <w:rFonts w:asciiTheme="majorHAnsi" w:hAnsiTheme="majorHAnsi" w:cstheme="majorHAnsi"/>
        </w:rPr>
        <w:t>19 wartości wskaźnika urodzeń w </w:t>
      </w:r>
      <w:r w:rsidRPr="00F25EBD">
        <w:rPr>
          <w:rFonts w:asciiTheme="majorHAnsi" w:hAnsiTheme="majorHAnsi" w:cstheme="majorHAnsi"/>
        </w:rPr>
        <w:t>przeliczenia na tys. mieszkańców mieściły się w przedziale od 8,40 (pow. szczycieński, 2015</w:t>
      </w:r>
      <w:r w:rsidR="00F7062F">
        <w:rPr>
          <w:rFonts w:asciiTheme="majorHAnsi" w:hAnsiTheme="majorHAnsi" w:cstheme="majorHAnsi"/>
        </w:rPr>
        <w:t>r.</w:t>
      </w:r>
      <w:r w:rsidRPr="00F25EBD">
        <w:rPr>
          <w:rFonts w:asciiTheme="majorHAnsi" w:hAnsiTheme="majorHAnsi" w:cstheme="majorHAnsi"/>
        </w:rPr>
        <w:t>) do 11,61 (pow. działdowski, 2010</w:t>
      </w:r>
      <w:r w:rsidR="00F7062F">
        <w:rPr>
          <w:rFonts w:asciiTheme="majorHAnsi" w:hAnsiTheme="majorHAnsi" w:cstheme="majorHAnsi"/>
        </w:rPr>
        <w:t>r.</w:t>
      </w:r>
      <w:r w:rsidRPr="00F25EBD">
        <w:rPr>
          <w:rFonts w:asciiTheme="majorHAnsi" w:hAnsiTheme="majorHAnsi" w:cstheme="majorHAnsi"/>
        </w:rPr>
        <w:t>) (rys.). Choć na przestrzeni analizowanych lat wskaźnik ten ulegał licznym wahaniom (zarówno wzrostom, jak i spadkom), to widoczne jest zmniejszenie jego wartości, szczególnie w powiatach: działdowskim (o 2,48) i szczycieńskim (o 2,04). Dla porównania, redukcja liczby urodzeń na tys. mieszkańców Polski wyniosła 0,96, a regionu warmińsko-mazurskiego 1,80.</w:t>
      </w:r>
    </w:p>
    <w:p w14:paraId="79DF1F10" w14:textId="4D20BD55" w:rsidR="00EA2B5F" w:rsidRPr="00F25EBD" w:rsidRDefault="00EA2B5F" w:rsidP="000E5B5A">
      <w:pPr>
        <w:pStyle w:val="nad"/>
      </w:pPr>
      <w:bookmarkStart w:id="25" w:name="_Toc81301536"/>
      <w:r w:rsidRPr="00F25EBD">
        <w:t xml:space="preserve">Rysunek </w:t>
      </w:r>
      <w:r w:rsidRPr="00F25EBD">
        <w:rPr>
          <w:noProof/>
        </w:rPr>
        <w:fldChar w:fldCharType="begin"/>
      </w:r>
      <w:r w:rsidRPr="00F25EBD">
        <w:rPr>
          <w:noProof/>
        </w:rPr>
        <w:instrText xml:space="preserve"> SEQ Rysunek \* ARABIC </w:instrText>
      </w:r>
      <w:r w:rsidRPr="00F25EBD">
        <w:rPr>
          <w:noProof/>
        </w:rPr>
        <w:fldChar w:fldCharType="separate"/>
      </w:r>
      <w:r w:rsidR="006C7815">
        <w:rPr>
          <w:noProof/>
        </w:rPr>
        <w:t>8</w:t>
      </w:r>
      <w:r w:rsidRPr="00F25EBD">
        <w:rPr>
          <w:noProof/>
        </w:rPr>
        <w:fldChar w:fldCharType="end"/>
      </w:r>
      <w:r w:rsidRPr="00F25EBD">
        <w:t>. Urodzenia na 1.000 mieszkańców w latach 2010-2019</w:t>
      </w:r>
      <w:bookmarkEnd w:id="25"/>
    </w:p>
    <w:p w14:paraId="7FB7AF28" w14:textId="77777777" w:rsidR="00EA2B5F" w:rsidRPr="00F25EBD" w:rsidRDefault="00EA2B5F" w:rsidP="00FC7062">
      <w:pPr>
        <w:spacing w:after="0" w:line="276" w:lineRule="auto"/>
        <w:jc w:val="center"/>
        <w:rPr>
          <w:rFonts w:asciiTheme="majorHAnsi" w:hAnsiTheme="majorHAnsi" w:cstheme="majorHAnsi"/>
        </w:rPr>
      </w:pPr>
      <w:r w:rsidRPr="00F25EBD">
        <w:rPr>
          <w:rFonts w:asciiTheme="majorHAnsi" w:hAnsiTheme="majorHAnsi" w:cstheme="majorHAnsi"/>
          <w:noProof/>
          <w:lang w:eastAsia="pl-PL"/>
        </w:rPr>
        <w:drawing>
          <wp:inline distT="0" distB="0" distL="0" distR="0" wp14:anchorId="061ECFC3" wp14:editId="4E4B536D">
            <wp:extent cx="5760000" cy="2606400"/>
            <wp:effectExtent l="0" t="0" r="12700" b="3810"/>
            <wp:docPr id="9" name="Wykres 9">
              <a:extLst xmlns:a="http://schemas.openxmlformats.org/drawingml/2006/main">
                <a:ext uri="{FF2B5EF4-FFF2-40B4-BE49-F238E27FC236}">
                  <a16:creationId xmlns:a16="http://schemas.microsoft.com/office/drawing/2014/main" id="{68D2E650-CDC0-4594-9D58-EA39BDE47D4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44C78598" w14:textId="77777777" w:rsidR="00EA2B5F" w:rsidRPr="00F25EBD" w:rsidRDefault="00EA2B5F" w:rsidP="00FC7062">
      <w:pPr>
        <w:spacing w:after="0" w:line="276" w:lineRule="auto"/>
        <w:jc w:val="both"/>
        <w:rPr>
          <w:rFonts w:asciiTheme="majorHAnsi" w:hAnsiTheme="majorHAnsi" w:cstheme="majorHAnsi"/>
          <w:sz w:val="18"/>
          <w:szCs w:val="18"/>
        </w:rPr>
      </w:pPr>
      <w:r w:rsidRPr="00F25EBD">
        <w:rPr>
          <w:rFonts w:asciiTheme="majorHAnsi" w:hAnsiTheme="majorHAnsi" w:cstheme="majorHAnsi"/>
          <w:sz w:val="18"/>
          <w:szCs w:val="18"/>
        </w:rPr>
        <w:t>Źródło: opracowanie własne na podstawie danych BDL.</w:t>
      </w:r>
    </w:p>
    <w:p w14:paraId="355CFFFF" w14:textId="77777777" w:rsidR="00EA2B5F" w:rsidRPr="00F25EBD" w:rsidRDefault="00EA2B5F" w:rsidP="00FC7062">
      <w:pPr>
        <w:spacing w:after="0" w:line="276" w:lineRule="auto"/>
        <w:jc w:val="both"/>
        <w:rPr>
          <w:rFonts w:asciiTheme="majorHAnsi" w:hAnsiTheme="majorHAnsi" w:cstheme="majorHAnsi"/>
        </w:rPr>
      </w:pPr>
    </w:p>
    <w:p w14:paraId="4BD5A311" w14:textId="5673DC65" w:rsidR="00EA2B5F" w:rsidRPr="00F25EBD" w:rsidRDefault="00EA2B5F" w:rsidP="008A3FED">
      <w:pPr>
        <w:spacing w:line="276" w:lineRule="auto"/>
        <w:jc w:val="both"/>
        <w:rPr>
          <w:rFonts w:asciiTheme="majorHAnsi" w:hAnsiTheme="majorHAnsi" w:cstheme="majorHAnsi"/>
        </w:rPr>
      </w:pPr>
      <w:r w:rsidRPr="00F25EBD">
        <w:rPr>
          <w:rFonts w:asciiTheme="majorHAnsi" w:hAnsiTheme="majorHAnsi" w:cstheme="majorHAnsi"/>
        </w:rPr>
        <w:t>Drugim zjawiskiem mającym wpływ na liczbę i strukturę ludności są zgony. W 2019</w:t>
      </w:r>
      <w:r w:rsidR="00F7062F">
        <w:rPr>
          <w:rFonts w:asciiTheme="majorHAnsi" w:hAnsiTheme="majorHAnsi" w:cstheme="majorHAnsi"/>
        </w:rPr>
        <w:t>r.</w:t>
      </w:r>
      <w:r w:rsidRPr="00F25EBD">
        <w:rPr>
          <w:rFonts w:asciiTheme="majorHAnsi" w:hAnsiTheme="majorHAnsi" w:cstheme="majorHAnsi"/>
        </w:rPr>
        <w:t xml:space="preserve"> na terenie Południowych Mazur umarły łącznie 2.342 osoby, co stanowiło 15,7% puli wojewódzkiej. W</w:t>
      </w:r>
      <w:r w:rsidR="007B04A7">
        <w:rPr>
          <w:rFonts w:asciiTheme="majorHAnsi" w:hAnsiTheme="majorHAnsi" w:cstheme="majorHAnsi"/>
        </w:rPr>
        <w:t xml:space="preserve"> </w:t>
      </w:r>
      <w:r w:rsidRPr="00F25EBD">
        <w:rPr>
          <w:rFonts w:asciiTheme="majorHAnsi" w:hAnsiTheme="majorHAnsi" w:cstheme="majorHAnsi"/>
        </w:rPr>
        <w:t>skali poszczególnych jednostek administracyjnych PM śmiertelność w przeliczeniu na tys. mieszkańców (</w:t>
      </w:r>
      <w:proofErr w:type="spellStart"/>
      <w:r w:rsidRPr="00F25EBD">
        <w:rPr>
          <w:rFonts w:asciiTheme="majorHAnsi" w:hAnsiTheme="majorHAnsi" w:cstheme="majorHAnsi"/>
        </w:rPr>
        <w:t>W</w:t>
      </w:r>
      <w:r w:rsidRPr="00F25EBD">
        <w:rPr>
          <w:rFonts w:asciiTheme="majorHAnsi" w:hAnsiTheme="majorHAnsi" w:cstheme="majorHAnsi"/>
          <w:vertAlign w:val="subscript"/>
        </w:rPr>
        <w:t>zg</w:t>
      </w:r>
      <w:proofErr w:type="spellEnd"/>
      <w:r w:rsidRPr="00F25EBD">
        <w:rPr>
          <w:rFonts w:asciiTheme="majorHAnsi" w:hAnsiTheme="majorHAnsi" w:cstheme="majorHAnsi"/>
          <w:vertAlign w:val="subscript"/>
        </w:rPr>
        <w:t>/1000</w:t>
      </w:r>
      <w:r w:rsidRPr="00F25EBD">
        <w:rPr>
          <w:rFonts w:asciiTheme="majorHAnsi" w:hAnsiTheme="majorHAnsi" w:cstheme="majorHAnsi"/>
        </w:rPr>
        <w:t>) mieściła się w przedziale od 9,11 w powiecie nidzickim do 11,22 w</w:t>
      </w:r>
      <w:r w:rsidR="007B04A7">
        <w:rPr>
          <w:rFonts w:asciiTheme="majorHAnsi" w:hAnsiTheme="majorHAnsi" w:cstheme="majorHAnsi"/>
        </w:rPr>
        <w:t xml:space="preserve"> </w:t>
      </w:r>
      <w:r w:rsidRPr="00F25EBD">
        <w:rPr>
          <w:rFonts w:asciiTheme="majorHAnsi" w:hAnsiTheme="majorHAnsi" w:cstheme="majorHAnsi"/>
        </w:rPr>
        <w:t>szczycieńskim, co było porównywalne z sytuacją panującą w kraju (</w:t>
      </w:r>
      <w:proofErr w:type="spellStart"/>
      <w:r w:rsidRPr="00F25EBD">
        <w:rPr>
          <w:rFonts w:asciiTheme="majorHAnsi" w:hAnsiTheme="majorHAnsi" w:cstheme="majorHAnsi"/>
        </w:rPr>
        <w:t>W</w:t>
      </w:r>
      <w:r w:rsidRPr="00F25EBD">
        <w:rPr>
          <w:rFonts w:asciiTheme="majorHAnsi" w:hAnsiTheme="majorHAnsi" w:cstheme="majorHAnsi"/>
          <w:vertAlign w:val="subscript"/>
        </w:rPr>
        <w:t>zg</w:t>
      </w:r>
      <w:proofErr w:type="spellEnd"/>
      <w:r w:rsidRPr="00F25EBD">
        <w:rPr>
          <w:rFonts w:asciiTheme="majorHAnsi" w:hAnsiTheme="majorHAnsi" w:cstheme="majorHAnsi"/>
          <w:vertAlign w:val="subscript"/>
        </w:rPr>
        <w:t>/1000</w:t>
      </w:r>
      <w:r w:rsidRPr="00F25EBD">
        <w:rPr>
          <w:rFonts w:asciiTheme="majorHAnsi" w:hAnsiTheme="majorHAnsi" w:cstheme="majorHAnsi"/>
        </w:rPr>
        <w:t xml:space="preserve"> = 10,67) i województwie warmińsko-mazurskim (</w:t>
      </w:r>
      <w:proofErr w:type="spellStart"/>
      <w:r w:rsidRPr="00F25EBD">
        <w:rPr>
          <w:rFonts w:asciiTheme="majorHAnsi" w:hAnsiTheme="majorHAnsi" w:cstheme="majorHAnsi"/>
        </w:rPr>
        <w:t>W</w:t>
      </w:r>
      <w:r w:rsidRPr="00F25EBD">
        <w:rPr>
          <w:rFonts w:asciiTheme="majorHAnsi" w:hAnsiTheme="majorHAnsi" w:cstheme="majorHAnsi"/>
          <w:vertAlign w:val="subscript"/>
        </w:rPr>
        <w:t>zg</w:t>
      </w:r>
      <w:proofErr w:type="spellEnd"/>
      <w:r w:rsidRPr="00F25EBD">
        <w:rPr>
          <w:rFonts w:asciiTheme="majorHAnsi" w:hAnsiTheme="majorHAnsi" w:cstheme="majorHAnsi"/>
          <w:vertAlign w:val="subscript"/>
        </w:rPr>
        <w:t>/1000</w:t>
      </w:r>
      <w:r w:rsidRPr="00F25EBD">
        <w:rPr>
          <w:rFonts w:asciiTheme="majorHAnsi" w:hAnsiTheme="majorHAnsi" w:cstheme="majorHAnsi"/>
        </w:rPr>
        <w:t xml:space="preserve"> = 10,44). Także i tym razem w latach 2010-2019 (podobnie jak to miało miejsce w przypadku urodzeń) widoczne były wahania wartości wskaźnika (rys.). Z wyjątkiem powiatu nidzickiego, w</w:t>
      </w:r>
      <w:r w:rsidR="007B04A7">
        <w:rPr>
          <w:rFonts w:asciiTheme="majorHAnsi" w:hAnsiTheme="majorHAnsi" w:cstheme="majorHAnsi"/>
        </w:rPr>
        <w:t xml:space="preserve"> </w:t>
      </w:r>
      <w:r w:rsidRPr="00F25EBD">
        <w:rPr>
          <w:rFonts w:asciiTheme="majorHAnsi" w:hAnsiTheme="majorHAnsi" w:cstheme="majorHAnsi"/>
        </w:rPr>
        <w:t>którym w</w:t>
      </w:r>
      <w:r w:rsidR="007B04A7">
        <w:rPr>
          <w:rFonts w:asciiTheme="majorHAnsi" w:hAnsiTheme="majorHAnsi" w:cstheme="majorHAnsi"/>
        </w:rPr>
        <w:t xml:space="preserve"> </w:t>
      </w:r>
      <w:r w:rsidRPr="00F25EBD">
        <w:rPr>
          <w:rFonts w:asciiTheme="majorHAnsi" w:hAnsiTheme="majorHAnsi" w:cstheme="majorHAnsi"/>
        </w:rPr>
        <w:t>2019</w:t>
      </w:r>
      <w:r w:rsidR="00F7062F">
        <w:rPr>
          <w:rFonts w:asciiTheme="majorHAnsi" w:hAnsiTheme="majorHAnsi" w:cstheme="majorHAnsi"/>
        </w:rPr>
        <w:t>r.</w:t>
      </w:r>
      <w:r w:rsidRPr="00F25EBD">
        <w:rPr>
          <w:rFonts w:asciiTheme="majorHAnsi" w:hAnsiTheme="majorHAnsi" w:cstheme="majorHAnsi"/>
        </w:rPr>
        <w:t xml:space="preserve"> umarło 26 osób mniej niż w roku rozpoczynającym analizę, w pozostałych nastąpił wzrost wskaźnika </w:t>
      </w:r>
      <w:proofErr w:type="spellStart"/>
      <w:r w:rsidRPr="00F25EBD">
        <w:rPr>
          <w:rFonts w:asciiTheme="majorHAnsi" w:hAnsiTheme="majorHAnsi" w:cstheme="majorHAnsi"/>
        </w:rPr>
        <w:t>W</w:t>
      </w:r>
      <w:r w:rsidRPr="00F25EBD">
        <w:rPr>
          <w:rFonts w:asciiTheme="majorHAnsi" w:hAnsiTheme="majorHAnsi" w:cstheme="majorHAnsi"/>
          <w:vertAlign w:val="subscript"/>
        </w:rPr>
        <w:t>zg</w:t>
      </w:r>
      <w:proofErr w:type="spellEnd"/>
      <w:r w:rsidRPr="00F25EBD">
        <w:rPr>
          <w:rFonts w:asciiTheme="majorHAnsi" w:hAnsiTheme="majorHAnsi" w:cstheme="majorHAnsi"/>
          <w:vertAlign w:val="subscript"/>
        </w:rPr>
        <w:t>/1000</w:t>
      </w:r>
      <w:r w:rsidRPr="00F25EBD">
        <w:rPr>
          <w:rFonts w:asciiTheme="majorHAnsi" w:hAnsiTheme="majorHAnsi" w:cstheme="majorHAnsi"/>
        </w:rPr>
        <w:t xml:space="preserve">. Wyniósł on 2,43 w powiecie szczycieńskim, 1,67 w </w:t>
      </w:r>
      <w:proofErr w:type="spellStart"/>
      <w:r w:rsidRPr="00F25EBD">
        <w:rPr>
          <w:rFonts w:asciiTheme="majorHAnsi" w:hAnsiTheme="majorHAnsi" w:cstheme="majorHAnsi"/>
        </w:rPr>
        <w:t>piskim</w:t>
      </w:r>
      <w:proofErr w:type="spellEnd"/>
      <w:r w:rsidRPr="00F25EBD">
        <w:rPr>
          <w:rFonts w:asciiTheme="majorHAnsi" w:hAnsiTheme="majorHAnsi" w:cstheme="majorHAnsi"/>
        </w:rPr>
        <w:t xml:space="preserve"> i 1,57 w</w:t>
      </w:r>
      <w:r w:rsidR="007B04A7">
        <w:rPr>
          <w:rFonts w:asciiTheme="majorHAnsi" w:hAnsiTheme="majorHAnsi" w:cstheme="majorHAnsi"/>
        </w:rPr>
        <w:t xml:space="preserve"> </w:t>
      </w:r>
      <w:r w:rsidRPr="00F25EBD">
        <w:rPr>
          <w:rFonts w:asciiTheme="majorHAnsi" w:hAnsiTheme="majorHAnsi" w:cstheme="majorHAnsi"/>
        </w:rPr>
        <w:t>działdowskim.</w:t>
      </w:r>
    </w:p>
    <w:p w14:paraId="19E8F39C" w14:textId="77777777" w:rsidR="00EA2B5F" w:rsidRPr="00F25EBD" w:rsidRDefault="00EA2B5F" w:rsidP="008A3FED">
      <w:pPr>
        <w:spacing w:line="276" w:lineRule="auto"/>
        <w:jc w:val="both"/>
        <w:rPr>
          <w:rFonts w:asciiTheme="majorHAnsi" w:hAnsiTheme="majorHAnsi" w:cstheme="majorHAnsi"/>
        </w:rPr>
      </w:pPr>
      <w:r w:rsidRPr="00F25EBD">
        <w:rPr>
          <w:rFonts w:asciiTheme="majorHAnsi" w:hAnsiTheme="majorHAnsi" w:cstheme="majorHAnsi"/>
        </w:rPr>
        <w:t>W latach 2010-2018 zgony powodowane były przede wszystkim przez choroby układu krążenia (7.955 przypadków) i nowotwory (5.196). Wyznaczone dla tych przyczyn wskaźniki struktury wyniosły odpowiednio: 40,5% i 26,5%.</w:t>
      </w:r>
    </w:p>
    <w:p w14:paraId="75A9AD7D" w14:textId="5AB97C2C" w:rsidR="00EA2B5F" w:rsidRPr="00F25EBD" w:rsidRDefault="00EA2B5F" w:rsidP="000E5B5A">
      <w:pPr>
        <w:pStyle w:val="nad"/>
      </w:pPr>
      <w:bookmarkStart w:id="26" w:name="_Toc81301537"/>
      <w:r w:rsidRPr="00F25EBD">
        <w:t xml:space="preserve">Rysunek </w:t>
      </w:r>
      <w:r w:rsidRPr="00F25EBD">
        <w:rPr>
          <w:noProof/>
        </w:rPr>
        <w:fldChar w:fldCharType="begin"/>
      </w:r>
      <w:r w:rsidRPr="00F25EBD">
        <w:rPr>
          <w:noProof/>
        </w:rPr>
        <w:instrText xml:space="preserve"> SEQ Rysunek \* ARABIC </w:instrText>
      </w:r>
      <w:r w:rsidRPr="00F25EBD">
        <w:rPr>
          <w:noProof/>
        </w:rPr>
        <w:fldChar w:fldCharType="separate"/>
      </w:r>
      <w:r w:rsidR="006C7815">
        <w:rPr>
          <w:noProof/>
        </w:rPr>
        <w:t>9</w:t>
      </w:r>
      <w:r w:rsidRPr="00F25EBD">
        <w:rPr>
          <w:noProof/>
        </w:rPr>
        <w:fldChar w:fldCharType="end"/>
      </w:r>
      <w:r w:rsidRPr="00F25EBD">
        <w:t>. Zgony na 1.000 mieszkańców w latach 2010-2019</w:t>
      </w:r>
      <w:bookmarkEnd w:id="26"/>
    </w:p>
    <w:p w14:paraId="09717871" w14:textId="77777777" w:rsidR="00EA2B5F" w:rsidRPr="00F25EBD" w:rsidRDefault="00EA2B5F" w:rsidP="00FC7062">
      <w:pPr>
        <w:spacing w:after="0" w:line="276" w:lineRule="auto"/>
        <w:jc w:val="center"/>
        <w:rPr>
          <w:rFonts w:asciiTheme="majorHAnsi" w:hAnsiTheme="majorHAnsi" w:cstheme="majorHAnsi"/>
        </w:rPr>
      </w:pPr>
      <w:r w:rsidRPr="00F25EBD">
        <w:rPr>
          <w:rFonts w:asciiTheme="majorHAnsi" w:hAnsiTheme="majorHAnsi" w:cstheme="majorHAnsi"/>
          <w:noProof/>
          <w:lang w:eastAsia="pl-PL"/>
        </w:rPr>
        <w:drawing>
          <wp:inline distT="0" distB="0" distL="0" distR="0" wp14:anchorId="2DA1D7A8" wp14:editId="4AF5E42A">
            <wp:extent cx="5760000" cy="2606400"/>
            <wp:effectExtent l="0" t="0" r="12700" b="3810"/>
            <wp:docPr id="10" name="Wykres 10">
              <a:extLst xmlns:a="http://schemas.openxmlformats.org/drawingml/2006/main">
                <a:ext uri="{FF2B5EF4-FFF2-40B4-BE49-F238E27FC236}">
                  <a16:creationId xmlns:a16="http://schemas.microsoft.com/office/drawing/2014/main" id="{31637A32-AD9A-48C0-99E6-81B4D0349C9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61264D68" w14:textId="77777777" w:rsidR="00EA2B5F" w:rsidRPr="00F25EBD" w:rsidRDefault="00EA2B5F" w:rsidP="00A60534">
      <w:pPr>
        <w:pStyle w:val="rdo"/>
      </w:pPr>
      <w:r w:rsidRPr="00F25EBD">
        <w:t>Źródło: opracowanie własne na podstawie danych BDL.</w:t>
      </w:r>
    </w:p>
    <w:p w14:paraId="0FE28D15" w14:textId="77777777" w:rsidR="008A3FED" w:rsidRDefault="008A3FED" w:rsidP="00FC7062">
      <w:pPr>
        <w:spacing w:after="0" w:line="276" w:lineRule="auto"/>
        <w:jc w:val="both"/>
        <w:rPr>
          <w:rFonts w:asciiTheme="majorHAnsi" w:hAnsiTheme="majorHAnsi" w:cstheme="majorHAnsi"/>
        </w:rPr>
      </w:pPr>
    </w:p>
    <w:p w14:paraId="31176851" w14:textId="631BC73F" w:rsidR="00EA2B5F" w:rsidRPr="00F25EBD" w:rsidRDefault="00EA2B5F" w:rsidP="00FC7062">
      <w:pPr>
        <w:spacing w:after="0" w:line="276" w:lineRule="auto"/>
        <w:jc w:val="both"/>
        <w:rPr>
          <w:rFonts w:asciiTheme="majorHAnsi" w:hAnsiTheme="majorHAnsi" w:cstheme="majorHAnsi"/>
        </w:rPr>
      </w:pPr>
      <w:r w:rsidRPr="00F25EBD">
        <w:rPr>
          <w:rFonts w:asciiTheme="majorHAnsi" w:hAnsiTheme="majorHAnsi" w:cstheme="majorHAnsi"/>
        </w:rPr>
        <w:t>Wzajemna relacja urodzeń i zgonów, to obok migracji, kluczowy czynnik determinujący zjawisko depopulacji. W 2019</w:t>
      </w:r>
      <w:r w:rsidR="00F7062F">
        <w:rPr>
          <w:rFonts w:asciiTheme="majorHAnsi" w:hAnsiTheme="majorHAnsi" w:cstheme="majorHAnsi"/>
        </w:rPr>
        <w:t>r.</w:t>
      </w:r>
      <w:r w:rsidRPr="00F25EBD">
        <w:rPr>
          <w:rFonts w:asciiTheme="majorHAnsi" w:hAnsiTheme="majorHAnsi" w:cstheme="majorHAnsi"/>
        </w:rPr>
        <w:t xml:space="preserve"> przyrost naturalny na terenie Południowych Mazur był ujemny i wyniósł -288 osób, co po przeliczeniu na 1 000 mieszkańców dało wartość -1,29. Przewaga liczby zgonów nad urodzeniami wystąpiła także w 2013</w:t>
      </w:r>
      <w:r w:rsidR="00F7062F">
        <w:rPr>
          <w:rFonts w:asciiTheme="majorHAnsi" w:hAnsiTheme="majorHAnsi" w:cstheme="majorHAnsi"/>
        </w:rPr>
        <w:t>r.</w:t>
      </w:r>
      <w:r w:rsidRPr="00F25EBD">
        <w:rPr>
          <w:rFonts w:asciiTheme="majorHAnsi" w:hAnsiTheme="majorHAnsi" w:cstheme="majorHAnsi"/>
        </w:rPr>
        <w:t xml:space="preserve"> (-24), 2015</w:t>
      </w:r>
      <w:r w:rsidR="00F7062F">
        <w:rPr>
          <w:rFonts w:asciiTheme="majorHAnsi" w:hAnsiTheme="majorHAnsi" w:cstheme="majorHAnsi"/>
        </w:rPr>
        <w:t>r.</w:t>
      </w:r>
      <w:r w:rsidRPr="00F25EBD">
        <w:rPr>
          <w:rFonts w:asciiTheme="majorHAnsi" w:hAnsiTheme="majorHAnsi" w:cstheme="majorHAnsi"/>
        </w:rPr>
        <w:t xml:space="preserve"> (-92), 2016</w:t>
      </w:r>
      <w:r w:rsidR="00F7062F">
        <w:rPr>
          <w:rFonts w:asciiTheme="majorHAnsi" w:hAnsiTheme="majorHAnsi" w:cstheme="majorHAnsi"/>
        </w:rPr>
        <w:t>r.</w:t>
      </w:r>
      <w:r w:rsidRPr="00F25EBD">
        <w:rPr>
          <w:rFonts w:asciiTheme="majorHAnsi" w:hAnsiTheme="majorHAnsi" w:cstheme="majorHAnsi"/>
        </w:rPr>
        <w:t xml:space="preserve"> (-16) i 2018</w:t>
      </w:r>
      <w:r w:rsidR="00F7062F">
        <w:rPr>
          <w:rFonts w:asciiTheme="majorHAnsi" w:hAnsiTheme="majorHAnsi" w:cstheme="majorHAnsi"/>
        </w:rPr>
        <w:t>r.</w:t>
      </w:r>
      <w:r w:rsidRPr="00F25EBD">
        <w:rPr>
          <w:rFonts w:asciiTheme="majorHAnsi" w:hAnsiTheme="majorHAnsi" w:cstheme="majorHAnsi"/>
        </w:rPr>
        <w:t xml:space="preserve"> (-268). Z wyjątkiem powiatu działdowskiego (w którym dodatni przyrost naturalny wystąpił w siedmiu na dziesięć lat objętych analizą) pozostałe jednostki charakteryzowały się równowagą w zakresie dodatniego i</w:t>
      </w:r>
      <w:r w:rsidR="001676E7">
        <w:rPr>
          <w:rFonts w:asciiTheme="majorHAnsi" w:hAnsiTheme="majorHAnsi" w:cstheme="majorHAnsi"/>
        </w:rPr>
        <w:t> </w:t>
      </w:r>
      <w:r w:rsidRPr="00F25EBD">
        <w:rPr>
          <w:rFonts w:asciiTheme="majorHAnsi" w:hAnsiTheme="majorHAnsi" w:cstheme="majorHAnsi"/>
        </w:rPr>
        <w:t xml:space="preserve">ujemnego bilansu liczby urodzeń i zgonów (rys.). </w:t>
      </w:r>
    </w:p>
    <w:p w14:paraId="14CA68E7" w14:textId="0CCCBA25" w:rsidR="00EA2B5F" w:rsidRPr="00F25EBD" w:rsidRDefault="00EA2B5F" w:rsidP="000E5B5A">
      <w:pPr>
        <w:pStyle w:val="nad"/>
      </w:pPr>
      <w:bookmarkStart w:id="27" w:name="_Toc81301538"/>
      <w:r w:rsidRPr="00F25EBD">
        <w:t xml:space="preserve">Rysunek </w:t>
      </w:r>
      <w:r w:rsidRPr="00F25EBD">
        <w:rPr>
          <w:noProof/>
        </w:rPr>
        <w:fldChar w:fldCharType="begin"/>
      </w:r>
      <w:r w:rsidRPr="00F25EBD">
        <w:rPr>
          <w:noProof/>
        </w:rPr>
        <w:instrText xml:space="preserve"> SEQ Rysunek \* ARABIC </w:instrText>
      </w:r>
      <w:r w:rsidRPr="00F25EBD">
        <w:rPr>
          <w:noProof/>
        </w:rPr>
        <w:fldChar w:fldCharType="separate"/>
      </w:r>
      <w:r w:rsidR="006C7815">
        <w:rPr>
          <w:noProof/>
        </w:rPr>
        <w:t>10</w:t>
      </w:r>
      <w:r w:rsidRPr="00F25EBD">
        <w:rPr>
          <w:noProof/>
        </w:rPr>
        <w:fldChar w:fldCharType="end"/>
      </w:r>
      <w:r w:rsidRPr="00F25EBD">
        <w:t>. Przyrost naturalny na 1.000 mieszkańców w latach 2010-2019</w:t>
      </w:r>
      <w:bookmarkEnd w:id="27"/>
    </w:p>
    <w:p w14:paraId="34272469" w14:textId="77777777" w:rsidR="00EA2B5F" w:rsidRPr="00F25EBD" w:rsidRDefault="00EA2B5F" w:rsidP="00FC7062">
      <w:pPr>
        <w:spacing w:after="0" w:line="276" w:lineRule="auto"/>
        <w:jc w:val="center"/>
        <w:rPr>
          <w:rFonts w:asciiTheme="majorHAnsi" w:hAnsiTheme="majorHAnsi" w:cstheme="majorHAnsi"/>
        </w:rPr>
      </w:pPr>
      <w:r w:rsidRPr="00F25EBD">
        <w:rPr>
          <w:rFonts w:asciiTheme="majorHAnsi" w:hAnsiTheme="majorHAnsi" w:cstheme="majorHAnsi"/>
          <w:noProof/>
          <w:lang w:eastAsia="pl-PL"/>
        </w:rPr>
        <w:drawing>
          <wp:inline distT="0" distB="0" distL="0" distR="0" wp14:anchorId="5114AEB5" wp14:editId="5CD29051">
            <wp:extent cx="5759450" cy="2234316"/>
            <wp:effectExtent l="0" t="0" r="12700" b="13970"/>
            <wp:docPr id="11" name="Wykres 11">
              <a:extLst xmlns:a="http://schemas.openxmlformats.org/drawingml/2006/main">
                <a:ext uri="{FF2B5EF4-FFF2-40B4-BE49-F238E27FC236}">
                  <a16:creationId xmlns:a16="http://schemas.microsoft.com/office/drawing/2014/main" id="{851D1C34-6245-4C6F-BCD8-2E791F9EEE6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5CAC965A" w14:textId="7A739FC1" w:rsidR="00EA2B5F" w:rsidRPr="00F25EBD" w:rsidRDefault="00EA2B5F" w:rsidP="00A60534">
      <w:pPr>
        <w:pStyle w:val="rdo"/>
      </w:pPr>
      <w:r w:rsidRPr="00F25EBD">
        <w:t>Źródło: opracowanie własne na podstawie danych BDL.</w:t>
      </w:r>
    </w:p>
    <w:p w14:paraId="75D8B060" w14:textId="4C8F19E0" w:rsidR="00EA2B5F" w:rsidRPr="00A60534" w:rsidRDefault="00EA2B5F" w:rsidP="002C7D64">
      <w:pPr>
        <w:pStyle w:val="Norm"/>
      </w:pPr>
      <w:r w:rsidRPr="00A60534">
        <w:t>Procesy migracyjne</w:t>
      </w:r>
    </w:p>
    <w:p w14:paraId="56930EE7" w14:textId="77777777" w:rsidR="00EA2B5F" w:rsidRPr="00F25EBD" w:rsidRDefault="00EA2B5F" w:rsidP="008A3FED">
      <w:pPr>
        <w:spacing w:line="276" w:lineRule="auto"/>
        <w:jc w:val="both"/>
        <w:rPr>
          <w:rFonts w:asciiTheme="majorHAnsi" w:hAnsiTheme="majorHAnsi" w:cstheme="majorHAnsi"/>
        </w:rPr>
      </w:pPr>
      <w:r w:rsidRPr="00F25EBD">
        <w:rPr>
          <w:rFonts w:asciiTheme="majorHAnsi" w:hAnsiTheme="majorHAnsi" w:cstheme="majorHAnsi"/>
        </w:rPr>
        <w:t xml:space="preserve">Kolejnym czynnikiem wpływającym na stan i strukturę ludności danej jednostki terytorialnej jest ruch migracyjny obejmujący przyjazdy (zameldowania), wyjazdy (wymeldowania) i wzajemne relacje obu procesów (saldo). </w:t>
      </w:r>
    </w:p>
    <w:p w14:paraId="08088D2C" w14:textId="7696F545" w:rsidR="00EA2B5F" w:rsidRPr="00F25EBD" w:rsidRDefault="00EA2B5F" w:rsidP="008A3FED">
      <w:pPr>
        <w:spacing w:line="276" w:lineRule="auto"/>
        <w:jc w:val="both"/>
        <w:rPr>
          <w:rFonts w:asciiTheme="majorHAnsi" w:hAnsiTheme="majorHAnsi" w:cstheme="majorHAnsi"/>
        </w:rPr>
      </w:pPr>
      <w:r w:rsidRPr="00F25EBD">
        <w:rPr>
          <w:rFonts w:asciiTheme="majorHAnsi" w:hAnsiTheme="majorHAnsi" w:cstheme="majorHAnsi"/>
        </w:rPr>
        <w:t>W latach 2010-2019</w:t>
      </w:r>
      <w:r w:rsidRPr="00F25EBD">
        <w:rPr>
          <w:rStyle w:val="Odwoanieprzypisudolnego"/>
          <w:rFonts w:asciiTheme="majorHAnsi" w:hAnsiTheme="majorHAnsi" w:cstheme="majorHAnsi"/>
        </w:rPr>
        <w:footnoteReference w:id="17"/>
      </w:r>
      <w:r w:rsidRPr="00F25EBD">
        <w:rPr>
          <w:rFonts w:asciiTheme="majorHAnsi" w:hAnsiTheme="majorHAnsi" w:cstheme="majorHAnsi"/>
        </w:rPr>
        <w:t xml:space="preserve"> na obszarze Południowych Mazur zameldowane zostały 21.174 osoby, co stanowiło 14,0% ogółu zameldowań w województwie warmińsko-mazurskim. Zdecydowana większość przyjezdnych (97,1%) pojawiła się na analizowanym terenie w ramach tzw. migracji wewnętrznych, rozumianych jako zmiana miejsca zamieszkania (na stałe lub czasowo) w</w:t>
      </w:r>
      <w:r w:rsidR="007B04A7">
        <w:rPr>
          <w:rFonts w:asciiTheme="majorHAnsi" w:hAnsiTheme="majorHAnsi" w:cstheme="majorHAnsi"/>
        </w:rPr>
        <w:t xml:space="preserve"> </w:t>
      </w:r>
      <w:r w:rsidRPr="00F25EBD">
        <w:rPr>
          <w:rFonts w:asciiTheme="majorHAnsi" w:hAnsiTheme="majorHAnsi" w:cstheme="majorHAnsi"/>
        </w:rPr>
        <w:t>obrębie kraju, polegająca na przekroczeniu granicy administracyjnej gminy</w:t>
      </w:r>
      <w:r w:rsidRPr="00F25EBD">
        <w:rPr>
          <w:rStyle w:val="Odwoanieprzypisudolnego"/>
          <w:rFonts w:asciiTheme="majorHAnsi" w:hAnsiTheme="majorHAnsi" w:cstheme="majorHAnsi"/>
        </w:rPr>
        <w:footnoteReference w:id="18"/>
      </w:r>
      <w:r w:rsidRPr="00F25EBD">
        <w:rPr>
          <w:rFonts w:asciiTheme="majorHAnsi" w:hAnsiTheme="majorHAnsi" w:cstheme="majorHAnsi"/>
        </w:rPr>
        <w:t>. W grupie tej, ponad połowę (67,8%) stanowiły osoby, które przyjechały spoza obszaru Południowych Mazur, z czego większość (63,7%) była dotychczas zameldowana w innym, niż województwo warmińsko-mazurskie, regionie kraju. Lista miejsc</w:t>
      </w:r>
      <w:r w:rsidRPr="00F25EBD">
        <w:rPr>
          <w:rStyle w:val="Odwoanieprzypisudolnego"/>
          <w:rFonts w:asciiTheme="majorHAnsi" w:hAnsiTheme="majorHAnsi" w:cstheme="majorHAnsi"/>
        </w:rPr>
        <w:footnoteReference w:id="19"/>
      </w:r>
      <w:r w:rsidRPr="00F25EBD">
        <w:rPr>
          <w:rFonts w:asciiTheme="majorHAnsi" w:hAnsiTheme="majorHAnsi" w:cstheme="majorHAnsi"/>
        </w:rPr>
        <w:t>, z których pochodziły te osoby liczyła łącznie 235 pozycji, a pierwszą dziesiątkę tworzyły: miasto Myszyniec (273 osoby), miasto Tychy (250), miasto Miński Mazowiecki (201), miasto Mława (187), gmina wiejska Brzozie (183), gmina wiejska Kluczbork-Osada (158), miasto Ostrów Mazowiecka (151), część wiejska gminy Chorzele (127), miasto Gdynia (121), miasto Mysłowice (119). Z kolei ludność napływająca z innych niż Południowe Mazury terenów województwa warmińsko-mazurskiego pochodziła przede wszystkim z: miasta Braniewo (293), części wiejskiej gminy Biskupiec (267), gminy wiejskiej Lubawa (200), miasta Ełk (191), miasta Olsztyn (168), gminy wiejskiej Purda (138), miasta Lubawa (135), miasta Mrągowo (118), miasta Morąg (104).</w:t>
      </w:r>
    </w:p>
    <w:p w14:paraId="20D8CB9E" w14:textId="6DF98DCB" w:rsidR="00EA2B5F" w:rsidRPr="00F25EBD" w:rsidRDefault="00EA2B5F" w:rsidP="008A3FED">
      <w:pPr>
        <w:spacing w:line="276" w:lineRule="auto"/>
        <w:jc w:val="both"/>
        <w:rPr>
          <w:rFonts w:asciiTheme="majorHAnsi" w:hAnsiTheme="majorHAnsi" w:cstheme="majorHAnsi"/>
        </w:rPr>
      </w:pPr>
      <w:r w:rsidRPr="00F25EBD">
        <w:rPr>
          <w:rFonts w:asciiTheme="majorHAnsi" w:hAnsiTheme="majorHAnsi" w:cstheme="majorHAnsi"/>
        </w:rPr>
        <w:t>Z drugiej strony, w latach 2010-2019</w:t>
      </w:r>
      <w:r w:rsidRPr="00F25EBD">
        <w:rPr>
          <w:rStyle w:val="Odwoanieprzypisudolnego"/>
          <w:rFonts w:asciiTheme="majorHAnsi" w:hAnsiTheme="majorHAnsi" w:cstheme="majorHAnsi"/>
        </w:rPr>
        <w:footnoteReference w:id="20"/>
      </w:r>
      <w:r w:rsidRPr="00F25EBD">
        <w:rPr>
          <w:rFonts w:asciiTheme="majorHAnsi" w:hAnsiTheme="majorHAnsi" w:cstheme="majorHAnsi"/>
        </w:rPr>
        <w:t xml:space="preserve"> na obszarze Południowych Mazur odnotowano łącznie 29.071 </w:t>
      </w:r>
      <w:proofErr w:type="spellStart"/>
      <w:r w:rsidRPr="00F25EBD">
        <w:rPr>
          <w:rFonts w:asciiTheme="majorHAnsi" w:hAnsiTheme="majorHAnsi" w:cstheme="majorHAnsi"/>
        </w:rPr>
        <w:t>wymeldowań</w:t>
      </w:r>
      <w:proofErr w:type="spellEnd"/>
      <w:r w:rsidRPr="00F25EBD">
        <w:rPr>
          <w:rFonts w:asciiTheme="majorHAnsi" w:hAnsiTheme="majorHAnsi" w:cstheme="majorHAnsi"/>
        </w:rPr>
        <w:t>, co stanowiło 16,2% tego typu aktywności w województwie warmińsko-mazurskim. Nieco ponad połowa osób zmieniających miejsce pobytu, na nową lokalizację wybierała miasto (56,4%), rzadziej była to wieś (40,8%), a bardzo niewielki odsetek decydował się na wyjazd za</w:t>
      </w:r>
      <w:r w:rsidR="008C60C6">
        <w:rPr>
          <w:rFonts w:asciiTheme="majorHAnsi" w:hAnsiTheme="majorHAnsi" w:cstheme="majorHAnsi"/>
        </w:rPr>
        <w:t xml:space="preserve"> </w:t>
      </w:r>
      <w:r w:rsidRPr="00F25EBD">
        <w:rPr>
          <w:rFonts w:asciiTheme="majorHAnsi" w:hAnsiTheme="majorHAnsi" w:cstheme="majorHAnsi"/>
        </w:rPr>
        <w:t>granicę (2,8%). Większa część ruchu migracyjnego (57,1%)</w:t>
      </w:r>
      <w:r w:rsidRPr="00F25EBD">
        <w:rPr>
          <w:rStyle w:val="Odwoanieprzypisudolnego"/>
          <w:rFonts w:asciiTheme="majorHAnsi" w:hAnsiTheme="majorHAnsi" w:cstheme="majorHAnsi"/>
        </w:rPr>
        <w:footnoteReference w:id="21"/>
      </w:r>
      <w:r w:rsidRPr="00F25EBD">
        <w:rPr>
          <w:rFonts w:asciiTheme="majorHAnsi" w:hAnsiTheme="majorHAnsi" w:cstheme="majorHAnsi"/>
        </w:rPr>
        <w:t xml:space="preserve"> odbywała się w obrębie jednostek administracyjnych Południowych Mazur. W grupie osób opuszczających obszar PM przeważały te, które jako miejsce docelowe wybierały region inny niż województwo warmińsko-mazurskie (52,4%). Najbardziej popularnym kierunkiem migracji były miasta: Gdańsk (896 osób), Mława (408), Gdynia (210), Warszawa (dzielnica Białołęka) (210), Białystok (147). Z kolei osoby pozostające w</w:t>
      </w:r>
      <w:r w:rsidR="007B04A7">
        <w:rPr>
          <w:rFonts w:asciiTheme="majorHAnsi" w:hAnsiTheme="majorHAnsi" w:cstheme="majorHAnsi"/>
        </w:rPr>
        <w:t xml:space="preserve"> </w:t>
      </w:r>
      <w:r w:rsidRPr="00F25EBD">
        <w:rPr>
          <w:rFonts w:asciiTheme="majorHAnsi" w:hAnsiTheme="majorHAnsi" w:cstheme="majorHAnsi"/>
        </w:rPr>
        <w:t>województwie warmińsko-mazurskim przenosiły się najczęściej do Olsztyna (2.132), miasta Ełk (732), gminy wiejskiej Stawiguda (183) i miasta Giżycko (149).</w:t>
      </w:r>
    </w:p>
    <w:p w14:paraId="2E0B9FE6" w14:textId="77777777" w:rsidR="00EA2B5F" w:rsidRPr="00F25EBD" w:rsidRDefault="00EA2B5F" w:rsidP="008A3FED">
      <w:pPr>
        <w:spacing w:line="276" w:lineRule="auto"/>
        <w:jc w:val="both"/>
        <w:rPr>
          <w:rFonts w:asciiTheme="majorHAnsi" w:hAnsiTheme="majorHAnsi" w:cstheme="majorHAnsi"/>
        </w:rPr>
      </w:pPr>
      <w:r w:rsidRPr="00F25EBD">
        <w:rPr>
          <w:rFonts w:asciiTheme="majorHAnsi" w:hAnsiTheme="majorHAnsi" w:cstheme="majorHAnsi"/>
        </w:rPr>
        <w:t>Ruch ludności w obrębie powiatów Południowych Mazur zestawiony jest w poniższej tabeli.</w:t>
      </w:r>
    </w:p>
    <w:p w14:paraId="0F01F97F" w14:textId="77777777" w:rsidR="004C64BD" w:rsidRDefault="004C64BD" w:rsidP="00FC7062">
      <w:pPr>
        <w:spacing w:line="276" w:lineRule="auto"/>
        <w:rPr>
          <w:rFonts w:asciiTheme="majorHAnsi" w:hAnsiTheme="majorHAnsi" w:cstheme="majorHAnsi"/>
        </w:rPr>
      </w:pPr>
      <w:r>
        <w:rPr>
          <w:rFonts w:asciiTheme="majorHAnsi" w:hAnsiTheme="majorHAnsi" w:cstheme="majorHAnsi"/>
        </w:rPr>
        <w:br w:type="page"/>
      </w:r>
    </w:p>
    <w:p w14:paraId="3321A26D" w14:textId="77777777" w:rsidR="00EA2B5F" w:rsidRPr="00F25EBD" w:rsidRDefault="00EA2B5F" w:rsidP="000E5B5A">
      <w:pPr>
        <w:pStyle w:val="nad"/>
      </w:pPr>
      <w:bookmarkStart w:id="28" w:name="_Toc81300531"/>
      <w:r w:rsidRPr="00F25EBD">
        <w:t xml:space="preserve">Tabela </w:t>
      </w:r>
      <w:r w:rsidRPr="00F25EBD">
        <w:rPr>
          <w:noProof/>
        </w:rPr>
        <w:fldChar w:fldCharType="begin"/>
      </w:r>
      <w:r w:rsidRPr="00F25EBD">
        <w:rPr>
          <w:noProof/>
        </w:rPr>
        <w:instrText xml:space="preserve"> SEQ Tabela \* ARABIC </w:instrText>
      </w:r>
      <w:r w:rsidRPr="00F25EBD">
        <w:rPr>
          <w:noProof/>
        </w:rPr>
        <w:fldChar w:fldCharType="separate"/>
      </w:r>
      <w:r w:rsidR="006C7815">
        <w:rPr>
          <w:noProof/>
        </w:rPr>
        <w:t>5</w:t>
      </w:r>
      <w:r w:rsidRPr="00F25EBD">
        <w:rPr>
          <w:noProof/>
        </w:rPr>
        <w:fldChar w:fldCharType="end"/>
      </w:r>
      <w:r w:rsidRPr="00F25EBD">
        <w:t>. Ruch ludności w powiatach Południowych Mazur w latach 2010-2019</w:t>
      </w:r>
      <w:bookmarkEnd w:id="28"/>
    </w:p>
    <w:tbl>
      <w:tblPr>
        <w:tblW w:w="5000" w:type="pct"/>
        <w:tblCellMar>
          <w:left w:w="70" w:type="dxa"/>
          <w:right w:w="70" w:type="dxa"/>
        </w:tblCellMar>
        <w:tblLook w:val="04A0" w:firstRow="1" w:lastRow="0" w:firstColumn="1" w:lastColumn="0" w:noHBand="0" w:noVBand="1"/>
      </w:tblPr>
      <w:tblGrid>
        <w:gridCol w:w="2155"/>
        <w:gridCol w:w="1382"/>
        <w:gridCol w:w="1382"/>
        <w:gridCol w:w="1382"/>
        <w:gridCol w:w="1382"/>
        <w:gridCol w:w="1382"/>
      </w:tblGrid>
      <w:tr w:rsidR="00EA2B5F" w:rsidRPr="00F25EBD" w14:paraId="4DF89EA9" w14:textId="77777777" w:rsidTr="007A5888">
        <w:trPr>
          <w:trHeight w:val="289"/>
        </w:trPr>
        <w:tc>
          <w:tcPr>
            <w:tcW w:w="1189" w:type="pct"/>
            <w:shd w:val="clear" w:color="auto" w:fill="auto"/>
            <w:noWrap/>
            <w:vAlign w:val="bottom"/>
            <w:hideMark/>
          </w:tcPr>
          <w:p w14:paraId="2C6110C8" w14:textId="77777777" w:rsidR="00EA2B5F" w:rsidRPr="00F25EBD" w:rsidRDefault="00EA2B5F" w:rsidP="007A5888">
            <w:pPr>
              <w:spacing w:after="0" w:line="240" w:lineRule="auto"/>
              <w:rPr>
                <w:rFonts w:asciiTheme="majorHAnsi" w:eastAsia="Times New Roman" w:hAnsiTheme="majorHAnsi" w:cstheme="majorHAnsi"/>
                <w:sz w:val="20"/>
                <w:szCs w:val="20"/>
                <w:lang w:eastAsia="pl-PL"/>
              </w:rPr>
            </w:pPr>
          </w:p>
        </w:tc>
        <w:tc>
          <w:tcPr>
            <w:tcW w:w="762" w:type="pct"/>
            <w:tcBorders>
              <w:right w:val="single" w:sz="4" w:space="0" w:color="FFFFFF" w:themeColor="background1"/>
            </w:tcBorders>
            <w:shd w:val="clear" w:color="auto" w:fill="auto"/>
            <w:noWrap/>
            <w:vAlign w:val="bottom"/>
            <w:hideMark/>
          </w:tcPr>
          <w:p w14:paraId="22CD92B0" w14:textId="77777777" w:rsidR="00EA2B5F" w:rsidRPr="00F25EBD" w:rsidRDefault="00EA2B5F" w:rsidP="007A5888">
            <w:pPr>
              <w:spacing w:after="0" w:line="240" w:lineRule="auto"/>
              <w:rPr>
                <w:rFonts w:asciiTheme="majorHAnsi" w:eastAsia="Times New Roman" w:hAnsiTheme="majorHAnsi" w:cstheme="majorHAnsi"/>
                <w:sz w:val="20"/>
                <w:szCs w:val="20"/>
                <w:lang w:eastAsia="pl-PL"/>
              </w:rPr>
            </w:pPr>
          </w:p>
        </w:tc>
        <w:tc>
          <w:tcPr>
            <w:tcW w:w="3048" w:type="pct"/>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vAlign w:val="center"/>
            <w:hideMark/>
          </w:tcPr>
          <w:p w14:paraId="43812F19" w14:textId="77777777" w:rsidR="00EA2B5F" w:rsidRPr="007A5888" w:rsidRDefault="00EA2B5F" w:rsidP="007A5888">
            <w:pPr>
              <w:spacing w:after="0" w:line="240" w:lineRule="auto"/>
              <w:jc w:val="center"/>
              <w:rPr>
                <w:rFonts w:asciiTheme="majorHAnsi" w:eastAsia="Times New Roman" w:hAnsiTheme="majorHAnsi" w:cstheme="majorHAnsi"/>
                <w:bCs/>
                <w:sz w:val="20"/>
                <w:szCs w:val="20"/>
                <w:lang w:eastAsia="pl-PL"/>
              </w:rPr>
            </w:pPr>
            <w:r w:rsidRPr="007A5888">
              <w:rPr>
                <w:rFonts w:asciiTheme="majorHAnsi" w:eastAsia="Times New Roman" w:hAnsiTheme="majorHAnsi" w:cstheme="majorHAnsi"/>
                <w:bCs/>
                <w:color w:val="FFFFFF" w:themeColor="background1"/>
                <w:sz w:val="20"/>
                <w:szCs w:val="20"/>
                <w:lang w:eastAsia="pl-PL"/>
              </w:rPr>
              <w:t>Powiat poprzedniego miejsca zamieszkania</w:t>
            </w:r>
          </w:p>
        </w:tc>
      </w:tr>
      <w:tr w:rsidR="00EA2B5F" w:rsidRPr="00F25EBD" w14:paraId="588D8C60" w14:textId="77777777" w:rsidTr="007A5888">
        <w:trPr>
          <w:trHeight w:val="288"/>
        </w:trPr>
        <w:tc>
          <w:tcPr>
            <w:tcW w:w="1189" w:type="pct"/>
            <w:shd w:val="clear" w:color="auto" w:fill="auto"/>
            <w:noWrap/>
            <w:vAlign w:val="bottom"/>
            <w:hideMark/>
          </w:tcPr>
          <w:p w14:paraId="55EB854C" w14:textId="77777777" w:rsidR="00EA2B5F" w:rsidRPr="00F25EBD" w:rsidRDefault="00EA2B5F" w:rsidP="007A5888">
            <w:pPr>
              <w:spacing w:after="0" w:line="240" w:lineRule="auto"/>
              <w:jc w:val="center"/>
              <w:rPr>
                <w:rFonts w:asciiTheme="majorHAnsi" w:eastAsia="Times New Roman" w:hAnsiTheme="majorHAnsi" w:cstheme="majorHAnsi"/>
                <w:sz w:val="20"/>
                <w:szCs w:val="20"/>
                <w:lang w:eastAsia="pl-PL"/>
              </w:rPr>
            </w:pPr>
          </w:p>
        </w:tc>
        <w:tc>
          <w:tcPr>
            <w:tcW w:w="762" w:type="pct"/>
            <w:tcBorders>
              <w:bottom w:val="single" w:sz="4" w:space="0" w:color="FFFFFF" w:themeColor="background1"/>
              <w:right w:val="single" w:sz="4" w:space="0" w:color="FFFFFF" w:themeColor="background1"/>
            </w:tcBorders>
            <w:shd w:val="clear" w:color="auto" w:fill="auto"/>
            <w:noWrap/>
            <w:vAlign w:val="bottom"/>
            <w:hideMark/>
          </w:tcPr>
          <w:p w14:paraId="47658E86" w14:textId="77777777" w:rsidR="00EA2B5F" w:rsidRPr="00F25EBD" w:rsidRDefault="00EA2B5F" w:rsidP="007A5888">
            <w:pPr>
              <w:spacing w:after="0" w:line="240" w:lineRule="auto"/>
              <w:rPr>
                <w:rFonts w:asciiTheme="majorHAnsi" w:eastAsia="Times New Roman" w:hAnsiTheme="majorHAnsi" w:cstheme="majorHAnsi"/>
                <w:sz w:val="20"/>
                <w:szCs w:val="20"/>
                <w:lang w:eastAsia="pl-PL"/>
              </w:rPr>
            </w:pPr>
          </w:p>
        </w:tc>
        <w:tc>
          <w:tcPr>
            <w:tcW w:w="762" w:type="pct"/>
            <w:tcBorders>
              <w:top w:val="single" w:sz="4" w:space="0" w:color="FFFFFF" w:themeColor="background1"/>
              <w:left w:val="single" w:sz="4" w:space="0" w:color="FFFFFF" w:themeColor="background1"/>
              <w:right w:val="single" w:sz="4" w:space="0" w:color="FFFFFF" w:themeColor="background1"/>
            </w:tcBorders>
            <w:shd w:val="clear" w:color="auto" w:fill="DEEAF6" w:themeFill="accent1" w:themeFillTint="33"/>
            <w:noWrap/>
            <w:vAlign w:val="center"/>
            <w:hideMark/>
          </w:tcPr>
          <w:p w14:paraId="1E198352" w14:textId="77777777" w:rsidR="00EA2B5F" w:rsidRPr="007A5888" w:rsidRDefault="00EA2B5F" w:rsidP="007A5888">
            <w:pPr>
              <w:spacing w:after="0" w:line="240" w:lineRule="auto"/>
              <w:jc w:val="center"/>
              <w:rPr>
                <w:rFonts w:asciiTheme="majorHAnsi" w:eastAsia="Times New Roman" w:hAnsiTheme="majorHAnsi" w:cstheme="majorHAnsi"/>
                <w:color w:val="000000" w:themeColor="text1"/>
                <w:sz w:val="20"/>
                <w:szCs w:val="20"/>
                <w:lang w:eastAsia="pl-PL"/>
              </w:rPr>
            </w:pPr>
            <w:r w:rsidRPr="007A5888">
              <w:rPr>
                <w:rFonts w:asciiTheme="majorHAnsi" w:eastAsia="Times New Roman" w:hAnsiTheme="majorHAnsi" w:cstheme="majorHAnsi"/>
                <w:color w:val="000000" w:themeColor="text1"/>
                <w:sz w:val="20"/>
                <w:szCs w:val="20"/>
                <w:lang w:eastAsia="pl-PL"/>
              </w:rPr>
              <w:t>działdowski</w:t>
            </w:r>
          </w:p>
        </w:tc>
        <w:tc>
          <w:tcPr>
            <w:tcW w:w="762" w:type="pct"/>
            <w:tcBorders>
              <w:top w:val="single" w:sz="4" w:space="0" w:color="FFFFFF" w:themeColor="background1"/>
              <w:left w:val="single" w:sz="4" w:space="0" w:color="FFFFFF" w:themeColor="background1"/>
              <w:right w:val="single" w:sz="4" w:space="0" w:color="FFFFFF" w:themeColor="background1"/>
            </w:tcBorders>
            <w:shd w:val="clear" w:color="auto" w:fill="DEEAF6" w:themeFill="accent1" w:themeFillTint="33"/>
            <w:noWrap/>
            <w:vAlign w:val="center"/>
            <w:hideMark/>
          </w:tcPr>
          <w:p w14:paraId="53CFB60E" w14:textId="77777777" w:rsidR="00EA2B5F" w:rsidRPr="007A5888" w:rsidRDefault="00EA2B5F" w:rsidP="007A5888">
            <w:pPr>
              <w:spacing w:after="0" w:line="240" w:lineRule="auto"/>
              <w:jc w:val="center"/>
              <w:rPr>
                <w:rFonts w:asciiTheme="majorHAnsi" w:eastAsia="Times New Roman" w:hAnsiTheme="majorHAnsi" w:cstheme="majorHAnsi"/>
                <w:color w:val="000000" w:themeColor="text1"/>
                <w:sz w:val="20"/>
                <w:szCs w:val="20"/>
                <w:lang w:eastAsia="pl-PL"/>
              </w:rPr>
            </w:pPr>
            <w:r w:rsidRPr="007A5888">
              <w:rPr>
                <w:rFonts w:asciiTheme="majorHAnsi" w:eastAsia="Times New Roman" w:hAnsiTheme="majorHAnsi" w:cstheme="majorHAnsi"/>
                <w:color w:val="000000" w:themeColor="text1"/>
                <w:sz w:val="20"/>
                <w:szCs w:val="20"/>
                <w:lang w:eastAsia="pl-PL"/>
              </w:rPr>
              <w:t>nidzicki</w:t>
            </w:r>
          </w:p>
        </w:tc>
        <w:tc>
          <w:tcPr>
            <w:tcW w:w="762" w:type="pct"/>
            <w:tcBorders>
              <w:top w:val="single" w:sz="4" w:space="0" w:color="FFFFFF" w:themeColor="background1"/>
              <w:left w:val="single" w:sz="4" w:space="0" w:color="FFFFFF" w:themeColor="background1"/>
              <w:right w:val="single" w:sz="4" w:space="0" w:color="FFFFFF" w:themeColor="background1"/>
            </w:tcBorders>
            <w:shd w:val="clear" w:color="auto" w:fill="DEEAF6" w:themeFill="accent1" w:themeFillTint="33"/>
            <w:noWrap/>
            <w:vAlign w:val="center"/>
            <w:hideMark/>
          </w:tcPr>
          <w:p w14:paraId="62882C0C" w14:textId="77777777" w:rsidR="00EA2B5F" w:rsidRPr="007A5888" w:rsidRDefault="00EA2B5F" w:rsidP="007A5888">
            <w:pPr>
              <w:spacing w:after="0" w:line="240" w:lineRule="auto"/>
              <w:jc w:val="center"/>
              <w:rPr>
                <w:rFonts w:asciiTheme="majorHAnsi" w:eastAsia="Times New Roman" w:hAnsiTheme="majorHAnsi" w:cstheme="majorHAnsi"/>
                <w:color w:val="000000" w:themeColor="text1"/>
                <w:sz w:val="20"/>
                <w:szCs w:val="20"/>
                <w:lang w:eastAsia="pl-PL"/>
              </w:rPr>
            </w:pPr>
            <w:r w:rsidRPr="007A5888">
              <w:rPr>
                <w:rFonts w:asciiTheme="majorHAnsi" w:eastAsia="Times New Roman" w:hAnsiTheme="majorHAnsi" w:cstheme="majorHAnsi"/>
                <w:color w:val="000000" w:themeColor="text1"/>
                <w:sz w:val="20"/>
                <w:szCs w:val="20"/>
                <w:lang w:eastAsia="pl-PL"/>
              </w:rPr>
              <w:t>piski</w:t>
            </w:r>
          </w:p>
        </w:tc>
        <w:tc>
          <w:tcPr>
            <w:tcW w:w="762" w:type="pct"/>
            <w:tcBorders>
              <w:top w:val="single" w:sz="4" w:space="0" w:color="FFFFFF" w:themeColor="background1"/>
              <w:left w:val="single" w:sz="4" w:space="0" w:color="FFFFFF" w:themeColor="background1"/>
              <w:right w:val="single" w:sz="4" w:space="0" w:color="FFFFFF" w:themeColor="background1"/>
            </w:tcBorders>
            <w:shd w:val="clear" w:color="auto" w:fill="DEEAF6" w:themeFill="accent1" w:themeFillTint="33"/>
            <w:noWrap/>
            <w:vAlign w:val="center"/>
            <w:hideMark/>
          </w:tcPr>
          <w:p w14:paraId="1D0EB6F5" w14:textId="77777777" w:rsidR="00EA2B5F" w:rsidRPr="007A5888" w:rsidRDefault="00EA2B5F" w:rsidP="007A5888">
            <w:pPr>
              <w:spacing w:after="0" w:line="240" w:lineRule="auto"/>
              <w:jc w:val="center"/>
              <w:rPr>
                <w:rFonts w:asciiTheme="majorHAnsi" w:eastAsia="Times New Roman" w:hAnsiTheme="majorHAnsi" w:cstheme="majorHAnsi"/>
                <w:color w:val="000000" w:themeColor="text1"/>
                <w:sz w:val="20"/>
                <w:szCs w:val="20"/>
                <w:lang w:eastAsia="pl-PL"/>
              </w:rPr>
            </w:pPr>
            <w:r w:rsidRPr="007A5888">
              <w:rPr>
                <w:rFonts w:asciiTheme="majorHAnsi" w:eastAsia="Times New Roman" w:hAnsiTheme="majorHAnsi" w:cstheme="majorHAnsi"/>
                <w:color w:val="000000" w:themeColor="text1"/>
                <w:sz w:val="20"/>
                <w:szCs w:val="20"/>
                <w:lang w:eastAsia="pl-PL"/>
              </w:rPr>
              <w:t>szczycieński</w:t>
            </w:r>
          </w:p>
        </w:tc>
      </w:tr>
      <w:tr w:rsidR="00EA2B5F" w:rsidRPr="00F25EBD" w14:paraId="7A597492" w14:textId="77777777" w:rsidTr="007A5888">
        <w:trPr>
          <w:trHeight w:val="289"/>
        </w:trPr>
        <w:tc>
          <w:tcPr>
            <w:tcW w:w="1189" w:type="pct"/>
            <w:vMerge w:val="restart"/>
            <w:tcBorders>
              <w:top w:val="single" w:sz="4" w:space="0" w:color="FFFFFF" w:themeColor="background1"/>
              <w:right w:val="single" w:sz="4" w:space="0" w:color="FFFFFF" w:themeColor="background1"/>
            </w:tcBorders>
            <w:shd w:val="clear" w:color="auto" w:fill="92D050"/>
            <w:vAlign w:val="center"/>
            <w:hideMark/>
          </w:tcPr>
          <w:p w14:paraId="494F21A1" w14:textId="77777777" w:rsidR="00EA2B5F" w:rsidRPr="007A5888" w:rsidRDefault="00EA2B5F" w:rsidP="007A5888">
            <w:pPr>
              <w:spacing w:after="0" w:line="240" w:lineRule="auto"/>
              <w:jc w:val="center"/>
              <w:rPr>
                <w:rFonts w:asciiTheme="majorHAnsi" w:eastAsia="Times New Roman" w:hAnsiTheme="majorHAnsi" w:cstheme="majorHAnsi"/>
                <w:bCs/>
                <w:sz w:val="20"/>
                <w:szCs w:val="20"/>
                <w:lang w:eastAsia="pl-PL"/>
              </w:rPr>
            </w:pPr>
            <w:r w:rsidRPr="007A5888">
              <w:rPr>
                <w:rFonts w:asciiTheme="majorHAnsi" w:eastAsia="Times New Roman" w:hAnsiTheme="majorHAnsi" w:cstheme="majorHAnsi"/>
                <w:bCs/>
                <w:color w:val="FFFFFF" w:themeColor="background1"/>
                <w:sz w:val="20"/>
                <w:szCs w:val="20"/>
                <w:lang w:eastAsia="pl-PL"/>
              </w:rPr>
              <w:t>Powiat obecnego miejsca zamieszkania</w:t>
            </w:r>
          </w:p>
        </w:tc>
        <w:tc>
          <w:tcPr>
            <w:tcW w:w="762" w:type="pct"/>
            <w:tcBorders>
              <w:top w:val="single" w:sz="4" w:space="0" w:color="FFFFFF" w:themeColor="background1"/>
              <w:left w:val="single" w:sz="4" w:space="0" w:color="FFFFFF" w:themeColor="background1"/>
              <w:bottom w:val="single" w:sz="4" w:space="0" w:color="FFFFFF" w:themeColor="background1"/>
            </w:tcBorders>
            <w:shd w:val="clear" w:color="auto" w:fill="DEEAF6" w:themeFill="accent1" w:themeFillTint="33"/>
            <w:noWrap/>
            <w:vAlign w:val="bottom"/>
            <w:hideMark/>
          </w:tcPr>
          <w:p w14:paraId="7BCA06C2" w14:textId="77777777" w:rsidR="00EA2B5F" w:rsidRPr="007A5888" w:rsidRDefault="00EA2B5F" w:rsidP="007A5888">
            <w:pPr>
              <w:spacing w:after="0" w:line="240" w:lineRule="auto"/>
              <w:rPr>
                <w:rFonts w:asciiTheme="majorHAnsi" w:eastAsia="Times New Roman" w:hAnsiTheme="majorHAnsi" w:cstheme="majorHAnsi"/>
                <w:color w:val="000000"/>
                <w:sz w:val="20"/>
                <w:szCs w:val="20"/>
                <w:lang w:eastAsia="pl-PL"/>
              </w:rPr>
            </w:pPr>
            <w:r w:rsidRPr="007A5888">
              <w:rPr>
                <w:rFonts w:asciiTheme="majorHAnsi" w:eastAsia="Times New Roman" w:hAnsiTheme="majorHAnsi" w:cstheme="majorHAnsi"/>
                <w:color w:val="000000"/>
                <w:sz w:val="20"/>
                <w:szCs w:val="20"/>
                <w:lang w:eastAsia="pl-PL"/>
              </w:rPr>
              <w:t>działdowski</w:t>
            </w:r>
          </w:p>
        </w:tc>
        <w:tc>
          <w:tcPr>
            <w:tcW w:w="762" w:type="pct"/>
            <w:tcBorders>
              <w:bottom w:val="single" w:sz="4" w:space="0" w:color="808080" w:themeColor="background1" w:themeShade="80"/>
            </w:tcBorders>
            <w:shd w:val="clear" w:color="auto" w:fill="auto"/>
            <w:noWrap/>
            <w:vAlign w:val="center"/>
            <w:hideMark/>
          </w:tcPr>
          <w:p w14:paraId="1072488D" w14:textId="77777777" w:rsidR="00EA2B5F" w:rsidRPr="00F25EBD" w:rsidRDefault="00EA2B5F" w:rsidP="007A5888">
            <w:pPr>
              <w:spacing w:after="0" w:line="240" w:lineRule="auto"/>
              <w:jc w:val="center"/>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2.978</w:t>
            </w:r>
          </w:p>
        </w:tc>
        <w:tc>
          <w:tcPr>
            <w:tcW w:w="762" w:type="pct"/>
            <w:tcBorders>
              <w:bottom w:val="single" w:sz="4" w:space="0" w:color="808080" w:themeColor="background1" w:themeShade="80"/>
            </w:tcBorders>
            <w:shd w:val="clear" w:color="auto" w:fill="auto"/>
            <w:noWrap/>
            <w:vAlign w:val="center"/>
            <w:hideMark/>
          </w:tcPr>
          <w:p w14:paraId="0B55F74F" w14:textId="77777777" w:rsidR="00EA2B5F" w:rsidRPr="00F25EBD" w:rsidRDefault="00EA2B5F" w:rsidP="007A5888">
            <w:pPr>
              <w:spacing w:after="0" w:line="240" w:lineRule="auto"/>
              <w:jc w:val="center"/>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218</w:t>
            </w:r>
          </w:p>
        </w:tc>
        <w:tc>
          <w:tcPr>
            <w:tcW w:w="762" w:type="pct"/>
            <w:tcBorders>
              <w:bottom w:val="single" w:sz="4" w:space="0" w:color="808080" w:themeColor="background1" w:themeShade="80"/>
            </w:tcBorders>
            <w:shd w:val="clear" w:color="auto" w:fill="auto"/>
            <w:noWrap/>
            <w:vAlign w:val="center"/>
            <w:hideMark/>
          </w:tcPr>
          <w:p w14:paraId="7BFD3A02" w14:textId="77777777" w:rsidR="00EA2B5F" w:rsidRPr="00F25EBD" w:rsidRDefault="00EA2B5F" w:rsidP="007A5888">
            <w:pPr>
              <w:spacing w:after="0" w:line="240" w:lineRule="auto"/>
              <w:jc w:val="center"/>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3</w:t>
            </w:r>
          </w:p>
        </w:tc>
        <w:tc>
          <w:tcPr>
            <w:tcW w:w="762" w:type="pct"/>
            <w:tcBorders>
              <w:bottom w:val="single" w:sz="4" w:space="0" w:color="808080" w:themeColor="background1" w:themeShade="80"/>
            </w:tcBorders>
            <w:shd w:val="clear" w:color="auto" w:fill="auto"/>
            <w:noWrap/>
            <w:vAlign w:val="center"/>
            <w:hideMark/>
          </w:tcPr>
          <w:p w14:paraId="3CA7544A" w14:textId="77777777" w:rsidR="00EA2B5F" w:rsidRPr="00F25EBD" w:rsidRDefault="00EA2B5F" w:rsidP="007A5888">
            <w:pPr>
              <w:spacing w:after="0" w:line="240" w:lineRule="auto"/>
              <w:jc w:val="center"/>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14</w:t>
            </w:r>
          </w:p>
        </w:tc>
      </w:tr>
      <w:tr w:rsidR="00EA2B5F" w:rsidRPr="00F25EBD" w14:paraId="53F2E7A0" w14:textId="77777777" w:rsidTr="007A5888">
        <w:trPr>
          <w:trHeight w:val="288"/>
        </w:trPr>
        <w:tc>
          <w:tcPr>
            <w:tcW w:w="1189" w:type="pct"/>
            <w:vMerge/>
            <w:tcBorders>
              <w:right w:val="single" w:sz="4" w:space="0" w:color="FFFFFF" w:themeColor="background1"/>
            </w:tcBorders>
            <w:shd w:val="clear" w:color="auto" w:fill="92D050"/>
            <w:vAlign w:val="center"/>
            <w:hideMark/>
          </w:tcPr>
          <w:p w14:paraId="54D9EF23" w14:textId="77777777" w:rsidR="00EA2B5F" w:rsidRPr="007A5888" w:rsidRDefault="00EA2B5F" w:rsidP="007A5888">
            <w:pPr>
              <w:spacing w:after="0" w:line="240" w:lineRule="auto"/>
              <w:rPr>
                <w:rFonts w:asciiTheme="majorHAnsi" w:eastAsia="Times New Roman" w:hAnsiTheme="majorHAnsi" w:cstheme="majorHAnsi"/>
                <w:sz w:val="20"/>
                <w:szCs w:val="20"/>
                <w:lang w:eastAsia="pl-PL"/>
              </w:rPr>
            </w:pPr>
          </w:p>
        </w:tc>
        <w:tc>
          <w:tcPr>
            <w:tcW w:w="762" w:type="pct"/>
            <w:tcBorders>
              <w:top w:val="single" w:sz="4" w:space="0" w:color="FFFFFF" w:themeColor="background1"/>
              <w:left w:val="single" w:sz="4" w:space="0" w:color="FFFFFF" w:themeColor="background1"/>
              <w:bottom w:val="single" w:sz="4" w:space="0" w:color="FFFFFF" w:themeColor="background1"/>
            </w:tcBorders>
            <w:shd w:val="clear" w:color="auto" w:fill="DEEAF6" w:themeFill="accent1" w:themeFillTint="33"/>
            <w:noWrap/>
            <w:vAlign w:val="bottom"/>
            <w:hideMark/>
          </w:tcPr>
          <w:p w14:paraId="47B7F359" w14:textId="77777777" w:rsidR="00EA2B5F" w:rsidRPr="007A5888" w:rsidRDefault="00EA2B5F" w:rsidP="007A5888">
            <w:pPr>
              <w:spacing w:after="0" w:line="240" w:lineRule="auto"/>
              <w:rPr>
                <w:rFonts w:asciiTheme="majorHAnsi" w:eastAsia="Times New Roman" w:hAnsiTheme="majorHAnsi" w:cstheme="majorHAnsi"/>
                <w:color w:val="000000"/>
                <w:sz w:val="20"/>
                <w:szCs w:val="20"/>
                <w:lang w:eastAsia="pl-PL"/>
              </w:rPr>
            </w:pPr>
            <w:r w:rsidRPr="007A5888">
              <w:rPr>
                <w:rFonts w:asciiTheme="majorHAnsi" w:eastAsia="Times New Roman" w:hAnsiTheme="majorHAnsi" w:cstheme="majorHAnsi"/>
                <w:color w:val="000000"/>
                <w:sz w:val="20"/>
                <w:szCs w:val="20"/>
                <w:lang w:eastAsia="pl-PL"/>
              </w:rPr>
              <w:t>nidzicki</w:t>
            </w:r>
          </w:p>
        </w:tc>
        <w:tc>
          <w:tcPr>
            <w:tcW w:w="762"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76FF6ACE" w14:textId="77777777" w:rsidR="00EA2B5F" w:rsidRPr="00F25EBD" w:rsidRDefault="00EA2B5F" w:rsidP="007A5888">
            <w:pPr>
              <w:spacing w:after="0" w:line="240" w:lineRule="auto"/>
              <w:jc w:val="center"/>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105</w:t>
            </w:r>
          </w:p>
        </w:tc>
        <w:tc>
          <w:tcPr>
            <w:tcW w:w="762"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3FB159FF" w14:textId="77777777" w:rsidR="00EA2B5F" w:rsidRPr="00F25EBD" w:rsidRDefault="00EA2B5F" w:rsidP="007A5888">
            <w:pPr>
              <w:spacing w:after="0" w:line="240" w:lineRule="auto"/>
              <w:jc w:val="center"/>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1.702</w:t>
            </w:r>
          </w:p>
        </w:tc>
        <w:tc>
          <w:tcPr>
            <w:tcW w:w="762"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11D65A8A" w14:textId="77777777" w:rsidR="00EA2B5F" w:rsidRPr="00F25EBD" w:rsidRDefault="00EA2B5F" w:rsidP="007A5888">
            <w:pPr>
              <w:spacing w:after="0" w:line="240" w:lineRule="auto"/>
              <w:jc w:val="center"/>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0</w:t>
            </w:r>
          </w:p>
        </w:tc>
        <w:tc>
          <w:tcPr>
            <w:tcW w:w="762"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675C1DDF" w14:textId="77777777" w:rsidR="00EA2B5F" w:rsidRPr="00F25EBD" w:rsidRDefault="00EA2B5F" w:rsidP="007A5888">
            <w:pPr>
              <w:spacing w:after="0" w:line="240" w:lineRule="auto"/>
              <w:jc w:val="center"/>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25</w:t>
            </w:r>
          </w:p>
        </w:tc>
      </w:tr>
      <w:tr w:rsidR="00EA2B5F" w:rsidRPr="00F25EBD" w14:paraId="4CB81DE0" w14:textId="77777777" w:rsidTr="007A5888">
        <w:trPr>
          <w:trHeight w:val="288"/>
        </w:trPr>
        <w:tc>
          <w:tcPr>
            <w:tcW w:w="1189" w:type="pct"/>
            <w:vMerge/>
            <w:tcBorders>
              <w:right w:val="single" w:sz="4" w:space="0" w:color="FFFFFF" w:themeColor="background1"/>
            </w:tcBorders>
            <w:shd w:val="clear" w:color="auto" w:fill="92D050"/>
            <w:vAlign w:val="center"/>
            <w:hideMark/>
          </w:tcPr>
          <w:p w14:paraId="28ACC961" w14:textId="77777777" w:rsidR="00EA2B5F" w:rsidRPr="007A5888" w:rsidRDefault="00EA2B5F" w:rsidP="007A5888">
            <w:pPr>
              <w:spacing w:after="0" w:line="240" w:lineRule="auto"/>
              <w:rPr>
                <w:rFonts w:asciiTheme="majorHAnsi" w:eastAsia="Times New Roman" w:hAnsiTheme="majorHAnsi" w:cstheme="majorHAnsi"/>
                <w:sz w:val="20"/>
                <w:szCs w:val="20"/>
                <w:lang w:eastAsia="pl-PL"/>
              </w:rPr>
            </w:pPr>
          </w:p>
        </w:tc>
        <w:tc>
          <w:tcPr>
            <w:tcW w:w="762" w:type="pct"/>
            <w:tcBorders>
              <w:top w:val="single" w:sz="4" w:space="0" w:color="FFFFFF" w:themeColor="background1"/>
              <w:left w:val="single" w:sz="4" w:space="0" w:color="FFFFFF" w:themeColor="background1"/>
              <w:bottom w:val="single" w:sz="4" w:space="0" w:color="FFFFFF" w:themeColor="background1"/>
            </w:tcBorders>
            <w:shd w:val="clear" w:color="auto" w:fill="DEEAF6" w:themeFill="accent1" w:themeFillTint="33"/>
            <w:noWrap/>
            <w:vAlign w:val="bottom"/>
            <w:hideMark/>
          </w:tcPr>
          <w:p w14:paraId="07B6696E" w14:textId="77777777" w:rsidR="00EA2B5F" w:rsidRPr="007A5888" w:rsidRDefault="00EA2B5F" w:rsidP="007A5888">
            <w:pPr>
              <w:spacing w:after="0" w:line="240" w:lineRule="auto"/>
              <w:rPr>
                <w:rFonts w:asciiTheme="majorHAnsi" w:eastAsia="Times New Roman" w:hAnsiTheme="majorHAnsi" w:cstheme="majorHAnsi"/>
                <w:color w:val="000000"/>
                <w:sz w:val="20"/>
                <w:szCs w:val="20"/>
                <w:lang w:eastAsia="pl-PL"/>
              </w:rPr>
            </w:pPr>
            <w:r w:rsidRPr="007A5888">
              <w:rPr>
                <w:rFonts w:asciiTheme="majorHAnsi" w:eastAsia="Times New Roman" w:hAnsiTheme="majorHAnsi" w:cstheme="majorHAnsi"/>
                <w:color w:val="000000"/>
                <w:sz w:val="20"/>
                <w:szCs w:val="20"/>
                <w:lang w:eastAsia="pl-PL"/>
              </w:rPr>
              <w:t>piski</w:t>
            </w:r>
          </w:p>
        </w:tc>
        <w:tc>
          <w:tcPr>
            <w:tcW w:w="762"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7BF7569B" w14:textId="77777777" w:rsidR="00EA2B5F" w:rsidRPr="00F25EBD" w:rsidRDefault="00EA2B5F" w:rsidP="007A5888">
            <w:pPr>
              <w:spacing w:after="0" w:line="240" w:lineRule="auto"/>
              <w:jc w:val="center"/>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0</w:t>
            </w:r>
          </w:p>
        </w:tc>
        <w:tc>
          <w:tcPr>
            <w:tcW w:w="762"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5AC27A9C" w14:textId="77777777" w:rsidR="00EA2B5F" w:rsidRPr="00F25EBD" w:rsidRDefault="00EA2B5F" w:rsidP="007A5888">
            <w:pPr>
              <w:spacing w:after="0" w:line="240" w:lineRule="auto"/>
              <w:jc w:val="center"/>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4</w:t>
            </w:r>
          </w:p>
        </w:tc>
        <w:tc>
          <w:tcPr>
            <w:tcW w:w="762"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71E687B6" w14:textId="77777777" w:rsidR="00EA2B5F" w:rsidRPr="00F25EBD" w:rsidRDefault="00EA2B5F" w:rsidP="007A5888">
            <w:pPr>
              <w:spacing w:after="0" w:line="240" w:lineRule="auto"/>
              <w:jc w:val="center"/>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3.071</w:t>
            </w:r>
          </w:p>
        </w:tc>
        <w:tc>
          <w:tcPr>
            <w:tcW w:w="762"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33F1578A" w14:textId="77777777" w:rsidR="00EA2B5F" w:rsidRPr="00F25EBD" w:rsidRDefault="00EA2B5F" w:rsidP="007A5888">
            <w:pPr>
              <w:spacing w:after="0" w:line="240" w:lineRule="auto"/>
              <w:jc w:val="center"/>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94</w:t>
            </w:r>
          </w:p>
        </w:tc>
      </w:tr>
      <w:tr w:rsidR="00EA2B5F" w:rsidRPr="00F25EBD" w14:paraId="652BF40F" w14:textId="77777777" w:rsidTr="007A5888">
        <w:trPr>
          <w:trHeight w:val="288"/>
        </w:trPr>
        <w:tc>
          <w:tcPr>
            <w:tcW w:w="1189" w:type="pct"/>
            <w:vMerge/>
            <w:tcBorders>
              <w:right w:val="single" w:sz="4" w:space="0" w:color="FFFFFF" w:themeColor="background1"/>
            </w:tcBorders>
            <w:shd w:val="clear" w:color="auto" w:fill="92D050"/>
            <w:vAlign w:val="center"/>
            <w:hideMark/>
          </w:tcPr>
          <w:p w14:paraId="4E5F04EC" w14:textId="77777777" w:rsidR="00EA2B5F" w:rsidRPr="007A5888" w:rsidRDefault="00EA2B5F" w:rsidP="007A5888">
            <w:pPr>
              <w:spacing w:after="0" w:line="240" w:lineRule="auto"/>
              <w:rPr>
                <w:rFonts w:asciiTheme="majorHAnsi" w:eastAsia="Times New Roman" w:hAnsiTheme="majorHAnsi" w:cstheme="majorHAnsi"/>
                <w:sz w:val="20"/>
                <w:szCs w:val="20"/>
                <w:lang w:eastAsia="pl-PL"/>
              </w:rPr>
            </w:pPr>
          </w:p>
        </w:tc>
        <w:tc>
          <w:tcPr>
            <w:tcW w:w="762" w:type="pct"/>
            <w:tcBorders>
              <w:top w:val="single" w:sz="4" w:space="0" w:color="FFFFFF" w:themeColor="background1"/>
              <w:left w:val="single" w:sz="4" w:space="0" w:color="FFFFFF" w:themeColor="background1"/>
              <w:bottom w:val="single" w:sz="4" w:space="0" w:color="FFFFFF" w:themeColor="background1"/>
            </w:tcBorders>
            <w:shd w:val="clear" w:color="auto" w:fill="DEEAF6" w:themeFill="accent1" w:themeFillTint="33"/>
            <w:noWrap/>
            <w:vAlign w:val="bottom"/>
            <w:hideMark/>
          </w:tcPr>
          <w:p w14:paraId="2E4CB6D0" w14:textId="77777777" w:rsidR="00EA2B5F" w:rsidRPr="007A5888" w:rsidRDefault="00EA2B5F" w:rsidP="007A5888">
            <w:pPr>
              <w:spacing w:after="0" w:line="240" w:lineRule="auto"/>
              <w:rPr>
                <w:rFonts w:asciiTheme="majorHAnsi" w:eastAsia="Times New Roman" w:hAnsiTheme="majorHAnsi" w:cstheme="majorHAnsi"/>
                <w:color w:val="000000"/>
                <w:sz w:val="20"/>
                <w:szCs w:val="20"/>
                <w:lang w:eastAsia="pl-PL"/>
              </w:rPr>
            </w:pPr>
            <w:r w:rsidRPr="007A5888">
              <w:rPr>
                <w:rFonts w:asciiTheme="majorHAnsi" w:eastAsia="Times New Roman" w:hAnsiTheme="majorHAnsi" w:cstheme="majorHAnsi"/>
                <w:color w:val="000000"/>
                <w:sz w:val="20"/>
                <w:szCs w:val="20"/>
                <w:lang w:eastAsia="pl-PL"/>
              </w:rPr>
              <w:t>szczycieński</w:t>
            </w:r>
          </w:p>
        </w:tc>
        <w:tc>
          <w:tcPr>
            <w:tcW w:w="762"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500E24AD" w14:textId="77777777" w:rsidR="00EA2B5F" w:rsidRPr="00F25EBD" w:rsidRDefault="00EA2B5F" w:rsidP="007A5888">
            <w:pPr>
              <w:spacing w:after="0" w:line="240" w:lineRule="auto"/>
              <w:jc w:val="center"/>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3</w:t>
            </w:r>
          </w:p>
        </w:tc>
        <w:tc>
          <w:tcPr>
            <w:tcW w:w="762"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49A1D5E4" w14:textId="77777777" w:rsidR="00EA2B5F" w:rsidRPr="00F25EBD" w:rsidRDefault="00EA2B5F" w:rsidP="007A5888">
            <w:pPr>
              <w:spacing w:after="0" w:line="240" w:lineRule="auto"/>
              <w:jc w:val="center"/>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48</w:t>
            </w:r>
          </w:p>
        </w:tc>
        <w:tc>
          <w:tcPr>
            <w:tcW w:w="762"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60976BE2" w14:textId="77777777" w:rsidR="00EA2B5F" w:rsidRPr="00F25EBD" w:rsidRDefault="00EA2B5F" w:rsidP="007A5888">
            <w:pPr>
              <w:spacing w:after="0" w:line="240" w:lineRule="auto"/>
              <w:jc w:val="center"/>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34</w:t>
            </w:r>
          </w:p>
        </w:tc>
        <w:tc>
          <w:tcPr>
            <w:tcW w:w="762"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2C12B80F" w14:textId="77777777" w:rsidR="00EA2B5F" w:rsidRPr="00F25EBD" w:rsidRDefault="00EA2B5F" w:rsidP="007A5888">
            <w:pPr>
              <w:spacing w:after="0" w:line="240" w:lineRule="auto"/>
              <w:jc w:val="center"/>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4.105</w:t>
            </w:r>
          </w:p>
        </w:tc>
      </w:tr>
    </w:tbl>
    <w:p w14:paraId="623ED0C5" w14:textId="77777777" w:rsidR="00EA2B5F" w:rsidRPr="00F25EBD" w:rsidRDefault="00EA2B5F" w:rsidP="007A5888">
      <w:pPr>
        <w:pStyle w:val="rdo"/>
      </w:pPr>
      <w:r w:rsidRPr="00F25EBD">
        <w:t>Źródło: opracowanie własne na podstawie danych GUS.</w:t>
      </w:r>
    </w:p>
    <w:p w14:paraId="1EDBEFEF" w14:textId="77777777" w:rsidR="00EA2B5F" w:rsidRPr="00F25EBD" w:rsidRDefault="00EA2B5F" w:rsidP="00FC7062">
      <w:pPr>
        <w:spacing w:after="0" w:line="276" w:lineRule="auto"/>
        <w:jc w:val="both"/>
        <w:rPr>
          <w:rFonts w:asciiTheme="majorHAnsi" w:hAnsiTheme="majorHAnsi" w:cstheme="majorHAnsi"/>
        </w:rPr>
      </w:pPr>
    </w:p>
    <w:p w14:paraId="7690598B" w14:textId="23F16B27" w:rsidR="00EA2B5F" w:rsidRPr="00F25EBD" w:rsidRDefault="00EA2B5F" w:rsidP="00FC7062">
      <w:pPr>
        <w:spacing w:after="0" w:line="276" w:lineRule="auto"/>
        <w:jc w:val="both"/>
        <w:rPr>
          <w:rFonts w:asciiTheme="majorHAnsi" w:hAnsiTheme="majorHAnsi" w:cstheme="majorHAnsi"/>
        </w:rPr>
      </w:pPr>
      <w:r w:rsidRPr="00F25EBD">
        <w:rPr>
          <w:rFonts w:asciiTheme="majorHAnsi" w:hAnsiTheme="majorHAnsi" w:cstheme="majorHAnsi"/>
        </w:rPr>
        <w:t>Efektem przyjazdów i wyjazdów było saldo migracji, które w latach 2010-2019</w:t>
      </w:r>
      <w:r w:rsidRPr="00F25EBD">
        <w:rPr>
          <w:rStyle w:val="Odwoanieprzypisudolnego"/>
          <w:rFonts w:asciiTheme="majorHAnsi" w:hAnsiTheme="majorHAnsi" w:cstheme="majorHAnsi"/>
        </w:rPr>
        <w:footnoteReference w:id="22"/>
      </w:r>
      <w:r w:rsidRPr="00F25EBD">
        <w:rPr>
          <w:rFonts w:asciiTheme="majorHAnsi" w:hAnsiTheme="majorHAnsi" w:cstheme="majorHAnsi"/>
        </w:rPr>
        <w:t xml:space="preserve"> było ujemne i</w:t>
      </w:r>
      <w:r w:rsidR="001676E7">
        <w:rPr>
          <w:rFonts w:asciiTheme="majorHAnsi" w:hAnsiTheme="majorHAnsi" w:cstheme="majorHAnsi"/>
        </w:rPr>
        <w:t> </w:t>
      </w:r>
      <w:r w:rsidRPr="00F25EBD">
        <w:rPr>
          <w:rFonts w:asciiTheme="majorHAnsi" w:hAnsiTheme="majorHAnsi" w:cstheme="majorHAnsi"/>
        </w:rPr>
        <w:t>ukształtowało się poziomie -7.897 osób. Jego wartość oznacza, że w</w:t>
      </w:r>
      <w:r w:rsidR="007B04A7">
        <w:rPr>
          <w:rFonts w:asciiTheme="majorHAnsi" w:hAnsiTheme="majorHAnsi" w:cstheme="majorHAnsi"/>
        </w:rPr>
        <w:t xml:space="preserve"> </w:t>
      </w:r>
      <w:r w:rsidRPr="00F25EBD">
        <w:rPr>
          <w:rFonts w:asciiTheme="majorHAnsi" w:hAnsiTheme="majorHAnsi" w:cstheme="majorHAnsi"/>
        </w:rPr>
        <w:t xml:space="preserve">analizowanym okresie zdecydowanie więcej osób opuściło Południowe Mazury niż się tu osiedliło. Tendencja ta dotyczyła wszystkich jednostek, jednak najmniej korzystna sytuacja (wyrażona saldem migracji przeliczonym na tys. mieszkańców </w:t>
      </w:r>
      <w:proofErr w:type="spellStart"/>
      <w:r w:rsidRPr="00F25EBD">
        <w:rPr>
          <w:rFonts w:asciiTheme="majorHAnsi" w:hAnsiTheme="majorHAnsi" w:cstheme="majorHAnsi"/>
        </w:rPr>
        <w:t>W</w:t>
      </w:r>
      <w:r w:rsidRPr="00F25EBD">
        <w:rPr>
          <w:rFonts w:asciiTheme="majorHAnsi" w:hAnsiTheme="majorHAnsi" w:cstheme="majorHAnsi"/>
          <w:vertAlign w:val="subscript"/>
        </w:rPr>
        <w:t>sm</w:t>
      </w:r>
      <w:proofErr w:type="spellEnd"/>
      <w:r w:rsidRPr="00F25EBD">
        <w:rPr>
          <w:rFonts w:asciiTheme="majorHAnsi" w:hAnsiTheme="majorHAnsi" w:cstheme="majorHAnsi"/>
          <w:vertAlign w:val="subscript"/>
        </w:rPr>
        <w:t>/1000</w:t>
      </w:r>
      <w:r w:rsidRPr="00F25EBD">
        <w:rPr>
          <w:rFonts w:asciiTheme="majorHAnsi" w:hAnsiTheme="majorHAnsi" w:cstheme="majorHAnsi"/>
        </w:rPr>
        <w:t xml:space="preserve">) występowała w powiecie nidzickim, w którym w ośmiu na dziesięć badanych lat </w:t>
      </w:r>
      <w:proofErr w:type="spellStart"/>
      <w:r w:rsidRPr="00F25EBD">
        <w:rPr>
          <w:rFonts w:asciiTheme="majorHAnsi" w:hAnsiTheme="majorHAnsi" w:cstheme="majorHAnsi"/>
        </w:rPr>
        <w:t>W</w:t>
      </w:r>
      <w:r w:rsidRPr="00F25EBD">
        <w:rPr>
          <w:rFonts w:asciiTheme="majorHAnsi" w:hAnsiTheme="majorHAnsi" w:cstheme="majorHAnsi"/>
          <w:vertAlign w:val="subscript"/>
        </w:rPr>
        <w:t>sm</w:t>
      </w:r>
      <w:proofErr w:type="spellEnd"/>
      <w:r w:rsidRPr="00F25EBD">
        <w:rPr>
          <w:rFonts w:asciiTheme="majorHAnsi" w:hAnsiTheme="majorHAnsi" w:cstheme="majorHAnsi"/>
          <w:vertAlign w:val="subscript"/>
        </w:rPr>
        <w:t>/1000</w:t>
      </w:r>
      <w:r w:rsidRPr="00F25EBD">
        <w:rPr>
          <w:rFonts w:asciiTheme="majorHAnsi" w:hAnsiTheme="majorHAnsi" w:cstheme="majorHAnsi"/>
        </w:rPr>
        <w:t xml:space="preserve"> przybierał najwyższe wartości. Średnia wartość wskaźnika z lat 2010-2019 wyznaczona dla poszczególnych powiatów wyniosła: -3,1 w powiecie działdowskim, -4,8 w nidzickim, -4,3 w </w:t>
      </w:r>
      <w:proofErr w:type="spellStart"/>
      <w:r w:rsidRPr="00F25EBD">
        <w:rPr>
          <w:rFonts w:asciiTheme="majorHAnsi" w:hAnsiTheme="majorHAnsi" w:cstheme="majorHAnsi"/>
        </w:rPr>
        <w:t>piskim</w:t>
      </w:r>
      <w:proofErr w:type="spellEnd"/>
      <w:r w:rsidRPr="00F25EBD">
        <w:rPr>
          <w:rFonts w:asciiTheme="majorHAnsi" w:hAnsiTheme="majorHAnsi" w:cstheme="majorHAnsi"/>
        </w:rPr>
        <w:t xml:space="preserve"> i -2,5 w szczycieńskim i w każdym przypadku kształtowała się poniższej średniej wojewódzkiej wynoszącej -2,0. </w:t>
      </w:r>
    </w:p>
    <w:p w14:paraId="1AC832C4" w14:textId="77777777" w:rsidR="00EA2B5F" w:rsidRPr="00F25EBD" w:rsidRDefault="00EA2B5F" w:rsidP="00FC7062">
      <w:pPr>
        <w:spacing w:after="0" w:line="276" w:lineRule="auto"/>
        <w:jc w:val="both"/>
        <w:rPr>
          <w:rFonts w:asciiTheme="majorHAnsi" w:hAnsiTheme="majorHAnsi" w:cstheme="majorHAnsi"/>
        </w:rPr>
      </w:pPr>
    </w:p>
    <w:p w14:paraId="5E9B7E2F" w14:textId="0D26952C" w:rsidR="00EA2B5F" w:rsidRPr="007A5888" w:rsidRDefault="007A5888" w:rsidP="007A5888">
      <w:pPr>
        <w:pStyle w:val="Nagwek2"/>
      </w:pPr>
      <w:bookmarkStart w:id="29" w:name="_Toc77070604"/>
      <w:r>
        <w:t xml:space="preserve">3.2 </w:t>
      </w:r>
      <w:r w:rsidR="00EA2B5F" w:rsidRPr="00F25EBD">
        <w:t>Działalność organizacji pozarządowych</w:t>
      </w:r>
      <w:bookmarkEnd w:id="29"/>
    </w:p>
    <w:p w14:paraId="0E44CCA2" w14:textId="48D6994E" w:rsidR="00EA2B5F" w:rsidRPr="00F25EBD" w:rsidRDefault="00EA2B5F" w:rsidP="008A3FED">
      <w:pPr>
        <w:spacing w:line="276" w:lineRule="auto"/>
        <w:jc w:val="both"/>
        <w:rPr>
          <w:rFonts w:asciiTheme="majorHAnsi" w:hAnsiTheme="majorHAnsi" w:cstheme="majorHAnsi"/>
        </w:rPr>
      </w:pPr>
      <w:r w:rsidRPr="00F25EBD">
        <w:rPr>
          <w:rFonts w:asciiTheme="majorHAnsi" w:hAnsiTheme="majorHAnsi" w:cstheme="majorHAnsi"/>
        </w:rPr>
        <w:t>Organizacje pozarządowe wraz z wolnymi i demokratycznymi wyborami oraz samorządnością terytorialną stanowią zasadnicze filary, na których współcześnie opier</w:t>
      </w:r>
      <w:r w:rsidR="007A5888">
        <w:rPr>
          <w:rFonts w:asciiTheme="majorHAnsi" w:hAnsiTheme="majorHAnsi" w:cstheme="majorHAnsi"/>
        </w:rPr>
        <w:t>a się demokratyczne państwo. Na </w:t>
      </w:r>
      <w:r w:rsidRPr="00F25EBD">
        <w:rPr>
          <w:rFonts w:asciiTheme="majorHAnsi" w:hAnsiTheme="majorHAnsi" w:cstheme="majorHAnsi"/>
        </w:rPr>
        <w:t>początku transformacji systemowej ich wzrastająca liczba świadczyła o rozwoju gospodarki rynkowej zaś obecnie jest świadectwem społeczeństwa obywatelskiego.</w:t>
      </w:r>
    </w:p>
    <w:p w14:paraId="2A49A367" w14:textId="0CD553CC" w:rsidR="00EA2B5F" w:rsidRPr="00F25EBD" w:rsidRDefault="00EA2B5F" w:rsidP="008A3FED">
      <w:pPr>
        <w:spacing w:line="276" w:lineRule="auto"/>
        <w:jc w:val="both"/>
        <w:rPr>
          <w:rFonts w:asciiTheme="majorHAnsi" w:hAnsiTheme="majorHAnsi" w:cstheme="majorHAnsi"/>
        </w:rPr>
      </w:pPr>
      <w:r w:rsidRPr="00F25EBD">
        <w:rPr>
          <w:rFonts w:asciiTheme="majorHAnsi" w:hAnsiTheme="majorHAnsi" w:cstheme="majorHAnsi"/>
        </w:rPr>
        <w:t>W 2019</w:t>
      </w:r>
      <w:r w:rsidR="00F7062F">
        <w:rPr>
          <w:rFonts w:asciiTheme="majorHAnsi" w:hAnsiTheme="majorHAnsi" w:cstheme="majorHAnsi"/>
        </w:rPr>
        <w:t>r.</w:t>
      </w:r>
      <w:r w:rsidRPr="00F25EBD">
        <w:rPr>
          <w:rFonts w:asciiTheme="majorHAnsi" w:hAnsiTheme="majorHAnsi" w:cstheme="majorHAnsi"/>
        </w:rPr>
        <w:t xml:space="preserve"> w powiatach Południowych Mazur działalność prowadzi</w:t>
      </w:r>
      <w:r w:rsidR="007A5888">
        <w:rPr>
          <w:rFonts w:asciiTheme="majorHAnsi" w:hAnsiTheme="majorHAnsi" w:cstheme="majorHAnsi"/>
        </w:rPr>
        <w:t>ły 772 tego typu instytucje, co </w:t>
      </w:r>
      <w:r w:rsidRPr="00F25EBD">
        <w:rPr>
          <w:rFonts w:asciiTheme="majorHAnsi" w:hAnsiTheme="majorHAnsi" w:cstheme="majorHAnsi"/>
        </w:rPr>
        <w:t xml:space="preserve">stanowiło 13,3% organizacji pozarządowych funkcjonujących w województwie warmińsko-mazurskim. Pod względem liczebnym zdecydowaną przewagę miały stowarzyszenia i organizacje społeczne, których udział w ogólnej liczbie organizacji pozarządowych wyniósł 92,2%. Nasycenie tymi podmiotami było w miarę równomierne i wahało się od 31 na 10 tys. mieszkańców w powiecie działdowskim do 38 w </w:t>
      </w:r>
      <w:proofErr w:type="spellStart"/>
      <w:r w:rsidRPr="00F25EBD">
        <w:rPr>
          <w:rFonts w:asciiTheme="majorHAnsi" w:hAnsiTheme="majorHAnsi" w:cstheme="majorHAnsi"/>
        </w:rPr>
        <w:t>piskim</w:t>
      </w:r>
      <w:proofErr w:type="spellEnd"/>
      <w:r w:rsidRPr="00F25EBD">
        <w:rPr>
          <w:rFonts w:asciiTheme="majorHAnsi" w:hAnsiTheme="majorHAnsi" w:cstheme="majorHAnsi"/>
        </w:rPr>
        <w:t>. Porównywalne było również tempo przyro</w:t>
      </w:r>
      <w:r w:rsidR="007A5888">
        <w:rPr>
          <w:rFonts w:asciiTheme="majorHAnsi" w:hAnsiTheme="majorHAnsi" w:cstheme="majorHAnsi"/>
        </w:rPr>
        <w:t>stu liczby tych organizacji, co </w:t>
      </w:r>
      <w:r w:rsidRPr="00F25EBD">
        <w:rPr>
          <w:rFonts w:asciiTheme="majorHAnsi" w:hAnsiTheme="majorHAnsi" w:cstheme="majorHAnsi"/>
        </w:rPr>
        <w:t>przedstawione jest na poniższym rysunku.</w:t>
      </w:r>
    </w:p>
    <w:p w14:paraId="660E5D6A" w14:textId="77777777" w:rsidR="004C64BD" w:rsidRDefault="004C64BD" w:rsidP="00FC7062">
      <w:pPr>
        <w:spacing w:line="276" w:lineRule="auto"/>
        <w:rPr>
          <w:rFonts w:asciiTheme="majorHAnsi" w:hAnsiTheme="majorHAnsi" w:cstheme="majorHAnsi"/>
        </w:rPr>
      </w:pPr>
      <w:r>
        <w:rPr>
          <w:rFonts w:asciiTheme="majorHAnsi" w:hAnsiTheme="majorHAnsi" w:cstheme="majorHAnsi"/>
        </w:rPr>
        <w:br w:type="page"/>
      </w:r>
    </w:p>
    <w:p w14:paraId="5AF8DFB8" w14:textId="5F235CCE" w:rsidR="00EA2B5F" w:rsidRPr="00F25EBD" w:rsidRDefault="00EA2B5F" w:rsidP="000E5B5A">
      <w:pPr>
        <w:pStyle w:val="nad"/>
      </w:pPr>
      <w:bookmarkStart w:id="30" w:name="_Toc81301539"/>
      <w:r w:rsidRPr="00F25EBD">
        <w:t xml:space="preserve">Rysunek </w:t>
      </w:r>
      <w:r w:rsidRPr="00F25EBD">
        <w:rPr>
          <w:noProof/>
        </w:rPr>
        <w:fldChar w:fldCharType="begin"/>
      </w:r>
      <w:r w:rsidRPr="00F25EBD">
        <w:rPr>
          <w:noProof/>
        </w:rPr>
        <w:instrText xml:space="preserve"> SEQ Rysunek \* ARABIC </w:instrText>
      </w:r>
      <w:r w:rsidRPr="00F25EBD">
        <w:rPr>
          <w:noProof/>
        </w:rPr>
        <w:fldChar w:fldCharType="separate"/>
      </w:r>
      <w:r w:rsidR="006C7815">
        <w:rPr>
          <w:noProof/>
        </w:rPr>
        <w:t>11</w:t>
      </w:r>
      <w:r w:rsidRPr="00F25EBD">
        <w:rPr>
          <w:noProof/>
        </w:rPr>
        <w:fldChar w:fldCharType="end"/>
      </w:r>
      <w:r w:rsidRPr="00F25EBD">
        <w:t>. Liczba organizacji pozarządowych w przeliczeniu na 10 tys. mieszkańców w latach 2010-2019</w:t>
      </w:r>
      <w:bookmarkEnd w:id="30"/>
    </w:p>
    <w:p w14:paraId="18AB8CC2" w14:textId="77777777" w:rsidR="00EA2B5F" w:rsidRPr="00F25EBD" w:rsidRDefault="00EA2B5F" w:rsidP="00FC7062">
      <w:pPr>
        <w:spacing w:after="0" w:line="276" w:lineRule="auto"/>
        <w:jc w:val="center"/>
        <w:rPr>
          <w:rFonts w:asciiTheme="majorHAnsi" w:hAnsiTheme="majorHAnsi" w:cstheme="majorHAnsi"/>
        </w:rPr>
      </w:pPr>
      <w:r w:rsidRPr="00F25EBD">
        <w:rPr>
          <w:rFonts w:asciiTheme="majorHAnsi" w:hAnsiTheme="majorHAnsi" w:cstheme="majorHAnsi"/>
          <w:noProof/>
          <w:lang w:eastAsia="pl-PL"/>
        </w:rPr>
        <w:drawing>
          <wp:inline distT="0" distB="0" distL="0" distR="0" wp14:anchorId="277FA9D3" wp14:editId="00DB7A77">
            <wp:extent cx="5760000" cy="2606400"/>
            <wp:effectExtent l="0" t="0" r="12700" b="3810"/>
            <wp:docPr id="16" name="Wykres 16">
              <a:extLst xmlns:a="http://schemas.openxmlformats.org/drawingml/2006/main">
                <a:ext uri="{FF2B5EF4-FFF2-40B4-BE49-F238E27FC236}">
                  <a16:creationId xmlns:a16="http://schemas.microsoft.com/office/drawing/2014/main" id="{996C8070-E5EC-4616-A3F4-09DEB08DD66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0843AC12" w14:textId="77777777" w:rsidR="00EA2B5F" w:rsidRPr="00F25EBD" w:rsidRDefault="00EA2B5F" w:rsidP="000E5B5A">
      <w:pPr>
        <w:pStyle w:val="rdo"/>
      </w:pPr>
      <w:r w:rsidRPr="00F25EBD">
        <w:t>Źródło: opracowanie własne na podstawie danych BDL.</w:t>
      </w:r>
    </w:p>
    <w:p w14:paraId="272CEDDB" w14:textId="77777777" w:rsidR="00F47E30" w:rsidRDefault="00F47E30" w:rsidP="00FC7062">
      <w:pPr>
        <w:spacing w:line="276" w:lineRule="auto"/>
        <w:rPr>
          <w:rFonts w:asciiTheme="majorHAnsi" w:hAnsiTheme="majorHAnsi" w:cstheme="majorHAnsi"/>
        </w:rPr>
      </w:pPr>
      <w:r>
        <w:rPr>
          <w:rFonts w:asciiTheme="majorHAnsi" w:hAnsiTheme="majorHAnsi" w:cstheme="majorHAnsi"/>
        </w:rPr>
        <w:br w:type="page"/>
      </w:r>
    </w:p>
    <w:p w14:paraId="7F6050BC" w14:textId="7EF5CF04" w:rsidR="00EA2B5F" w:rsidRPr="00F25EBD" w:rsidRDefault="000E5B5A" w:rsidP="000E5B5A">
      <w:pPr>
        <w:pStyle w:val="Nagwek1"/>
        <w:spacing w:line="276" w:lineRule="auto"/>
        <w:jc w:val="both"/>
        <w:rPr>
          <w:rFonts w:cstheme="majorHAnsi"/>
        </w:rPr>
      </w:pPr>
      <w:bookmarkStart w:id="31" w:name="_Toc77070605"/>
      <w:r>
        <w:rPr>
          <w:rFonts w:cstheme="majorHAnsi"/>
        </w:rPr>
        <w:t xml:space="preserve">4. </w:t>
      </w:r>
      <w:r w:rsidR="00EA2B5F" w:rsidRPr="00F25EBD">
        <w:rPr>
          <w:rFonts w:cstheme="majorHAnsi"/>
        </w:rPr>
        <w:t>Sfera gospodarcza</w:t>
      </w:r>
      <w:bookmarkEnd w:id="31"/>
    </w:p>
    <w:p w14:paraId="2D0645B8" w14:textId="77777777" w:rsidR="00EA2B5F" w:rsidRPr="00F25EBD" w:rsidRDefault="00EA2B5F" w:rsidP="00FC7062">
      <w:pPr>
        <w:spacing w:after="0" w:line="276" w:lineRule="auto"/>
        <w:jc w:val="both"/>
        <w:rPr>
          <w:rFonts w:asciiTheme="majorHAnsi" w:hAnsiTheme="majorHAnsi" w:cstheme="majorHAnsi"/>
        </w:rPr>
      </w:pPr>
    </w:p>
    <w:p w14:paraId="64AD7357" w14:textId="6E2581B4" w:rsidR="00EA2B5F" w:rsidRPr="00F25EBD" w:rsidRDefault="000E5B5A" w:rsidP="000E5B5A">
      <w:pPr>
        <w:pStyle w:val="Nagwek2"/>
        <w:spacing w:before="0"/>
        <w:jc w:val="both"/>
        <w:rPr>
          <w:rFonts w:cstheme="majorHAnsi"/>
        </w:rPr>
      </w:pPr>
      <w:bookmarkStart w:id="32" w:name="_Toc77070606"/>
      <w:r>
        <w:rPr>
          <w:rFonts w:cstheme="majorHAnsi"/>
        </w:rPr>
        <w:t xml:space="preserve">4.1 </w:t>
      </w:r>
      <w:r w:rsidR="00EA2B5F" w:rsidRPr="00F25EBD">
        <w:rPr>
          <w:rFonts w:cstheme="majorHAnsi"/>
        </w:rPr>
        <w:t>Podmioty gospodarcze</w:t>
      </w:r>
      <w:bookmarkEnd w:id="32"/>
    </w:p>
    <w:p w14:paraId="3672595E" w14:textId="6676B5CC" w:rsidR="00EA2B5F" w:rsidRPr="00F25EBD" w:rsidRDefault="00EA2B5F" w:rsidP="008A3FED">
      <w:pPr>
        <w:spacing w:line="276" w:lineRule="auto"/>
        <w:jc w:val="both"/>
        <w:rPr>
          <w:rFonts w:asciiTheme="majorHAnsi" w:hAnsiTheme="majorHAnsi" w:cstheme="majorHAnsi"/>
        </w:rPr>
      </w:pPr>
      <w:r w:rsidRPr="00F25EBD">
        <w:rPr>
          <w:rFonts w:asciiTheme="majorHAnsi" w:hAnsiTheme="majorHAnsi" w:cstheme="majorHAnsi"/>
        </w:rPr>
        <w:t>Głównym warunkiem rozwoju gospodarczego i kulturowego jednostek przestrzennych jest przedsiębiorczość mieszkańców, która przejawia się m.in. tworzeniem nowych podmiotów gospodarczych i umiejętnością wygrywania konkurencji rynkowej przez już istniejące. Jedną z</w:t>
      </w:r>
      <w:r w:rsidR="007B04A7">
        <w:rPr>
          <w:rFonts w:asciiTheme="majorHAnsi" w:hAnsiTheme="majorHAnsi" w:cstheme="majorHAnsi"/>
        </w:rPr>
        <w:t xml:space="preserve"> </w:t>
      </w:r>
      <w:r w:rsidRPr="00F25EBD">
        <w:rPr>
          <w:rFonts w:asciiTheme="majorHAnsi" w:hAnsiTheme="majorHAnsi" w:cstheme="majorHAnsi"/>
        </w:rPr>
        <w:t>podstawowych miar przedsiębiorczości jest zatem liczba podmiotów gospodarki narodowej zarejestrowanych w systemie REGON i jej zmiany w określonym przedziale czasu. W 2019</w:t>
      </w:r>
      <w:r w:rsidR="00F7062F">
        <w:rPr>
          <w:rFonts w:asciiTheme="majorHAnsi" w:hAnsiTheme="majorHAnsi" w:cstheme="majorHAnsi"/>
        </w:rPr>
        <w:t>r.</w:t>
      </w:r>
      <w:r w:rsidRPr="00F25EBD">
        <w:rPr>
          <w:rFonts w:asciiTheme="majorHAnsi" w:hAnsiTheme="majorHAnsi" w:cstheme="majorHAnsi"/>
        </w:rPr>
        <w:t xml:space="preserve"> na terenie Południowych Mazur działały łącznie 16.784 przedsiębiorstwa, co stanowiło 12,7% jednostek funkcjonujących w województwie warmińsko-mazurskim. Podobnie jak to miało miejsce w skali kraju i</w:t>
      </w:r>
      <w:r w:rsidR="007B7167">
        <w:rPr>
          <w:rFonts w:asciiTheme="majorHAnsi" w:hAnsiTheme="majorHAnsi" w:cstheme="majorHAnsi"/>
        </w:rPr>
        <w:t> </w:t>
      </w:r>
      <w:r w:rsidRPr="00F25EBD">
        <w:rPr>
          <w:rFonts w:asciiTheme="majorHAnsi" w:hAnsiTheme="majorHAnsi" w:cstheme="majorHAnsi"/>
        </w:rPr>
        <w:t>regionu, zdecydowaną większość stanowiły mikroprzedsiębiorstwa, tj. podmioty zatrudniające do 9 osób. Ich udział w gospodarce narodowej wyniósł 96,3%, gospodarce regionalnej</w:t>
      </w:r>
      <w:r w:rsidR="00336D76" w:rsidRPr="00F25EBD">
        <w:rPr>
          <w:rFonts w:asciiTheme="majorHAnsi" w:hAnsiTheme="majorHAnsi" w:cstheme="majorHAnsi"/>
        </w:rPr>
        <w:t xml:space="preserve"> - </w:t>
      </w:r>
      <w:r w:rsidRPr="00F25EBD">
        <w:rPr>
          <w:rFonts w:asciiTheme="majorHAnsi" w:hAnsiTheme="majorHAnsi" w:cstheme="majorHAnsi"/>
        </w:rPr>
        <w:t>96,0%, a</w:t>
      </w:r>
      <w:r w:rsidR="007B04A7">
        <w:rPr>
          <w:rFonts w:asciiTheme="majorHAnsi" w:hAnsiTheme="majorHAnsi" w:cstheme="majorHAnsi"/>
        </w:rPr>
        <w:t xml:space="preserve"> </w:t>
      </w:r>
      <w:r w:rsidRPr="00F25EBD">
        <w:rPr>
          <w:rFonts w:asciiTheme="majorHAnsi" w:hAnsiTheme="majorHAnsi" w:cstheme="majorHAnsi"/>
        </w:rPr>
        <w:t>gospodarce Południowych Mazur</w:t>
      </w:r>
      <w:r w:rsidR="00336D76" w:rsidRPr="00F25EBD">
        <w:rPr>
          <w:rFonts w:asciiTheme="majorHAnsi" w:hAnsiTheme="majorHAnsi" w:cstheme="majorHAnsi"/>
        </w:rPr>
        <w:t xml:space="preserve"> - </w:t>
      </w:r>
      <w:r w:rsidRPr="00F25EBD">
        <w:rPr>
          <w:rFonts w:asciiTheme="majorHAnsi" w:hAnsiTheme="majorHAnsi" w:cstheme="majorHAnsi"/>
        </w:rPr>
        <w:t xml:space="preserve">95,8%. </w:t>
      </w:r>
    </w:p>
    <w:p w14:paraId="02381A86" w14:textId="11E70753" w:rsidR="00EA2B5F" w:rsidRPr="00F25EBD" w:rsidRDefault="00EA2B5F" w:rsidP="008A3FED">
      <w:pPr>
        <w:spacing w:line="276" w:lineRule="auto"/>
        <w:jc w:val="both"/>
        <w:rPr>
          <w:rFonts w:asciiTheme="majorHAnsi" w:hAnsiTheme="majorHAnsi" w:cstheme="majorHAnsi"/>
        </w:rPr>
      </w:pPr>
      <w:r w:rsidRPr="00F25EBD">
        <w:rPr>
          <w:rFonts w:asciiTheme="majorHAnsi" w:hAnsiTheme="majorHAnsi" w:cstheme="majorHAnsi"/>
        </w:rPr>
        <w:t>Poziom przedsiębiorczości w PM określony na podstawie liczby podmiotów wpisanych do rejestru REGON na tys. ludności (W</w:t>
      </w:r>
      <w:r w:rsidRPr="00F25EBD">
        <w:rPr>
          <w:rFonts w:asciiTheme="majorHAnsi" w:hAnsiTheme="majorHAnsi" w:cstheme="majorHAnsi"/>
          <w:vertAlign w:val="subscript"/>
        </w:rPr>
        <w:t>REGON/1000</w:t>
      </w:r>
      <w:r w:rsidRPr="00F25EBD">
        <w:rPr>
          <w:rFonts w:asciiTheme="majorHAnsi" w:hAnsiTheme="majorHAnsi" w:cstheme="majorHAnsi"/>
        </w:rPr>
        <w:t>) ukształtował się w 2019</w:t>
      </w:r>
      <w:r w:rsidR="00F7062F">
        <w:rPr>
          <w:rFonts w:asciiTheme="majorHAnsi" w:hAnsiTheme="majorHAnsi" w:cstheme="majorHAnsi"/>
        </w:rPr>
        <w:t>r.</w:t>
      </w:r>
      <w:r w:rsidRPr="00F25EBD">
        <w:rPr>
          <w:rFonts w:asciiTheme="majorHAnsi" w:hAnsiTheme="majorHAnsi" w:cstheme="majorHAnsi"/>
        </w:rPr>
        <w:t xml:space="preserve"> na poziomie równym 5,0 i był niższy zarówno od średniej krajowej (7,2), jak i</w:t>
      </w:r>
      <w:r w:rsidR="007B04A7">
        <w:rPr>
          <w:rFonts w:asciiTheme="majorHAnsi" w:hAnsiTheme="majorHAnsi" w:cstheme="majorHAnsi"/>
        </w:rPr>
        <w:t xml:space="preserve"> </w:t>
      </w:r>
      <w:r w:rsidRPr="00F25EBD">
        <w:rPr>
          <w:rFonts w:asciiTheme="majorHAnsi" w:hAnsiTheme="majorHAnsi" w:cstheme="majorHAnsi"/>
        </w:rPr>
        <w:t>wojewódzkiej (5,9). Najwyższym poziomem nasycenia podmiotami gospodarczymi charakteryzował się powiat nidzicki (5,9), zaraz za nim plasował się powiat działdowski (5,8), następnie szczycieński (4,5) i na końcu piski (3,9). W ciągu ostatnich 10 lat, pomimo niewielkich wahań wartości wskaźnika W</w:t>
      </w:r>
      <w:r w:rsidRPr="00F25EBD">
        <w:rPr>
          <w:rFonts w:asciiTheme="majorHAnsi" w:hAnsiTheme="majorHAnsi" w:cstheme="majorHAnsi"/>
          <w:vertAlign w:val="subscript"/>
        </w:rPr>
        <w:t>REGON/1000</w:t>
      </w:r>
      <w:r w:rsidRPr="00F25EBD">
        <w:rPr>
          <w:rFonts w:asciiTheme="majorHAnsi" w:hAnsiTheme="majorHAnsi" w:cstheme="majorHAnsi"/>
        </w:rPr>
        <w:t>, widoczna była jego malejąca tendencja. Porównanie danych w roku bazowym (2010) i końcowym (2019) wykazało, że najbardziej stabilna sytuacja w tym zakresie panowała na terenie powiatu nidzickiego (w którym wartość wskaźnika W</w:t>
      </w:r>
      <w:r w:rsidRPr="00F25EBD">
        <w:rPr>
          <w:rFonts w:asciiTheme="majorHAnsi" w:hAnsiTheme="majorHAnsi" w:cstheme="majorHAnsi"/>
          <w:vertAlign w:val="subscript"/>
        </w:rPr>
        <w:t>REGON/1000</w:t>
      </w:r>
      <w:r w:rsidRPr="00F25EBD">
        <w:rPr>
          <w:rFonts w:asciiTheme="majorHAnsi" w:hAnsiTheme="majorHAnsi" w:cstheme="majorHAnsi"/>
        </w:rPr>
        <w:t xml:space="preserve"> zmniejszyła się o 0,4), natomiast najmniej w </w:t>
      </w:r>
      <w:proofErr w:type="spellStart"/>
      <w:r w:rsidRPr="00F25EBD">
        <w:rPr>
          <w:rFonts w:asciiTheme="majorHAnsi" w:hAnsiTheme="majorHAnsi" w:cstheme="majorHAnsi"/>
        </w:rPr>
        <w:t>piskim</w:t>
      </w:r>
      <w:proofErr w:type="spellEnd"/>
      <w:r w:rsidRPr="00F25EBD">
        <w:rPr>
          <w:rFonts w:asciiTheme="majorHAnsi" w:hAnsiTheme="majorHAnsi" w:cstheme="majorHAnsi"/>
        </w:rPr>
        <w:t xml:space="preserve"> (-1,4). Zmiany liczby podmiotów wpisanych do rejestru REGON na tys. ludności w latach 2010-2019 przedstawione są na poniższym rysunku.</w:t>
      </w:r>
    </w:p>
    <w:p w14:paraId="60EA3939" w14:textId="0500B9EA" w:rsidR="00EA2B5F" w:rsidRPr="00F25EBD" w:rsidRDefault="00EA2B5F" w:rsidP="000E5B5A">
      <w:pPr>
        <w:pStyle w:val="nad"/>
      </w:pPr>
      <w:bookmarkStart w:id="33" w:name="_Toc81301540"/>
      <w:r w:rsidRPr="00F25EBD">
        <w:t xml:space="preserve">Rysunek </w:t>
      </w:r>
      <w:r w:rsidRPr="00F25EBD">
        <w:rPr>
          <w:noProof/>
        </w:rPr>
        <w:fldChar w:fldCharType="begin"/>
      </w:r>
      <w:r w:rsidRPr="00F25EBD">
        <w:rPr>
          <w:noProof/>
        </w:rPr>
        <w:instrText xml:space="preserve"> SEQ Rysunek \* ARABIC </w:instrText>
      </w:r>
      <w:r w:rsidRPr="00F25EBD">
        <w:rPr>
          <w:noProof/>
        </w:rPr>
        <w:fldChar w:fldCharType="separate"/>
      </w:r>
      <w:r w:rsidR="006C7815">
        <w:rPr>
          <w:noProof/>
        </w:rPr>
        <w:t>12</w:t>
      </w:r>
      <w:r w:rsidRPr="00F25EBD">
        <w:rPr>
          <w:noProof/>
        </w:rPr>
        <w:fldChar w:fldCharType="end"/>
      </w:r>
      <w:r w:rsidRPr="00F25EBD">
        <w:t xml:space="preserve">. Zmiany liczby </w:t>
      </w:r>
      <w:r w:rsidRPr="000E5B5A">
        <w:t>podmiotów</w:t>
      </w:r>
      <w:r w:rsidRPr="00F25EBD">
        <w:t xml:space="preserve"> wpisanych do rejestru REGON na tys. ludności w latach 2010-2019</w:t>
      </w:r>
      <w:bookmarkEnd w:id="33"/>
    </w:p>
    <w:p w14:paraId="14A234BF" w14:textId="77777777" w:rsidR="00EA2B5F" w:rsidRPr="00F25EBD" w:rsidRDefault="00EA2B5F" w:rsidP="00FC7062">
      <w:pPr>
        <w:spacing w:after="0" w:line="276" w:lineRule="auto"/>
        <w:jc w:val="center"/>
        <w:rPr>
          <w:rFonts w:asciiTheme="majorHAnsi" w:hAnsiTheme="majorHAnsi" w:cstheme="majorHAnsi"/>
        </w:rPr>
      </w:pPr>
      <w:r w:rsidRPr="00F25EBD">
        <w:rPr>
          <w:rFonts w:asciiTheme="majorHAnsi" w:hAnsiTheme="majorHAnsi" w:cstheme="majorHAnsi"/>
          <w:noProof/>
          <w:lang w:eastAsia="pl-PL"/>
        </w:rPr>
        <w:drawing>
          <wp:inline distT="0" distB="0" distL="0" distR="0" wp14:anchorId="69E4ECD0" wp14:editId="0098A453">
            <wp:extent cx="5760000" cy="2606400"/>
            <wp:effectExtent l="0" t="0" r="12700" b="3810"/>
            <wp:docPr id="12" name="Wykres 12">
              <a:extLst xmlns:a="http://schemas.openxmlformats.org/drawingml/2006/main">
                <a:ext uri="{FF2B5EF4-FFF2-40B4-BE49-F238E27FC236}">
                  <a16:creationId xmlns:a16="http://schemas.microsoft.com/office/drawing/2014/main" id="{C11ECF8A-9407-455F-B5F3-F413AE46668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2DCE5296" w14:textId="77777777" w:rsidR="00EA2B5F" w:rsidRPr="00F25EBD" w:rsidRDefault="00EA2B5F" w:rsidP="000E5B5A">
      <w:pPr>
        <w:pStyle w:val="rdo"/>
      </w:pPr>
      <w:r w:rsidRPr="00F25EBD">
        <w:t>Źródło: opracowanie własne na podstawie danych BDL.</w:t>
      </w:r>
    </w:p>
    <w:p w14:paraId="5F431E1B" w14:textId="77777777" w:rsidR="00EA2B5F" w:rsidRPr="00F25EBD" w:rsidRDefault="00EA2B5F" w:rsidP="00FC7062">
      <w:pPr>
        <w:spacing w:after="0" w:line="276" w:lineRule="auto"/>
        <w:rPr>
          <w:rFonts w:asciiTheme="majorHAnsi" w:hAnsiTheme="majorHAnsi" w:cstheme="majorHAnsi"/>
        </w:rPr>
      </w:pPr>
    </w:p>
    <w:p w14:paraId="2CE6D4F1" w14:textId="5471EB32" w:rsidR="00EA2B5F" w:rsidRPr="00F25EBD" w:rsidRDefault="00EA2B5F" w:rsidP="00FC7062">
      <w:pPr>
        <w:spacing w:after="0" w:line="276" w:lineRule="auto"/>
        <w:jc w:val="both"/>
        <w:rPr>
          <w:rFonts w:asciiTheme="majorHAnsi" w:hAnsiTheme="majorHAnsi" w:cstheme="majorHAnsi"/>
        </w:rPr>
      </w:pPr>
      <w:r w:rsidRPr="00F25EBD">
        <w:rPr>
          <w:rFonts w:asciiTheme="majorHAnsi" w:hAnsiTheme="majorHAnsi" w:cstheme="majorHAnsi"/>
        </w:rPr>
        <w:t>Do oceny przedsiębiorczości można wykorzystać także tzw. wskaźniki narodzin i umieralności działalności gospodarczych na rynku. Przykładem pierwszego jest liczba nowo zarejestrowanych podmiotów na 10 tys. ludności, natomiast drugiego liczba podmiotów wykreślonych z rejestru REGON na 10 tys. ludności. W obu przypadkach średnie wartości wskaźników wyznaczone dla Południowych Mazur były niższe niż ich odpowiedniki na poziomie kraju i regionu, a ponadto na przestrzeni analizowanego okresu (pomimo krótkookresowych wzrostów i spadków) miały tendencję malejącą. Zarówno liczba nowo zarejestrowanych podmiotów na 10 tys. ludności, jak i podmiotów wykreślonych była w 2019</w:t>
      </w:r>
      <w:r w:rsidR="00F7062F">
        <w:rPr>
          <w:rFonts w:asciiTheme="majorHAnsi" w:hAnsiTheme="majorHAnsi" w:cstheme="majorHAnsi"/>
        </w:rPr>
        <w:t>r.</w:t>
      </w:r>
      <w:r w:rsidRPr="00F25EBD">
        <w:rPr>
          <w:rFonts w:asciiTheme="majorHAnsi" w:hAnsiTheme="majorHAnsi" w:cstheme="majorHAnsi"/>
        </w:rPr>
        <w:t xml:space="preserve"> o 8 niższa niż w 2010</w:t>
      </w:r>
      <w:r w:rsidR="00F7062F">
        <w:rPr>
          <w:rFonts w:asciiTheme="majorHAnsi" w:hAnsiTheme="majorHAnsi" w:cstheme="majorHAnsi"/>
        </w:rPr>
        <w:t>r.</w:t>
      </w:r>
      <w:r w:rsidRPr="00F25EBD">
        <w:rPr>
          <w:rFonts w:asciiTheme="majorHAnsi" w:hAnsiTheme="majorHAnsi" w:cstheme="majorHAnsi"/>
        </w:rPr>
        <w:t xml:space="preserve"> W skali pojedynczych powiatów PM zmiany te były dużo głębsze i nie tak jednoznaczne. Zmniejszenie liczby nowoutworzonych podmiotów w</w:t>
      </w:r>
      <w:r w:rsidR="007B04A7">
        <w:rPr>
          <w:rFonts w:asciiTheme="majorHAnsi" w:hAnsiTheme="majorHAnsi" w:cstheme="majorHAnsi"/>
        </w:rPr>
        <w:t xml:space="preserve"> </w:t>
      </w:r>
      <w:r w:rsidRPr="00F25EBD">
        <w:rPr>
          <w:rFonts w:asciiTheme="majorHAnsi" w:hAnsiTheme="majorHAnsi" w:cstheme="majorHAnsi"/>
        </w:rPr>
        <w:t xml:space="preserve">przeliczeniu na 10 tys. mieszkańców nastąpiło w powiecie nidzickim (-20), </w:t>
      </w:r>
      <w:proofErr w:type="spellStart"/>
      <w:r w:rsidRPr="00F25EBD">
        <w:rPr>
          <w:rFonts w:asciiTheme="majorHAnsi" w:hAnsiTheme="majorHAnsi" w:cstheme="majorHAnsi"/>
        </w:rPr>
        <w:t>piskim</w:t>
      </w:r>
      <w:proofErr w:type="spellEnd"/>
      <w:r w:rsidRPr="00F25EBD">
        <w:rPr>
          <w:rFonts w:asciiTheme="majorHAnsi" w:hAnsiTheme="majorHAnsi" w:cstheme="majorHAnsi"/>
        </w:rPr>
        <w:t xml:space="preserve"> (-16) i</w:t>
      </w:r>
      <w:r w:rsidR="007B04A7">
        <w:rPr>
          <w:rFonts w:asciiTheme="majorHAnsi" w:hAnsiTheme="majorHAnsi" w:cstheme="majorHAnsi"/>
        </w:rPr>
        <w:t xml:space="preserve"> </w:t>
      </w:r>
      <w:r w:rsidRPr="00F25EBD">
        <w:rPr>
          <w:rFonts w:asciiTheme="majorHAnsi" w:hAnsiTheme="majorHAnsi" w:cstheme="majorHAnsi"/>
        </w:rPr>
        <w:t>działdowskim (-20), natomiast wzrost odnotowano w powiecie szczycieńskim (+15). Z kolei jeśli chodzi o</w:t>
      </w:r>
      <w:r w:rsidR="007B04A7">
        <w:rPr>
          <w:rFonts w:asciiTheme="majorHAnsi" w:hAnsiTheme="majorHAnsi" w:cstheme="majorHAnsi"/>
        </w:rPr>
        <w:t xml:space="preserve"> </w:t>
      </w:r>
      <w:r w:rsidRPr="00F25EBD">
        <w:rPr>
          <w:rFonts w:asciiTheme="majorHAnsi" w:hAnsiTheme="majorHAnsi" w:cstheme="majorHAnsi"/>
        </w:rPr>
        <w:t xml:space="preserve">likwidację przedsiębiorstw, to spadek widoczny był w powiecie </w:t>
      </w:r>
      <w:proofErr w:type="spellStart"/>
      <w:r w:rsidRPr="00F25EBD">
        <w:rPr>
          <w:rFonts w:asciiTheme="majorHAnsi" w:hAnsiTheme="majorHAnsi" w:cstheme="majorHAnsi"/>
        </w:rPr>
        <w:t>piskim</w:t>
      </w:r>
      <w:proofErr w:type="spellEnd"/>
      <w:r w:rsidRPr="00F25EBD">
        <w:rPr>
          <w:rFonts w:asciiTheme="majorHAnsi" w:hAnsiTheme="majorHAnsi" w:cstheme="majorHAnsi"/>
        </w:rPr>
        <w:t xml:space="preserve"> (-21) i działdowskim (-13), a</w:t>
      </w:r>
      <w:r w:rsidR="007B04A7">
        <w:rPr>
          <w:rFonts w:asciiTheme="majorHAnsi" w:hAnsiTheme="majorHAnsi" w:cstheme="majorHAnsi"/>
        </w:rPr>
        <w:t xml:space="preserve"> </w:t>
      </w:r>
      <w:r w:rsidRPr="00F25EBD">
        <w:rPr>
          <w:rFonts w:asciiTheme="majorHAnsi" w:hAnsiTheme="majorHAnsi" w:cstheme="majorHAnsi"/>
        </w:rPr>
        <w:t>w dwóch pozostałych nie zmieniło się nic (powiat szczycieński) lub prawie nic (powiat nidzicki). Zmiany te zaprezentowane są na poniższym rysunku.</w:t>
      </w:r>
    </w:p>
    <w:p w14:paraId="14594AA8" w14:textId="1E4EEDFA" w:rsidR="00EA2B5F" w:rsidRPr="00F25EBD" w:rsidRDefault="00EA2B5F" w:rsidP="000E5B5A">
      <w:pPr>
        <w:pStyle w:val="nad"/>
      </w:pPr>
      <w:bookmarkStart w:id="34" w:name="_Toc81301541"/>
      <w:r w:rsidRPr="00F25EBD">
        <w:t xml:space="preserve">Rysunek </w:t>
      </w:r>
      <w:r w:rsidRPr="00F25EBD">
        <w:rPr>
          <w:noProof/>
        </w:rPr>
        <w:fldChar w:fldCharType="begin"/>
      </w:r>
      <w:r w:rsidRPr="00F25EBD">
        <w:rPr>
          <w:noProof/>
        </w:rPr>
        <w:instrText xml:space="preserve"> SEQ Rysunek \* ARABIC </w:instrText>
      </w:r>
      <w:r w:rsidRPr="00F25EBD">
        <w:rPr>
          <w:noProof/>
        </w:rPr>
        <w:fldChar w:fldCharType="separate"/>
      </w:r>
      <w:r w:rsidR="006C7815">
        <w:rPr>
          <w:noProof/>
        </w:rPr>
        <w:t>13</w:t>
      </w:r>
      <w:r w:rsidRPr="00F25EBD">
        <w:rPr>
          <w:noProof/>
        </w:rPr>
        <w:fldChar w:fldCharType="end"/>
      </w:r>
      <w:r w:rsidRPr="00F25EBD">
        <w:t xml:space="preserve">. Liczba nowo zarejestrowanych podmiotów na 10 tys. </w:t>
      </w:r>
      <w:r w:rsidRPr="000E5B5A">
        <w:t>ludności</w:t>
      </w:r>
      <w:r w:rsidRPr="00F25EBD">
        <w:t xml:space="preserve"> i liczba podmiotów wykreślonych z rejestru REGON na 10 tys. ludności w latach 2010-2019</w:t>
      </w:r>
      <w:bookmarkEnd w:id="34"/>
    </w:p>
    <w:p w14:paraId="4091BEFC" w14:textId="77777777" w:rsidR="00EA2B5F" w:rsidRPr="00F25EBD" w:rsidRDefault="00EA2B5F" w:rsidP="00FC7062">
      <w:pPr>
        <w:spacing w:after="0" w:line="276" w:lineRule="auto"/>
        <w:rPr>
          <w:rFonts w:asciiTheme="majorHAnsi" w:hAnsiTheme="majorHAnsi" w:cstheme="majorHAnsi"/>
        </w:rPr>
      </w:pPr>
      <w:r w:rsidRPr="00F25EBD">
        <w:rPr>
          <w:rFonts w:asciiTheme="majorHAnsi" w:hAnsiTheme="majorHAnsi" w:cstheme="majorHAnsi"/>
          <w:noProof/>
          <w:lang w:eastAsia="pl-PL"/>
        </w:rPr>
        <w:drawing>
          <wp:inline distT="0" distB="0" distL="0" distR="0" wp14:anchorId="3EC2D33A" wp14:editId="532E308F">
            <wp:extent cx="5902569" cy="2087193"/>
            <wp:effectExtent l="0" t="0" r="3175" b="8890"/>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80213" cy="2114649"/>
                    </a:xfrm>
                    <a:prstGeom prst="rect">
                      <a:avLst/>
                    </a:prstGeom>
                    <a:noFill/>
                  </pic:spPr>
                </pic:pic>
              </a:graphicData>
            </a:graphic>
          </wp:inline>
        </w:drawing>
      </w:r>
    </w:p>
    <w:p w14:paraId="3258ACFA" w14:textId="77777777" w:rsidR="00EA2B5F" w:rsidRPr="00F25EBD" w:rsidRDefault="00EA2B5F" w:rsidP="000E5B5A">
      <w:pPr>
        <w:pStyle w:val="rdo"/>
      </w:pPr>
      <w:r w:rsidRPr="00F25EBD">
        <w:t>Źródło: opracowanie własne na podstawie danych BDL.</w:t>
      </w:r>
    </w:p>
    <w:p w14:paraId="0EF0CE16" w14:textId="77777777" w:rsidR="00EA2B5F" w:rsidRPr="00F25EBD" w:rsidRDefault="00EA2B5F" w:rsidP="00FC7062">
      <w:pPr>
        <w:spacing w:after="0" w:line="276" w:lineRule="auto"/>
        <w:rPr>
          <w:rFonts w:asciiTheme="majorHAnsi" w:hAnsiTheme="majorHAnsi" w:cstheme="majorHAnsi"/>
        </w:rPr>
      </w:pPr>
    </w:p>
    <w:p w14:paraId="471EDE9C" w14:textId="35825B3D" w:rsidR="00EA2B5F" w:rsidRPr="00F25EBD" w:rsidRDefault="00EA2B5F" w:rsidP="00FC7062">
      <w:pPr>
        <w:spacing w:after="0" w:line="276" w:lineRule="auto"/>
        <w:jc w:val="both"/>
        <w:rPr>
          <w:rFonts w:asciiTheme="majorHAnsi" w:hAnsiTheme="majorHAnsi" w:cstheme="majorHAnsi"/>
        </w:rPr>
      </w:pPr>
      <w:r w:rsidRPr="00F25EBD">
        <w:rPr>
          <w:rFonts w:asciiTheme="majorHAnsi" w:hAnsiTheme="majorHAnsi" w:cstheme="majorHAnsi"/>
        </w:rPr>
        <w:t>W ujęciu zbiorczym, w 2019</w:t>
      </w:r>
      <w:r w:rsidR="00F7062F">
        <w:rPr>
          <w:rFonts w:asciiTheme="majorHAnsi" w:hAnsiTheme="majorHAnsi" w:cstheme="majorHAnsi"/>
        </w:rPr>
        <w:t>r.</w:t>
      </w:r>
      <w:r w:rsidRPr="00F25EBD">
        <w:rPr>
          <w:rFonts w:asciiTheme="majorHAnsi" w:hAnsiTheme="majorHAnsi" w:cstheme="majorHAnsi"/>
        </w:rPr>
        <w:t xml:space="preserve"> aktywność przedsiębiorstw zlokalizowanych na terenie Południowych Mazur koncentrowała się głównie na: </w:t>
      </w:r>
    </w:p>
    <w:p w14:paraId="064EDE7E" w14:textId="2C6D68CA" w:rsidR="00EA2B5F" w:rsidRPr="00F25EBD" w:rsidRDefault="00EA2B5F" w:rsidP="00624F1F">
      <w:pPr>
        <w:pStyle w:val="Akapitzlist"/>
        <w:numPr>
          <w:ilvl w:val="0"/>
          <w:numId w:val="3"/>
        </w:numPr>
        <w:spacing w:after="0" w:line="276" w:lineRule="auto"/>
        <w:jc w:val="both"/>
        <w:rPr>
          <w:rFonts w:asciiTheme="majorHAnsi" w:hAnsiTheme="majorHAnsi" w:cstheme="majorHAnsi"/>
        </w:rPr>
      </w:pPr>
      <w:r w:rsidRPr="00F25EBD">
        <w:rPr>
          <w:rFonts w:asciiTheme="majorHAnsi" w:hAnsiTheme="majorHAnsi" w:cstheme="majorHAnsi"/>
        </w:rPr>
        <w:t>handlu hurtowym i detalicznym; naprawie pojazdów samochodowych, włączając motocykle (sekcja G PKD</w:t>
      </w:r>
      <w:r w:rsidR="00336D76" w:rsidRPr="00F25EBD">
        <w:rPr>
          <w:rFonts w:asciiTheme="majorHAnsi" w:hAnsiTheme="majorHAnsi" w:cstheme="majorHAnsi"/>
        </w:rPr>
        <w:t xml:space="preserve"> - </w:t>
      </w:r>
      <w:r w:rsidRPr="00F25EBD">
        <w:rPr>
          <w:rFonts w:asciiTheme="majorHAnsi" w:hAnsiTheme="majorHAnsi" w:cstheme="majorHAnsi"/>
        </w:rPr>
        <w:t>18,6%)</w:t>
      </w:r>
      <w:r w:rsidR="00336D76" w:rsidRPr="00F25EBD">
        <w:rPr>
          <w:rFonts w:asciiTheme="majorHAnsi" w:hAnsiTheme="majorHAnsi" w:cstheme="majorHAnsi"/>
        </w:rPr>
        <w:t xml:space="preserve"> - </w:t>
      </w:r>
      <w:r w:rsidRPr="00F25EBD">
        <w:rPr>
          <w:rFonts w:asciiTheme="majorHAnsi" w:hAnsiTheme="majorHAnsi" w:cstheme="majorHAnsi"/>
        </w:rPr>
        <w:t>w sekcji tej ponad połowa podmiotów (65,3%) przypadała na handel detaliczny (z</w:t>
      </w:r>
      <w:r w:rsidR="007B04A7">
        <w:rPr>
          <w:rFonts w:asciiTheme="majorHAnsi" w:hAnsiTheme="majorHAnsi" w:cstheme="majorHAnsi"/>
        </w:rPr>
        <w:t xml:space="preserve"> </w:t>
      </w:r>
      <w:r w:rsidRPr="00F25EBD">
        <w:rPr>
          <w:rFonts w:asciiTheme="majorHAnsi" w:hAnsiTheme="majorHAnsi" w:cstheme="majorHAnsi"/>
        </w:rPr>
        <w:t>wyłączeniem handlu detalicznego pojazdami samochodowymi);</w:t>
      </w:r>
    </w:p>
    <w:p w14:paraId="1ABA36C2" w14:textId="77777777" w:rsidR="00EA2B5F" w:rsidRPr="00F25EBD" w:rsidRDefault="00EA2B5F" w:rsidP="00624F1F">
      <w:pPr>
        <w:pStyle w:val="Akapitzlist"/>
        <w:numPr>
          <w:ilvl w:val="0"/>
          <w:numId w:val="3"/>
        </w:numPr>
        <w:spacing w:after="0" w:line="276" w:lineRule="auto"/>
        <w:jc w:val="both"/>
        <w:rPr>
          <w:rFonts w:asciiTheme="majorHAnsi" w:hAnsiTheme="majorHAnsi" w:cstheme="majorHAnsi"/>
        </w:rPr>
      </w:pPr>
      <w:r w:rsidRPr="00F25EBD">
        <w:rPr>
          <w:rFonts w:asciiTheme="majorHAnsi" w:hAnsiTheme="majorHAnsi" w:cstheme="majorHAnsi"/>
        </w:rPr>
        <w:t>budownictwie (sekcja F –13,7%)</w:t>
      </w:r>
      <w:r w:rsidR="00336D76" w:rsidRPr="00F25EBD">
        <w:rPr>
          <w:rFonts w:asciiTheme="majorHAnsi" w:hAnsiTheme="majorHAnsi" w:cstheme="majorHAnsi"/>
        </w:rPr>
        <w:t xml:space="preserve"> - </w:t>
      </w:r>
      <w:r w:rsidRPr="00F25EBD">
        <w:rPr>
          <w:rFonts w:asciiTheme="majorHAnsi" w:hAnsiTheme="majorHAnsi" w:cstheme="majorHAnsi"/>
        </w:rPr>
        <w:t>tu z kolei dominowały podmioty zgrupowane w dziale 47 tj. roboty budowlane specjalistyczne (67,6%);</w:t>
      </w:r>
    </w:p>
    <w:p w14:paraId="74D35FAE" w14:textId="77777777" w:rsidR="00EA2B5F" w:rsidRPr="00F25EBD" w:rsidRDefault="00EA2B5F" w:rsidP="00624F1F">
      <w:pPr>
        <w:pStyle w:val="Akapitzlist"/>
        <w:numPr>
          <w:ilvl w:val="0"/>
          <w:numId w:val="3"/>
        </w:numPr>
        <w:spacing w:after="0" w:line="276" w:lineRule="auto"/>
        <w:jc w:val="both"/>
        <w:rPr>
          <w:rFonts w:asciiTheme="majorHAnsi" w:hAnsiTheme="majorHAnsi" w:cstheme="majorHAnsi"/>
        </w:rPr>
      </w:pPr>
      <w:r w:rsidRPr="00F25EBD">
        <w:rPr>
          <w:rFonts w:asciiTheme="majorHAnsi" w:hAnsiTheme="majorHAnsi" w:cstheme="majorHAnsi"/>
        </w:rPr>
        <w:t>przetwórstwie przemysłowym (sekcja C</w:t>
      </w:r>
      <w:r w:rsidR="00336D76" w:rsidRPr="00F25EBD">
        <w:rPr>
          <w:rFonts w:asciiTheme="majorHAnsi" w:hAnsiTheme="majorHAnsi" w:cstheme="majorHAnsi"/>
        </w:rPr>
        <w:t xml:space="preserve"> - </w:t>
      </w:r>
      <w:r w:rsidRPr="00F25EBD">
        <w:rPr>
          <w:rFonts w:asciiTheme="majorHAnsi" w:hAnsiTheme="majorHAnsi" w:cstheme="majorHAnsi"/>
        </w:rPr>
        <w:t>7,9%)</w:t>
      </w:r>
      <w:r w:rsidR="00336D76" w:rsidRPr="00F25EBD">
        <w:rPr>
          <w:rFonts w:asciiTheme="majorHAnsi" w:hAnsiTheme="majorHAnsi" w:cstheme="majorHAnsi"/>
        </w:rPr>
        <w:t xml:space="preserve"> - </w:t>
      </w:r>
      <w:r w:rsidRPr="00F25EBD">
        <w:rPr>
          <w:rFonts w:asciiTheme="majorHAnsi" w:hAnsiTheme="majorHAnsi" w:cstheme="majorHAnsi"/>
        </w:rPr>
        <w:t xml:space="preserve">w przypadku tej sekcji większość podmiotów (51,8%) zgrupowana była w trzech z 24 działów, a w tym: </w:t>
      </w:r>
    </w:p>
    <w:p w14:paraId="6C0A80AF" w14:textId="77777777" w:rsidR="00EA2B5F" w:rsidRPr="00F25EBD" w:rsidRDefault="00EA2B5F" w:rsidP="00624F1F">
      <w:pPr>
        <w:pStyle w:val="Akapitzlist"/>
        <w:numPr>
          <w:ilvl w:val="0"/>
          <w:numId w:val="4"/>
        </w:numPr>
        <w:spacing w:after="0" w:line="276" w:lineRule="auto"/>
        <w:jc w:val="both"/>
        <w:rPr>
          <w:rFonts w:asciiTheme="majorHAnsi" w:hAnsiTheme="majorHAnsi" w:cstheme="majorHAnsi"/>
        </w:rPr>
      </w:pPr>
      <w:r w:rsidRPr="00F25EBD">
        <w:rPr>
          <w:rFonts w:asciiTheme="majorHAnsi" w:hAnsiTheme="majorHAnsi" w:cstheme="majorHAnsi"/>
        </w:rPr>
        <w:t>dziale 16</w:t>
      </w:r>
      <w:r w:rsidR="00336D76" w:rsidRPr="00F25EBD">
        <w:rPr>
          <w:rFonts w:asciiTheme="majorHAnsi" w:hAnsiTheme="majorHAnsi" w:cstheme="majorHAnsi"/>
        </w:rPr>
        <w:t xml:space="preserve"> - </w:t>
      </w:r>
      <w:r w:rsidRPr="00F25EBD">
        <w:rPr>
          <w:rFonts w:asciiTheme="majorHAnsi" w:hAnsiTheme="majorHAnsi" w:cstheme="majorHAnsi"/>
        </w:rPr>
        <w:t>produkcja wyrobów z drewna oraz korka, z wyłączeniem mebli; produkcja wyrobów ze słomy i materiałów używanych do wyplatania (21,5% jednostek z sekcji C),</w:t>
      </w:r>
    </w:p>
    <w:p w14:paraId="69F797C2" w14:textId="77777777" w:rsidR="00EA2B5F" w:rsidRPr="00F25EBD" w:rsidRDefault="00EA2B5F" w:rsidP="00624F1F">
      <w:pPr>
        <w:pStyle w:val="Akapitzlist"/>
        <w:numPr>
          <w:ilvl w:val="0"/>
          <w:numId w:val="4"/>
        </w:numPr>
        <w:spacing w:after="0" w:line="276" w:lineRule="auto"/>
        <w:jc w:val="both"/>
        <w:rPr>
          <w:rFonts w:asciiTheme="majorHAnsi" w:hAnsiTheme="majorHAnsi" w:cstheme="majorHAnsi"/>
        </w:rPr>
      </w:pPr>
      <w:r w:rsidRPr="00F25EBD">
        <w:rPr>
          <w:rFonts w:asciiTheme="majorHAnsi" w:hAnsiTheme="majorHAnsi" w:cstheme="majorHAnsi"/>
        </w:rPr>
        <w:t>dziale 31</w:t>
      </w:r>
      <w:r w:rsidR="00336D76" w:rsidRPr="00F25EBD">
        <w:rPr>
          <w:rFonts w:asciiTheme="majorHAnsi" w:hAnsiTheme="majorHAnsi" w:cstheme="majorHAnsi"/>
        </w:rPr>
        <w:t xml:space="preserve"> - </w:t>
      </w:r>
      <w:r w:rsidRPr="00F25EBD">
        <w:rPr>
          <w:rFonts w:asciiTheme="majorHAnsi" w:hAnsiTheme="majorHAnsi" w:cstheme="majorHAnsi"/>
        </w:rPr>
        <w:t>produkcja mebli (16,1% jednostek sekcji C),</w:t>
      </w:r>
    </w:p>
    <w:p w14:paraId="5A85D3C1" w14:textId="77777777" w:rsidR="00EA2B5F" w:rsidRPr="00F25EBD" w:rsidRDefault="00EA2B5F" w:rsidP="00624F1F">
      <w:pPr>
        <w:pStyle w:val="Akapitzlist"/>
        <w:numPr>
          <w:ilvl w:val="0"/>
          <w:numId w:val="4"/>
        </w:numPr>
        <w:spacing w:after="0" w:line="276" w:lineRule="auto"/>
        <w:jc w:val="both"/>
        <w:rPr>
          <w:rFonts w:asciiTheme="majorHAnsi" w:hAnsiTheme="majorHAnsi" w:cstheme="majorHAnsi"/>
        </w:rPr>
      </w:pPr>
      <w:r w:rsidRPr="00F25EBD">
        <w:rPr>
          <w:rFonts w:asciiTheme="majorHAnsi" w:hAnsiTheme="majorHAnsi" w:cstheme="majorHAnsi"/>
        </w:rPr>
        <w:t>dziale 25</w:t>
      </w:r>
      <w:r w:rsidR="00336D76" w:rsidRPr="00F25EBD">
        <w:rPr>
          <w:rFonts w:asciiTheme="majorHAnsi" w:hAnsiTheme="majorHAnsi" w:cstheme="majorHAnsi"/>
        </w:rPr>
        <w:t xml:space="preserve"> - </w:t>
      </w:r>
      <w:r w:rsidRPr="00F25EBD">
        <w:rPr>
          <w:rFonts w:asciiTheme="majorHAnsi" w:hAnsiTheme="majorHAnsi" w:cstheme="majorHAnsi"/>
        </w:rPr>
        <w:t>produkcja metalowych wyrobów gotowych, z wyłączeniem maszyn i urządzeń (14,3% jednostek sekcji C);</w:t>
      </w:r>
    </w:p>
    <w:p w14:paraId="5B196AA1" w14:textId="77777777" w:rsidR="00EA2B5F" w:rsidRPr="00F25EBD" w:rsidRDefault="00EA2B5F" w:rsidP="0054382A">
      <w:pPr>
        <w:pStyle w:val="Akapitzlist"/>
        <w:numPr>
          <w:ilvl w:val="0"/>
          <w:numId w:val="3"/>
        </w:numPr>
        <w:spacing w:line="276" w:lineRule="auto"/>
        <w:jc w:val="both"/>
        <w:rPr>
          <w:rFonts w:asciiTheme="majorHAnsi" w:hAnsiTheme="majorHAnsi" w:cstheme="majorHAnsi"/>
        </w:rPr>
      </w:pPr>
      <w:r w:rsidRPr="00F25EBD">
        <w:rPr>
          <w:rFonts w:asciiTheme="majorHAnsi" w:hAnsiTheme="majorHAnsi" w:cstheme="majorHAnsi"/>
        </w:rPr>
        <w:t>pozostałej działalności usługowej (połączone sekcje S i T</w:t>
      </w:r>
      <w:r w:rsidR="00336D76" w:rsidRPr="00F25EBD">
        <w:rPr>
          <w:rFonts w:asciiTheme="majorHAnsi" w:hAnsiTheme="majorHAnsi" w:cstheme="majorHAnsi"/>
        </w:rPr>
        <w:t xml:space="preserve"> - </w:t>
      </w:r>
      <w:r w:rsidRPr="00F25EBD">
        <w:rPr>
          <w:rFonts w:asciiTheme="majorHAnsi" w:hAnsiTheme="majorHAnsi" w:cstheme="majorHAnsi"/>
        </w:rPr>
        <w:t xml:space="preserve">7,9%). </w:t>
      </w:r>
    </w:p>
    <w:p w14:paraId="791C8252" w14:textId="77777777" w:rsidR="00EA2B5F" w:rsidRPr="00F25EBD" w:rsidRDefault="00EA2B5F" w:rsidP="00FC7062">
      <w:pPr>
        <w:spacing w:after="0" w:line="276" w:lineRule="auto"/>
        <w:jc w:val="both"/>
        <w:rPr>
          <w:rFonts w:asciiTheme="majorHAnsi" w:hAnsiTheme="majorHAnsi" w:cstheme="majorHAnsi"/>
        </w:rPr>
      </w:pPr>
      <w:r w:rsidRPr="00F25EBD">
        <w:rPr>
          <w:rFonts w:asciiTheme="majorHAnsi" w:hAnsiTheme="majorHAnsi" w:cstheme="majorHAnsi"/>
        </w:rPr>
        <w:t>Łącznie w sekcjach G, F, C oraz S i T PKD działało 52,6% przedsiębiorstw.</w:t>
      </w:r>
    </w:p>
    <w:p w14:paraId="55C069D7" w14:textId="77777777" w:rsidR="00EA2B5F" w:rsidRPr="00F25EBD" w:rsidRDefault="00EA2B5F" w:rsidP="00FC7062">
      <w:pPr>
        <w:spacing w:after="0" w:line="276" w:lineRule="auto"/>
        <w:jc w:val="both"/>
        <w:rPr>
          <w:rFonts w:asciiTheme="majorHAnsi" w:hAnsiTheme="majorHAnsi" w:cstheme="majorHAnsi"/>
        </w:rPr>
      </w:pPr>
    </w:p>
    <w:p w14:paraId="51A9463B" w14:textId="6FBB8BB7" w:rsidR="00EA2B5F" w:rsidRPr="00F25EBD" w:rsidRDefault="00EA2B5F" w:rsidP="008A3FED">
      <w:pPr>
        <w:spacing w:line="276" w:lineRule="auto"/>
        <w:jc w:val="both"/>
        <w:rPr>
          <w:rFonts w:asciiTheme="majorHAnsi" w:hAnsiTheme="majorHAnsi" w:cstheme="majorHAnsi"/>
        </w:rPr>
      </w:pPr>
      <w:r w:rsidRPr="00F25EBD">
        <w:rPr>
          <w:rFonts w:asciiTheme="majorHAnsi" w:hAnsiTheme="majorHAnsi" w:cstheme="majorHAnsi"/>
        </w:rPr>
        <w:t>Analogiczny układ dominujących branż (ze zbliżonymi wartościami w</w:t>
      </w:r>
      <w:r w:rsidR="001676E7">
        <w:rPr>
          <w:rFonts w:asciiTheme="majorHAnsi" w:hAnsiTheme="majorHAnsi" w:cstheme="majorHAnsi"/>
        </w:rPr>
        <w:t>skaźników udziału) występował w </w:t>
      </w:r>
      <w:r w:rsidRPr="00F25EBD">
        <w:rPr>
          <w:rFonts w:asciiTheme="majorHAnsi" w:hAnsiTheme="majorHAnsi" w:cstheme="majorHAnsi"/>
        </w:rPr>
        <w:t xml:space="preserve">trzech powiatach PM, tj. działdowskim, nidzickim oraz szczycieńskim. Od tego wzorca odbiegała nieco struktura przedsiębiorstw z powiatu </w:t>
      </w:r>
      <w:proofErr w:type="spellStart"/>
      <w:r w:rsidRPr="00F25EBD">
        <w:rPr>
          <w:rFonts w:asciiTheme="majorHAnsi" w:hAnsiTheme="majorHAnsi" w:cstheme="majorHAnsi"/>
        </w:rPr>
        <w:t>piskiego</w:t>
      </w:r>
      <w:proofErr w:type="spellEnd"/>
      <w:r w:rsidRPr="00F25EBD">
        <w:rPr>
          <w:rFonts w:asciiTheme="majorHAnsi" w:hAnsiTheme="majorHAnsi" w:cstheme="majorHAnsi"/>
        </w:rPr>
        <w:t>, w którym nad podmiotami z sekcji przetwórstwa przemysłowego (stanowiącymi tu 6,6% ogółu podmiotów) przewagę miały jednostki zajmujące się działalnością związaną z obsługą rynku nieruchomości (sekcja L</w:t>
      </w:r>
      <w:r w:rsidR="00336D76" w:rsidRPr="00F25EBD">
        <w:rPr>
          <w:rFonts w:asciiTheme="majorHAnsi" w:hAnsiTheme="majorHAnsi" w:cstheme="majorHAnsi"/>
        </w:rPr>
        <w:t xml:space="preserve"> - </w:t>
      </w:r>
      <w:r w:rsidRPr="00F25EBD">
        <w:rPr>
          <w:rFonts w:asciiTheme="majorHAnsi" w:hAnsiTheme="majorHAnsi" w:cstheme="majorHAnsi"/>
        </w:rPr>
        <w:t xml:space="preserve">9,5%). </w:t>
      </w:r>
    </w:p>
    <w:p w14:paraId="79EBBC93" w14:textId="7F5A1C35" w:rsidR="00EA2B5F" w:rsidRPr="00F25EBD" w:rsidRDefault="00EA2B5F" w:rsidP="008A3FED">
      <w:pPr>
        <w:spacing w:line="276" w:lineRule="auto"/>
        <w:jc w:val="both"/>
        <w:rPr>
          <w:rFonts w:asciiTheme="majorHAnsi" w:hAnsiTheme="majorHAnsi" w:cstheme="majorHAnsi"/>
        </w:rPr>
      </w:pPr>
      <w:r w:rsidRPr="00F25EBD">
        <w:rPr>
          <w:rFonts w:asciiTheme="majorHAnsi" w:hAnsiTheme="majorHAnsi" w:cstheme="majorHAnsi"/>
        </w:rPr>
        <w:t>W latach 2010-2019 największy przyrost odnotowała sekcja D</w:t>
      </w:r>
      <w:r w:rsidR="00336D76" w:rsidRPr="00F25EBD">
        <w:rPr>
          <w:rFonts w:asciiTheme="majorHAnsi" w:hAnsiTheme="majorHAnsi" w:cstheme="majorHAnsi"/>
        </w:rPr>
        <w:t xml:space="preserve"> - </w:t>
      </w:r>
      <w:r w:rsidRPr="00F25EBD">
        <w:rPr>
          <w:rFonts w:asciiTheme="majorHAnsi" w:hAnsiTheme="majorHAnsi" w:cstheme="majorHAnsi"/>
        </w:rPr>
        <w:t>wytwarzanie i zaopatrywanie w</w:t>
      </w:r>
      <w:r w:rsidR="007B04A7">
        <w:rPr>
          <w:rFonts w:asciiTheme="majorHAnsi" w:hAnsiTheme="majorHAnsi" w:cstheme="majorHAnsi"/>
        </w:rPr>
        <w:t xml:space="preserve"> </w:t>
      </w:r>
      <w:r w:rsidRPr="00F25EBD">
        <w:rPr>
          <w:rFonts w:asciiTheme="majorHAnsi" w:hAnsiTheme="majorHAnsi" w:cstheme="majorHAnsi"/>
        </w:rPr>
        <w:t>energię elektryczną, gaz, parę wodną, gorącą wodę i powietrze do układów klimatyzacyjnych. Zjawisko to wystąpiło na wszystkich analizowanych poziomach, tj. zarówno w Południowych Mazurach (gdzie średnia zmiana wyniosła 178,8%), jak i przyjętych punktach odniesienia</w:t>
      </w:r>
      <w:r w:rsidR="00336D76" w:rsidRPr="00F25EBD">
        <w:rPr>
          <w:rFonts w:asciiTheme="majorHAnsi" w:hAnsiTheme="majorHAnsi" w:cstheme="majorHAnsi"/>
        </w:rPr>
        <w:t xml:space="preserve"> - </w:t>
      </w:r>
      <w:r w:rsidRPr="00F25EBD">
        <w:rPr>
          <w:rFonts w:asciiTheme="majorHAnsi" w:hAnsiTheme="majorHAnsi" w:cstheme="majorHAnsi"/>
        </w:rPr>
        <w:t>w kraju (134,4%) i</w:t>
      </w:r>
      <w:r w:rsidR="007B04A7">
        <w:rPr>
          <w:rFonts w:asciiTheme="majorHAnsi" w:hAnsiTheme="majorHAnsi" w:cstheme="majorHAnsi"/>
        </w:rPr>
        <w:t xml:space="preserve"> </w:t>
      </w:r>
      <w:r w:rsidRPr="00F25EBD">
        <w:rPr>
          <w:rFonts w:asciiTheme="majorHAnsi" w:hAnsiTheme="majorHAnsi" w:cstheme="majorHAnsi"/>
        </w:rPr>
        <w:t xml:space="preserve">regionie (115,1%). Nieco mniej spektakularnie wyglądał w tym przypadku przyrost wartości bezwzględnych, który wyniósł: 10 podmiotów w powiecie szczycieńskim, 8 w </w:t>
      </w:r>
      <w:proofErr w:type="spellStart"/>
      <w:r w:rsidRPr="00F25EBD">
        <w:rPr>
          <w:rFonts w:asciiTheme="majorHAnsi" w:hAnsiTheme="majorHAnsi" w:cstheme="majorHAnsi"/>
        </w:rPr>
        <w:t>piskim</w:t>
      </w:r>
      <w:proofErr w:type="spellEnd"/>
      <w:r w:rsidRPr="00F25EBD">
        <w:rPr>
          <w:rFonts w:asciiTheme="majorHAnsi" w:hAnsiTheme="majorHAnsi" w:cstheme="majorHAnsi"/>
        </w:rPr>
        <w:t>, 7 w</w:t>
      </w:r>
      <w:r w:rsidR="007B04A7">
        <w:rPr>
          <w:rFonts w:asciiTheme="majorHAnsi" w:hAnsiTheme="majorHAnsi" w:cstheme="majorHAnsi"/>
        </w:rPr>
        <w:t xml:space="preserve"> </w:t>
      </w:r>
      <w:r w:rsidRPr="00F25EBD">
        <w:rPr>
          <w:rFonts w:asciiTheme="majorHAnsi" w:hAnsiTheme="majorHAnsi" w:cstheme="majorHAnsi"/>
        </w:rPr>
        <w:t>działdowskim oraz 5 w</w:t>
      </w:r>
      <w:r w:rsidR="007B04A7">
        <w:rPr>
          <w:rFonts w:asciiTheme="majorHAnsi" w:hAnsiTheme="majorHAnsi" w:cstheme="majorHAnsi"/>
        </w:rPr>
        <w:t xml:space="preserve"> </w:t>
      </w:r>
      <w:r w:rsidRPr="00F25EBD">
        <w:rPr>
          <w:rFonts w:asciiTheme="majorHAnsi" w:hAnsiTheme="majorHAnsi" w:cstheme="majorHAnsi"/>
        </w:rPr>
        <w:t>nidzickim. W</w:t>
      </w:r>
      <w:r w:rsidR="001676E7">
        <w:rPr>
          <w:rFonts w:asciiTheme="majorHAnsi" w:hAnsiTheme="majorHAnsi" w:cstheme="majorHAnsi"/>
        </w:rPr>
        <w:t> </w:t>
      </w:r>
      <w:r w:rsidRPr="00F25EBD">
        <w:rPr>
          <w:rFonts w:asciiTheme="majorHAnsi" w:hAnsiTheme="majorHAnsi" w:cstheme="majorHAnsi"/>
        </w:rPr>
        <w:t>ujęciu bezwzględnym największy przyrost odnotowała sekcja F (budownictwo), w której liczba przedsiębiorstw zwiększyła się łącznie o 657 jednostek. Z kolei największa redukcja dotknęła sekcję G (handel hurtowy i detaliczny; naprawa pojazdów samochodowych, włączając motocykle), z której ubyły łącznie 622 podmioty.</w:t>
      </w:r>
    </w:p>
    <w:p w14:paraId="63AE47B0" w14:textId="77777777" w:rsidR="00EA2B5F" w:rsidRPr="00F25EBD" w:rsidRDefault="00EA2B5F" w:rsidP="00FC7062">
      <w:pPr>
        <w:spacing w:after="0" w:line="276" w:lineRule="auto"/>
        <w:jc w:val="both"/>
        <w:rPr>
          <w:rFonts w:asciiTheme="majorHAnsi" w:hAnsiTheme="majorHAnsi" w:cstheme="majorHAnsi"/>
        </w:rPr>
      </w:pPr>
    </w:p>
    <w:p w14:paraId="3001278B" w14:textId="2A3B0F9D" w:rsidR="00EA2B5F" w:rsidRPr="00F25EBD" w:rsidRDefault="000E5B5A" w:rsidP="000E5B5A">
      <w:pPr>
        <w:pStyle w:val="Nagwek2"/>
        <w:spacing w:before="0"/>
        <w:jc w:val="both"/>
        <w:rPr>
          <w:rFonts w:cstheme="majorHAnsi"/>
        </w:rPr>
      </w:pPr>
      <w:bookmarkStart w:id="35" w:name="_Toc77070607"/>
      <w:r>
        <w:rPr>
          <w:rFonts w:cstheme="majorHAnsi"/>
        </w:rPr>
        <w:t xml:space="preserve">4.2 </w:t>
      </w:r>
      <w:r w:rsidR="00EA2B5F" w:rsidRPr="00F25EBD">
        <w:rPr>
          <w:rFonts w:cstheme="majorHAnsi"/>
        </w:rPr>
        <w:t>Rynek pracy</w:t>
      </w:r>
      <w:bookmarkEnd w:id="35"/>
    </w:p>
    <w:p w14:paraId="1A412564" w14:textId="75A6E65A" w:rsidR="00EA2B5F" w:rsidRPr="00F25EBD" w:rsidRDefault="00EA2B5F" w:rsidP="0054382A">
      <w:pPr>
        <w:spacing w:line="276" w:lineRule="auto"/>
        <w:jc w:val="both"/>
        <w:rPr>
          <w:rFonts w:asciiTheme="majorHAnsi" w:hAnsiTheme="majorHAnsi" w:cstheme="majorHAnsi"/>
        </w:rPr>
      </w:pPr>
      <w:r w:rsidRPr="00F25EBD">
        <w:rPr>
          <w:rFonts w:asciiTheme="majorHAnsi" w:hAnsiTheme="majorHAnsi" w:cstheme="majorHAnsi"/>
        </w:rPr>
        <w:t>Jedną z największych bolączek rynku pracy jest zjawisko bezrobocia polegające na tym, że osoby w</w:t>
      </w:r>
      <w:r w:rsidR="007B04A7">
        <w:rPr>
          <w:rFonts w:asciiTheme="majorHAnsi" w:hAnsiTheme="majorHAnsi" w:cstheme="majorHAnsi"/>
        </w:rPr>
        <w:t xml:space="preserve"> </w:t>
      </w:r>
      <w:r w:rsidRPr="00F25EBD">
        <w:rPr>
          <w:rFonts w:asciiTheme="majorHAnsi" w:hAnsiTheme="majorHAnsi" w:cstheme="majorHAnsi"/>
        </w:rPr>
        <w:t>wieku produkcyjnym zdolne i gotowe do podjęcia pracy na typowych warunkach występujących w</w:t>
      </w:r>
      <w:r w:rsidR="007B04A7">
        <w:rPr>
          <w:rFonts w:asciiTheme="majorHAnsi" w:hAnsiTheme="majorHAnsi" w:cstheme="majorHAnsi"/>
        </w:rPr>
        <w:t xml:space="preserve"> </w:t>
      </w:r>
      <w:r w:rsidRPr="00F25EBD">
        <w:rPr>
          <w:rFonts w:asciiTheme="majorHAnsi" w:hAnsiTheme="majorHAnsi" w:cstheme="majorHAnsi"/>
        </w:rPr>
        <w:t>gospodarce nie znajdują zatrudnienia, pomimo podjęcia poszukiwań. Wywołuje o</w:t>
      </w:r>
      <w:r w:rsidR="001676E7">
        <w:rPr>
          <w:rFonts w:asciiTheme="majorHAnsi" w:hAnsiTheme="majorHAnsi" w:cstheme="majorHAnsi"/>
        </w:rPr>
        <w:t>no negatywne skutki społeczne i </w:t>
      </w:r>
      <w:r w:rsidRPr="00F25EBD">
        <w:rPr>
          <w:rFonts w:asciiTheme="majorHAnsi" w:hAnsiTheme="majorHAnsi" w:cstheme="majorHAnsi"/>
        </w:rPr>
        <w:t>ekonomiczne, mające znaczenie zarówno dla osób bezrobotnych jak i dla gospodarki jako całości. Oznacza nie tylko pogorszenie poziomu życia tej grupy osób, frustrację, wzrost niezadowolenia i rozwój szeregu niekorzystnych zjawisk społecznych, lecz również</w:t>
      </w:r>
      <w:r w:rsidR="00336D76" w:rsidRPr="00F25EBD">
        <w:rPr>
          <w:rFonts w:asciiTheme="majorHAnsi" w:hAnsiTheme="majorHAnsi" w:cstheme="majorHAnsi"/>
        </w:rPr>
        <w:t xml:space="preserve"> - </w:t>
      </w:r>
      <w:r w:rsidRPr="00F25EBD">
        <w:rPr>
          <w:rFonts w:asciiTheme="majorHAnsi" w:hAnsiTheme="majorHAnsi" w:cstheme="majorHAnsi"/>
        </w:rPr>
        <w:t>w</w:t>
      </w:r>
      <w:r w:rsidR="007B04A7">
        <w:rPr>
          <w:rFonts w:asciiTheme="majorHAnsi" w:hAnsiTheme="majorHAnsi" w:cstheme="majorHAnsi"/>
        </w:rPr>
        <w:t xml:space="preserve"> </w:t>
      </w:r>
      <w:r w:rsidRPr="00F25EBD">
        <w:rPr>
          <w:rFonts w:asciiTheme="majorHAnsi" w:hAnsiTheme="majorHAnsi" w:cstheme="majorHAnsi"/>
        </w:rPr>
        <w:t>płaszczyźnie makroekonomicznej</w:t>
      </w:r>
      <w:r w:rsidR="00336D76" w:rsidRPr="00F25EBD">
        <w:rPr>
          <w:rFonts w:asciiTheme="majorHAnsi" w:hAnsiTheme="majorHAnsi" w:cstheme="majorHAnsi"/>
        </w:rPr>
        <w:t xml:space="preserve"> - </w:t>
      </w:r>
      <w:r w:rsidRPr="00F25EBD">
        <w:rPr>
          <w:rFonts w:asciiTheme="majorHAnsi" w:hAnsiTheme="majorHAnsi" w:cstheme="majorHAnsi"/>
        </w:rPr>
        <w:t>niepełne wykorzystanie zasobów siły roboczej i w związku z</w:t>
      </w:r>
      <w:r w:rsidR="007B04A7">
        <w:rPr>
          <w:rFonts w:asciiTheme="majorHAnsi" w:hAnsiTheme="majorHAnsi" w:cstheme="majorHAnsi"/>
        </w:rPr>
        <w:t xml:space="preserve"> </w:t>
      </w:r>
      <w:r w:rsidRPr="00F25EBD">
        <w:rPr>
          <w:rFonts w:asciiTheme="majorHAnsi" w:hAnsiTheme="majorHAnsi" w:cstheme="majorHAnsi"/>
        </w:rPr>
        <w:t>tym produkcję faktyczną niższą od potencjalnej</w:t>
      </w:r>
      <w:r w:rsidRPr="00F25EBD">
        <w:rPr>
          <w:rStyle w:val="Odwoanieprzypisudolnego"/>
          <w:rFonts w:asciiTheme="majorHAnsi" w:hAnsiTheme="majorHAnsi" w:cstheme="majorHAnsi"/>
        </w:rPr>
        <w:footnoteReference w:id="23"/>
      </w:r>
      <w:r w:rsidRPr="00F25EBD">
        <w:rPr>
          <w:rFonts w:asciiTheme="majorHAnsi" w:hAnsiTheme="majorHAnsi" w:cstheme="majorHAnsi"/>
        </w:rPr>
        <w:t>.</w:t>
      </w:r>
    </w:p>
    <w:p w14:paraId="61FBA160" w14:textId="5C8E3BED" w:rsidR="00EA2B5F" w:rsidRPr="00F25EBD" w:rsidRDefault="00EA2B5F" w:rsidP="008A3FED">
      <w:pPr>
        <w:spacing w:line="276" w:lineRule="auto"/>
        <w:jc w:val="both"/>
        <w:rPr>
          <w:rFonts w:asciiTheme="majorHAnsi" w:hAnsiTheme="majorHAnsi" w:cstheme="majorHAnsi"/>
        </w:rPr>
      </w:pPr>
      <w:r w:rsidRPr="00F25EBD">
        <w:rPr>
          <w:rFonts w:asciiTheme="majorHAnsi" w:hAnsiTheme="majorHAnsi" w:cstheme="majorHAnsi"/>
        </w:rPr>
        <w:t>W 2019</w:t>
      </w:r>
      <w:r w:rsidR="00F7062F">
        <w:rPr>
          <w:rFonts w:asciiTheme="majorHAnsi" w:hAnsiTheme="majorHAnsi" w:cstheme="majorHAnsi"/>
        </w:rPr>
        <w:t>r.</w:t>
      </w:r>
      <w:r w:rsidRPr="00F25EBD">
        <w:rPr>
          <w:rFonts w:asciiTheme="majorHAnsi" w:hAnsiTheme="majorHAnsi" w:cstheme="majorHAnsi"/>
        </w:rPr>
        <w:t xml:space="preserve"> wyznaczony dla Południowych Mazur wskaźnik udziału bezrobotnych zarejestrowanych w</w:t>
      </w:r>
      <w:r w:rsidR="001676E7">
        <w:rPr>
          <w:rFonts w:asciiTheme="majorHAnsi" w:hAnsiTheme="majorHAnsi" w:cstheme="majorHAnsi"/>
        </w:rPr>
        <w:t> </w:t>
      </w:r>
      <w:r w:rsidRPr="00F25EBD">
        <w:rPr>
          <w:rFonts w:asciiTheme="majorHAnsi" w:hAnsiTheme="majorHAnsi" w:cstheme="majorHAnsi"/>
        </w:rPr>
        <w:t>liczbie ludności w wieku produkcyjnym wyniósł średnio 5,3%, co było porównywalne z</w:t>
      </w:r>
      <w:r w:rsidR="007B04A7">
        <w:rPr>
          <w:rFonts w:asciiTheme="majorHAnsi" w:hAnsiTheme="majorHAnsi" w:cstheme="majorHAnsi"/>
        </w:rPr>
        <w:t xml:space="preserve"> </w:t>
      </w:r>
      <w:r w:rsidRPr="00F25EBD">
        <w:rPr>
          <w:rFonts w:asciiTheme="majorHAnsi" w:hAnsiTheme="majorHAnsi" w:cstheme="majorHAnsi"/>
        </w:rPr>
        <w:t>sytuacją panującą w regionie (5,2%), ale gorsze od sytuacji ogólnokrajowej (3,8%). Grupę bezrobotnych tworzyły osoby w różnym wieku, przede wszystkim młode, tj. do 35 roku życia. Ich udział w ogólnej liczbie bezrobotnych wyniósł 41,3%, z czego ponad połowa (64,7%) mieściła się w</w:t>
      </w:r>
      <w:r w:rsidR="007B04A7">
        <w:rPr>
          <w:rFonts w:asciiTheme="majorHAnsi" w:hAnsiTheme="majorHAnsi" w:cstheme="majorHAnsi"/>
        </w:rPr>
        <w:t xml:space="preserve"> </w:t>
      </w:r>
      <w:r w:rsidRPr="00F25EBD">
        <w:rPr>
          <w:rFonts w:asciiTheme="majorHAnsi" w:hAnsiTheme="majorHAnsi" w:cstheme="majorHAnsi"/>
        </w:rPr>
        <w:t>przedziale 25-34 lata. Pozytywne jest to, że w ciągu ostatnich 10 lat odsetek osób młodych pozostających bez pracy uległ redukcji, co widoczne było zwłaszcza w grupie poniżej 24 roku życia (w</w:t>
      </w:r>
      <w:r w:rsidR="007B04A7">
        <w:rPr>
          <w:rFonts w:asciiTheme="majorHAnsi" w:hAnsiTheme="majorHAnsi" w:cstheme="majorHAnsi"/>
        </w:rPr>
        <w:t xml:space="preserve"> </w:t>
      </w:r>
      <w:r w:rsidRPr="00F25EBD">
        <w:rPr>
          <w:rFonts w:asciiTheme="majorHAnsi" w:hAnsiTheme="majorHAnsi" w:cstheme="majorHAnsi"/>
        </w:rPr>
        <w:t xml:space="preserve">której wskaźnik udziału zmniejszył się o 8,5 pkt. proc.) Z drugiej strony bardzo niepokojący był dosyć gwałtowny (o 10,2 pkt proc.) wzrost odsetka bezrobotnych w dojrzałym wieku, tj. powyżej 55 roku życia. Większość osób (31,7%) pozostawała bez zatrudnienia przez krótki czas (do 3 miesięcy), choć widoczna była też spora grupa długotrwale bezrobotnych, tzn. powyżej </w:t>
      </w:r>
      <w:r w:rsidR="00E6095D" w:rsidRPr="00E6095D">
        <w:rPr>
          <w:rFonts w:asciiTheme="majorHAnsi" w:hAnsiTheme="majorHAnsi" w:cstheme="majorHAnsi"/>
        </w:rPr>
        <w:t>12 miesięcy w ciągu ostatnich 2 lat, z wyłączeniem okresów odbywania stażu i przygotowania zawodowego dorosłych (20,9%).</w:t>
      </w:r>
      <w:r w:rsidRPr="00F25EBD">
        <w:rPr>
          <w:rFonts w:asciiTheme="majorHAnsi" w:hAnsiTheme="majorHAnsi" w:cstheme="majorHAnsi"/>
        </w:rPr>
        <w:t xml:space="preserve"> Znaczny odsetek pozostających bez pracy posiadał niewielkie doświadczenie, liczone w miesiącach (1-12) (17,8%) lub latach (1-5) (27,9%).</w:t>
      </w:r>
    </w:p>
    <w:p w14:paraId="54CD7759" w14:textId="601033B7" w:rsidR="00EA2B5F" w:rsidRPr="00F25EBD" w:rsidRDefault="00EA2B5F" w:rsidP="008A3FED">
      <w:pPr>
        <w:spacing w:line="276" w:lineRule="auto"/>
        <w:jc w:val="both"/>
        <w:rPr>
          <w:rFonts w:asciiTheme="majorHAnsi" w:hAnsiTheme="majorHAnsi" w:cstheme="majorHAnsi"/>
        </w:rPr>
      </w:pPr>
      <w:r w:rsidRPr="00F25EBD">
        <w:rPr>
          <w:rFonts w:asciiTheme="majorHAnsi" w:hAnsiTheme="majorHAnsi" w:cstheme="majorHAnsi"/>
        </w:rPr>
        <w:t>W</w:t>
      </w:r>
      <w:r w:rsidR="007B04A7">
        <w:rPr>
          <w:rFonts w:asciiTheme="majorHAnsi" w:hAnsiTheme="majorHAnsi" w:cstheme="majorHAnsi"/>
        </w:rPr>
        <w:t xml:space="preserve"> </w:t>
      </w:r>
      <w:r w:rsidRPr="00F25EBD">
        <w:rPr>
          <w:rFonts w:asciiTheme="majorHAnsi" w:hAnsiTheme="majorHAnsi" w:cstheme="majorHAnsi"/>
        </w:rPr>
        <w:t>początkowym okresie analizy, tj. w</w:t>
      </w:r>
      <w:r w:rsidR="007B04A7">
        <w:rPr>
          <w:rFonts w:asciiTheme="majorHAnsi" w:hAnsiTheme="majorHAnsi" w:cstheme="majorHAnsi"/>
        </w:rPr>
        <w:t xml:space="preserve"> </w:t>
      </w:r>
      <w:r w:rsidRPr="00F25EBD">
        <w:rPr>
          <w:rFonts w:asciiTheme="majorHAnsi" w:hAnsiTheme="majorHAnsi" w:cstheme="majorHAnsi"/>
        </w:rPr>
        <w:t xml:space="preserve">latach 2010-2015, najwyższy odsetek osób pozostających bez pracy (w ogóle ludności w wieku produkcyjnym) występował w powiecie </w:t>
      </w:r>
      <w:proofErr w:type="spellStart"/>
      <w:r w:rsidRPr="00F25EBD">
        <w:rPr>
          <w:rFonts w:asciiTheme="majorHAnsi" w:hAnsiTheme="majorHAnsi" w:cstheme="majorHAnsi"/>
        </w:rPr>
        <w:t>piskim</w:t>
      </w:r>
      <w:proofErr w:type="spellEnd"/>
      <w:r w:rsidRPr="00F25EBD">
        <w:rPr>
          <w:rFonts w:asciiTheme="majorHAnsi" w:hAnsiTheme="majorHAnsi" w:cstheme="majorHAnsi"/>
        </w:rPr>
        <w:t>. Średnia wyznaczona dla tego obszaru z lat 2010-2015 wyniosła 15,4% i była o 5,6 pkt. proc. wyższa od minimalnej wartości wskaźnika odnotowanej w powiecie nidzickim. W kolejnym okresie, tj. w latach 2016-2019 pierwszeństwo w zakresie udziału bezrobotnych w liczbie mieszkańców w wieku produkcyjnym przejął powiat działdowski, który ze średnią wynoszącą 9,5% wyprzedził powiat nidzicki o 4,9 pkt. proc. Profile poszczególnych powiatów w 2019</w:t>
      </w:r>
      <w:r w:rsidR="00F7062F">
        <w:rPr>
          <w:rFonts w:asciiTheme="majorHAnsi" w:hAnsiTheme="majorHAnsi" w:cstheme="majorHAnsi"/>
        </w:rPr>
        <w:t>r.</w:t>
      </w:r>
      <w:r w:rsidRPr="00F25EBD">
        <w:rPr>
          <w:rFonts w:asciiTheme="majorHAnsi" w:hAnsiTheme="majorHAnsi" w:cstheme="majorHAnsi"/>
        </w:rPr>
        <w:t xml:space="preserve"> uwzględniające wybrane cechy bezrobocia (wiek bezrobotnego, czas pozostawania bez pracy i doświadczenie zawodowe) przedstawione są w</w:t>
      </w:r>
      <w:r w:rsidR="007B04A7">
        <w:rPr>
          <w:rFonts w:asciiTheme="majorHAnsi" w:hAnsiTheme="majorHAnsi" w:cstheme="majorHAnsi"/>
        </w:rPr>
        <w:t xml:space="preserve"> </w:t>
      </w:r>
      <w:r w:rsidRPr="00F25EBD">
        <w:rPr>
          <w:rFonts w:asciiTheme="majorHAnsi" w:hAnsiTheme="majorHAnsi" w:cstheme="majorHAnsi"/>
        </w:rPr>
        <w:t>poniższej tabeli. W</w:t>
      </w:r>
      <w:r w:rsidR="007B7167">
        <w:rPr>
          <w:rFonts w:asciiTheme="majorHAnsi" w:hAnsiTheme="majorHAnsi" w:cstheme="majorHAnsi"/>
        </w:rPr>
        <w:t> </w:t>
      </w:r>
      <w:r w:rsidRPr="00F25EBD">
        <w:rPr>
          <w:rFonts w:asciiTheme="majorHAnsi" w:hAnsiTheme="majorHAnsi" w:cstheme="majorHAnsi"/>
        </w:rPr>
        <w:t>zestawieniu wzięte zostały pod uwagę tylko te warianty każdej cechy, które uzyskały skrajne wartości wskaźników struktury.</w:t>
      </w:r>
    </w:p>
    <w:p w14:paraId="65462FC4" w14:textId="6374C956" w:rsidR="00EA2B5F" w:rsidRPr="00F25EBD" w:rsidRDefault="00EA2B5F" w:rsidP="000E5B5A">
      <w:pPr>
        <w:pStyle w:val="nad"/>
      </w:pPr>
      <w:bookmarkStart w:id="36" w:name="_Toc81300532"/>
      <w:r w:rsidRPr="00F25EBD">
        <w:t xml:space="preserve">Tabela </w:t>
      </w:r>
      <w:r w:rsidRPr="00F25EBD">
        <w:rPr>
          <w:noProof/>
        </w:rPr>
        <w:fldChar w:fldCharType="begin"/>
      </w:r>
      <w:r w:rsidRPr="00F25EBD">
        <w:rPr>
          <w:noProof/>
        </w:rPr>
        <w:instrText xml:space="preserve"> SEQ Tabela \* ARABIC </w:instrText>
      </w:r>
      <w:r w:rsidRPr="00F25EBD">
        <w:rPr>
          <w:noProof/>
        </w:rPr>
        <w:fldChar w:fldCharType="separate"/>
      </w:r>
      <w:r w:rsidR="006C7815">
        <w:rPr>
          <w:noProof/>
        </w:rPr>
        <w:t>6</w:t>
      </w:r>
      <w:r w:rsidRPr="00F25EBD">
        <w:rPr>
          <w:noProof/>
        </w:rPr>
        <w:fldChar w:fldCharType="end"/>
      </w:r>
      <w:r w:rsidRPr="00F25EBD">
        <w:t>. Wybrane cechy bezrobocia na terenie powiatów Południowych Mazur wyłonione na podstawie wskaźników udziału w ogólnej liczbie bezrobotnych na danym obszarze (2019</w:t>
      </w:r>
      <w:r w:rsidR="00F7062F">
        <w:t>r.</w:t>
      </w:r>
      <w:r w:rsidRPr="00F25EBD">
        <w:t>)</w:t>
      </w:r>
      <w:bookmarkEnd w:id="36"/>
    </w:p>
    <w:tbl>
      <w:tblPr>
        <w:tblW w:w="5000" w:type="pct"/>
        <w:tblLayout w:type="fixed"/>
        <w:tblCellMar>
          <w:left w:w="70" w:type="dxa"/>
          <w:right w:w="70" w:type="dxa"/>
        </w:tblCellMar>
        <w:tblLook w:val="04A0" w:firstRow="1" w:lastRow="0" w:firstColumn="1" w:lastColumn="0" w:noHBand="0" w:noVBand="1"/>
      </w:tblPr>
      <w:tblGrid>
        <w:gridCol w:w="1744"/>
        <w:gridCol w:w="975"/>
        <w:gridCol w:w="1393"/>
        <w:gridCol w:w="837"/>
        <w:gridCol w:w="1533"/>
        <w:gridCol w:w="837"/>
        <w:gridCol w:w="1116"/>
        <w:gridCol w:w="625"/>
      </w:tblGrid>
      <w:tr w:rsidR="00C2211E" w:rsidRPr="00C2211E" w14:paraId="3A35653F" w14:textId="77777777" w:rsidTr="00C2211E">
        <w:trPr>
          <w:trHeight w:val="288"/>
        </w:trPr>
        <w:tc>
          <w:tcPr>
            <w:tcW w:w="962" w:type="pct"/>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vAlign w:val="center"/>
            <w:hideMark/>
          </w:tcPr>
          <w:p w14:paraId="50A36E6F" w14:textId="77777777" w:rsidR="00EA2B5F" w:rsidRPr="00C2211E" w:rsidRDefault="00EA2B5F" w:rsidP="00C2211E">
            <w:pPr>
              <w:spacing w:after="0" w:line="240" w:lineRule="auto"/>
              <w:jc w:val="center"/>
              <w:rPr>
                <w:rFonts w:asciiTheme="majorHAnsi" w:eastAsia="Times New Roman" w:hAnsiTheme="majorHAnsi" w:cstheme="majorHAnsi"/>
                <w:color w:val="FFFFFF" w:themeColor="background1"/>
                <w:sz w:val="20"/>
                <w:szCs w:val="20"/>
                <w:lang w:eastAsia="pl-PL"/>
              </w:rPr>
            </w:pPr>
            <w:r w:rsidRPr="00C2211E">
              <w:rPr>
                <w:rFonts w:asciiTheme="majorHAnsi" w:eastAsia="Times New Roman" w:hAnsiTheme="majorHAnsi" w:cstheme="majorHAnsi"/>
                <w:color w:val="FFFFFF" w:themeColor="background1"/>
                <w:sz w:val="20"/>
                <w:szCs w:val="20"/>
                <w:lang w:eastAsia="pl-PL"/>
              </w:rPr>
              <w:t>Jednostka przestrzenna</w:t>
            </w:r>
          </w:p>
        </w:tc>
        <w:tc>
          <w:tcPr>
            <w:tcW w:w="538" w:type="pct"/>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vAlign w:val="center"/>
            <w:hideMark/>
          </w:tcPr>
          <w:p w14:paraId="28D0784F" w14:textId="77777777" w:rsidR="00EA2B5F" w:rsidRPr="00C2211E" w:rsidRDefault="00EA2B5F" w:rsidP="00C2211E">
            <w:pPr>
              <w:spacing w:after="0" w:line="240" w:lineRule="auto"/>
              <w:jc w:val="center"/>
              <w:rPr>
                <w:rFonts w:asciiTheme="majorHAnsi" w:eastAsia="Times New Roman" w:hAnsiTheme="majorHAnsi" w:cstheme="majorHAnsi"/>
                <w:color w:val="FFFFFF" w:themeColor="background1"/>
                <w:sz w:val="20"/>
                <w:szCs w:val="20"/>
                <w:lang w:eastAsia="pl-PL"/>
              </w:rPr>
            </w:pPr>
            <w:r w:rsidRPr="00C2211E">
              <w:rPr>
                <w:rFonts w:asciiTheme="majorHAnsi" w:eastAsia="Times New Roman" w:hAnsiTheme="majorHAnsi" w:cstheme="majorHAnsi"/>
                <w:color w:val="FFFFFF" w:themeColor="background1"/>
                <w:sz w:val="20"/>
                <w:szCs w:val="20"/>
                <w:lang w:eastAsia="pl-PL"/>
              </w:rPr>
              <w:t xml:space="preserve">Wartość </w:t>
            </w:r>
          </w:p>
        </w:tc>
        <w:tc>
          <w:tcPr>
            <w:tcW w:w="1231"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vAlign w:val="center"/>
            <w:hideMark/>
          </w:tcPr>
          <w:p w14:paraId="60A43C53" w14:textId="77777777" w:rsidR="00EA2B5F" w:rsidRPr="00C2211E" w:rsidRDefault="00EA2B5F" w:rsidP="00C2211E">
            <w:pPr>
              <w:spacing w:after="0" w:line="240" w:lineRule="auto"/>
              <w:jc w:val="center"/>
              <w:rPr>
                <w:rFonts w:asciiTheme="majorHAnsi" w:eastAsia="Times New Roman" w:hAnsiTheme="majorHAnsi" w:cstheme="majorHAnsi"/>
                <w:color w:val="FFFFFF" w:themeColor="background1"/>
                <w:sz w:val="20"/>
                <w:szCs w:val="20"/>
                <w:lang w:eastAsia="pl-PL"/>
              </w:rPr>
            </w:pPr>
            <w:r w:rsidRPr="00C2211E">
              <w:rPr>
                <w:rFonts w:asciiTheme="majorHAnsi" w:eastAsia="Times New Roman" w:hAnsiTheme="majorHAnsi" w:cstheme="majorHAnsi"/>
                <w:color w:val="FFFFFF" w:themeColor="background1"/>
                <w:sz w:val="20"/>
                <w:szCs w:val="20"/>
                <w:lang w:eastAsia="pl-PL"/>
              </w:rPr>
              <w:t>Wiek bezrobotnego</w:t>
            </w:r>
          </w:p>
        </w:tc>
        <w:tc>
          <w:tcPr>
            <w:tcW w:w="1308"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vAlign w:val="center"/>
            <w:hideMark/>
          </w:tcPr>
          <w:p w14:paraId="17AB1CE3" w14:textId="77777777" w:rsidR="00EA2B5F" w:rsidRPr="00C2211E" w:rsidRDefault="00EA2B5F" w:rsidP="00C2211E">
            <w:pPr>
              <w:spacing w:after="0" w:line="240" w:lineRule="auto"/>
              <w:jc w:val="center"/>
              <w:rPr>
                <w:rFonts w:asciiTheme="majorHAnsi" w:eastAsia="Times New Roman" w:hAnsiTheme="majorHAnsi" w:cstheme="majorHAnsi"/>
                <w:color w:val="FFFFFF" w:themeColor="background1"/>
                <w:sz w:val="20"/>
                <w:szCs w:val="20"/>
                <w:lang w:eastAsia="pl-PL"/>
              </w:rPr>
            </w:pPr>
            <w:r w:rsidRPr="00C2211E">
              <w:rPr>
                <w:rFonts w:asciiTheme="majorHAnsi" w:eastAsia="Times New Roman" w:hAnsiTheme="majorHAnsi" w:cstheme="majorHAnsi"/>
                <w:color w:val="FFFFFF" w:themeColor="background1"/>
                <w:sz w:val="20"/>
                <w:szCs w:val="20"/>
                <w:lang w:eastAsia="pl-PL"/>
              </w:rPr>
              <w:t>Czas pozostawania bez pracy</w:t>
            </w:r>
          </w:p>
        </w:tc>
        <w:tc>
          <w:tcPr>
            <w:tcW w:w="961"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vAlign w:val="center"/>
            <w:hideMark/>
          </w:tcPr>
          <w:p w14:paraId="1A7FF70D" w14:textId="77777777" w:rsidR="00EA2B5F" w:rsidRPr="00C2211E" w:rsidRDefault="00EA2B5F" w:rsidP="00C2211E">
            <w:pPr>
              <w:spacing w:after="0" w:line="240" w:lineRule="auto"/>
              <w:jc w:val="center"/>
              <w:rPr>
                <w:rFonts w:asciiTheme="majorHAnsi" w:eastAsia="Times New Roman" w:hAnsiTheme="majorHAnsi" w:cstheme="majorHAnsi"/>
                <w:color w:val="FFFFFF" w:themeColor="background1"/>
                <w:sz w:val="20"/>
                <w:szCs w:val="20"/>
                <w:lang w:eastAsia="pl-PL"/>
              </w:rPr>
            </w:pPr>
            <w:r w:rsidRPr="00C2211E">
              <w:rPr>
                <w:rFonts w:asciiTheme="majorHAnsi" w:eastAsia="Times New Roman" w:hAnsiTheme="majorHAnsi" w:cstheme="majorHAnsi"/>
                <w:color w:val="FFFFFF" w:themeColor="background1"/>
                <w:sz w:val="20"/>
                <w:szCs w:val="20"/>
                <w:lang w:eastAsia="pl-PL"/>
              </w:rPr>
              <w:t>Doświadczenie zawodowe</w:t>
            </w:r>
          </w:p>
        </w:tc>
      </w:tr>
      <w:tr w:rsidR="00EA2B5F" w:rsidRPr="00F25EBD" w14:paraId="4AB33440" w14:textId="77777777" w:rsidTr="00C2211E">
        <w:trPr>
          <w:trHeight w:val="276"/>
        </w:trPr>
        <w:tc>
          <w:tcPr>
            <w:tcW w:w="962" w:type="pct"/>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2D79EC38" w14:textId="77777777" w:rsidR="00EA2B5F" w:rsidRPr="00F25EBD" w:rsidRDefault="00EA2B5F" w:rsidP="00C2211E">
            <w:pPr>
              <w:spacing w:after="0" w:line="240" w:lineRule="auto"/>
              <w:rPr>
                <w:rFonts w:asciiTheme="majorHAnsi" w:eastAsia="Times New Roman" w:hAnsiTheme="majorHAnsi" w:cstheme="majorHAnsi"/>
                <w:color w:val="000000"/>
                <w:sz w:val="20"/>
                <w:szCs w:val="20"/>
                <w:lang w:eastAsia="pl-PL"/>
              </w:rPr>
            </w:pPr>
          </w:p>
        </w:tc>
        <w:tc>
          <w:tcPr>
            <w:tcW w:w="538" w:type="pct"/>
            <w:vMerge/>
            <w:tcBorders>
              <w:top w:val="single" w:sz="4" w:space="0" w:color="FFFFFF" w:themeColor="background1"/>
              <w:left w:val="single" w:sz="4" w:space="0" w:color="FFFFFF" w:themeColor="background1"/>
              <w:right w:val="single" w:sz="4" w:space="0" w:color="FFFFFF" w:themeColor="background1"/>
            </w:tcBorders>
            <w:vAlign w:val="center"/>
            <w:hideMark/>
          </w:tcPr>
          <w:p w14:paraId="3967DB03" w14:textId="77777777" w:rsidR="00EA2B5F" w:rsidRPr="00F25EBD" w:rsidRDefault="00EA2B5F" w:rsidP="00C2211E">
            <w:pPr>
              <w:spacing w:after="0" w:line="240" w:lineRule="auto"/>
              <w:rPr>
                <w:rFonts w:asciiTheme="majorHAnsi" w:eastAsia="Times New Roman" w:hAnsiTheme="majorHAnsi" w:cstheme="majorHAnsi"/>
                <w:color w:val="000000"/>
                <w:sz w:val="20"/>
                <w:szCs w:val="20"/>
                <w:lang w:eastAsia="pl-PL"/>
              </w:rPr>
            </w:pPr>
          </w:p>
        </w:tc>
        <w:tc>
          <w:tcPr>
            <w:tcW w:w="76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EEAF6" w:themeFill="accent1" w:themeFillTint="33"/>
            <w:vAlign w:val="center"/>
            <w:hideMark/>
          </w:tcPr>
          <w:p w14:paraId="6049E48B" w14:textId="77777777" w:rsidR="00EA2B5F" w:rsidRPr="00F25EBD" w:rsidRDefault="00EA2B5F" w:rsidP="00C2211E">
            <w:pPr>
              <w:spacing w:after="0" w:line="240" w:lineRule="auto"/>
              <w:jc w:val="center"/>
              <w:rPr>
                <w:rFonts w:asciiTheme="majorHAnsi" w:eastAsia="Times New Roman" w:hAnsiTheme="majorHAnsi" w:cstheme="majorHAnsi"/>
                <w:i/>
                <w:iCs/>
                <w:color w:val="000000"/>
                <w:sz w:val="18"/>
                <w:szCs w:val="18"/>
                <w:lang w:eastAsia="pl-PL"/>
              </w:rPr>
            </w:pPr>
            <w:r w:rsidRPr="00F25EBD">
              <w:rPr>
                <w:rFonts w:asciiTheme="majorHAnsi" w:eastAsia="Times New Roman" w:hAnsiTheme="majorHAnsi" w:cstheme="majorHAnsi"/>
                <w:i/>
                <w:iCs/>
                <w:color w:val="000000"/>
                <w:sz w:val="18"/>
                <w:szCs w:val="18"/>
                <w:lang w:eastAsia="pl-PL"/>
              </w:rPr>
              <w:t>wariant cechy</w:t>
            </w:r>
          </w:p>
        </w:tc>
        <w:tc>
          <w:tcPr>
            <w:tcW w:w="46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EEAF6" w:themeFill="accent1" w:themeFillTint="33"/>
            <w:vAlign w:val="center"/>
            <w:hideMark/>
          </w:tcPr>
          <w:p w14:paraId="0DD19C44" w14:textId="77777777" w:rsidR="00EA2B5F" w:rsidRPr="00F25EBD" w:rsidRDefault="00EA2B5F" w:rsidP="00C2211E">
            <w:pPr>
              <w:spacing w:after="0" w:line="240" w:lineRule="auto"/>
              <w:jc w:val="center"/>
              <w:rPr>
                <w:rFonts w:asciiTheme="majorHAnsi" w:eastAsia="Times New Roman" w:hAnsiTheme="majorHAnsi" w:cstheme="majorHAnsi"/>
                <w:i/>
                <w:iCs/>
                <w:color w:val="000000"/>
                <w:sz w:val="18"/>
                <w:szCs w:val="18"/>
                <w:lang w:eastAsia="pl-PL"/>
              </w:rPr>
            </w:pPr>
            <w:r w:rsidRPr="00F25EBD">
              <w:rPr>
                <w:rFonts w:asciiTheme="majorHAnsi" w:eastAsia="Times New Roman" w:hAnsiTheme="majorHAnsi" w:cstheme="majorHAnsi"/>
                <w:i/>
                <w:iCs/>
                <w:color w:val="000000"/>
                <w:sz w:val="18"/>
                <w:szCs w:val="18"/>
                <w:lang w:eastAsia="pl-PL"/>
              </w:rPr>
              <w:t>%</w:t>
            </w:r>
          </w:p>
        </w:tc>
        <w:tc>
          <w:tcPr>
            <w:tcW w:w="84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EEAF6" w:themeFill="accent1" w:themeFillTint="33"/>
            <w:vAlign w:val="center"/>
            <w:hideMark/>
          </w:tcPr>
          <w:p w14:paraId="3D64822B" w14:textId="77777777" w:rsidR="00EA2B5F" w:rsidRPr="00F25EBD" w:rsidRDefault="00EA2B5F" w:rsidP="00C2211E">
            <w:pPr>
              <w:spacing w:after="0" w:line="240" w:lineRule="auto"/>
              <w:jc w:val="center"/>
              <w:rPr>
                <w:rFonts w:asciiTheme="majorHAnsi" w:eastAsia="Times New Roman" w:hAnsiTheme="majorHAnsi" w:cstheme="majorHAnsi"/>
                <w:i/>
                <w:iCs/>
                <w:color w:val="000000"/>
                <w:sz w:val="18"/>
                <w:szCs w:val="18"/>
                <w:lang w:eastAsia="pl-PL"/>
              </w:rPr>
            </w:pPr>
            <w:r w:rsidRPr="00F25EBD">
              <w:rPr>
                <w:rFonts w:asciiTheme="majorHAnsi" w:eastAsia="Times New Roman" w:hAnsiTheme="majorHAnsi" w:cstheme="majorHAnsi"/>
                <w:i/>
                <w:iCs/>
                <w:color w:val="000000"/>
                <w:sz w:val="18"/>
                <w:szCs w:val="18"/>
                <w:lang w:eastAsia="pl-PL"/>
              </w:rPr>
              <w:t>wariant cechy</w:t>
            </w:r>
          </w:p>
        </w:tc>
        <w:tc>
          <w:tcPr>
            <w:tcW w:w="46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EEAF6" w:themeFill="accent1" w:themeFillTint="33"/>
            <w:vAlign w:val="center"/>
            <w:hideMark/>
          </w:tcPr>
          <w:p w14:paraId="53E27E91" w14:textId="77777777" w:rsidR="00EA2B5F" w:rsidRPr="00F25EBD" w:rsidRDefault="00EA2B5F" w:rsidP="00C2211E">
            <w:pPr>
              <w:spacing w:after="0" w:line="240" w:lineRule="auto"/>
              <w:jc w:val="center"/>
              <w:rPr>
                <w:rFonts w:asciiTheme="majorHAnsi" w:eastAsia="Times New Roman" w:hAnsiTheme="majorHAnsi" w:cstheme="majorHAnsi"/>
                <w:i/>
                <w:iCs/>
                <w:color w:val="000000"/>
                <w:sz w:val="18"/>
                <w:szCs w:val="18"/>
                <w:lang w:eastAsia="pl-PL"/>
              </w:rPr>
            </w:pPr>
            <w:r w:rsidRPr="00F25EBD">
              <w:rPr>
                <w:rFonts w:asciiTheme="majorHAnsi" w:eastAsia="Times New Roman" w:hAnsiTheme="majorHAnsi" w:cstheme="majorHAnsi"/>
                <w:i/>
                <w:iCs/>
                <w:color w:val="000000"/>
                <w:sz w:val="18"/>
                <w:szCs w:val="18"/>
                <w:lang w:eastAsia="pl-PL"/>
              </w:rPr>
              <w:t>%</w:t>
            </w:r>
          </w:p>
        </w:tc>
        <w:tc>
          <w:tcPr>
            <w:tcW w:w="61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EEAF6" w:themeFill="accent1" w:themeFillTint="33"/>
            <w:vAlign w:val="center"/>
            <w:hideMark/>
          </w:tcPr>
          <w:p w14:paraId="331E5D70" w14:textId="77777777" w:rsidR="00EA2B5F" w:rsidRPr="00F25EBD" w:rsidRDefault="00EA2B5F" w:rsidP="00C2211E">
            <w:pPr>
              <w:spacing w:after="0" w:line="240" w:lineRule="auto"/>
              <w:jc w:val="center"/>
              <w:rPr>
                <w:rFonts w:asciiTheme="majorHAnsi" w:eastAsia="Times New Roman" w:hAnsiTheme="majorHAnsi" w:cstheme="majorHAnsi"/>
                <w:i/>
                <w:iCs/>
                <w:color w:val="000000"/>
                <w:sz w:val="18"/>
                <w:szCs w:val="18"/>
                <w:lang w:eastAsia="pl-PL"/>
              </w:rPr>
            </w:pPr>
            <w:r w:rsidRPr="00F25EBD">
              <w:rPr>
                <w:rFonts w:asciiTheme="majorHAnsi" w:eastAsia="Times New Roman" w:hAnsiTheme="majorHAnsi" w:cstheme="majorHAnsi"/>
                <w:i/>
                <w:iCs/>
                <w:color w:val="000000"/>
                <w:sz w:val="18"/>
                <w:szCs w:val="18"/>
                <w:lang w:eastAsia="pl-PL"/>
              </w:rPr>
              <w:t>wariant cechy</w:t>
            </w:r>
          </w:p>
        </w:tc>
        <w:tc>
          <w:tcPr>
            <w:tcW w:w="34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EEAF6" w:themeFill="accent1" w:themeFillTint="33"/>
            <w:vAlign w:val="center"/>
            <w:hideMark/>
          </w:tcPr>
          <w:p w14:paraId="2EF36695" w14:textId="77777777" w:rsidR="00EA2B5F" w:rsidRPr="00F25EBD" w:rsidRDefault="00EA2B5F" w:rsidP="00C2211E">
            <w:pPr>
              <w:spacing w:after="0" w:line="240" w:lineRule="auto"/>
              <w:jc w:val="center"/>
              <w:rPr>
                <w:rFonts w:asciiTheme="majorHAnsi" w:eastAsia="Times New Roman" w:hAnsiTheme="majorHAnsi" w:cstheme="majorHAnsi"/>
                <w:i/>
                <w:iCs/>
                <w:color w:val="000000"/>
                <w:sz w:val="18"/>
                <w:szCs w:val="18"/>
                <w:lang w:eastAsia="pl-PL"/>
              </w:rPr>
            </w:pPr>
            <w:r w:rsidRPr="00F25EBD">
              <w:rPr>
                <w:rFonts w:asciiTheme="majorHAnsi" w:eastAsia="Times New Roman" w:hAnsiTheme="majorHAnsi" w:cstheme="majorHAnsi"/>
                <w:i/>
                <w:iCs/>
                <w:color w:val="000000"/>
                <w:sz w:val="18"/>
                <w:szCs w:val="18"/>
                <w:lang w:eastAsia="pl-PL"/>
              </w:rPr>
              <w:t>%</w:t>
            </w:r>
          </w:p>
        </w:tc>
      </w:tr>
      <w:tr w:rsidR="00EA2B5F" w:rsidRPr="00F25EBD" w14:paraId="6B7697CD" w14:textId="77777777" w:rsidTr="00C2211E">
        <w:trPr>
          <w:trHeight w:val="288"/>
        </w:trPr>
        <w:tc>
          <w:tcPr>
            <w:tcW w:w="962" w:type="pct"/>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EEAF6" w:themeFill="accent1" w:themeFillTint="33"/>
            <w:vAlign w:val="center"/>
            <w:hideMark/>
          </w:tcPr>
          <w:p w14:paraId="57E85816" w14:textId="77777777" w:rsidR="00EA2B5F" w:rsidRPr="00F25EBD" w:rsidRDefault="00EA2B5F" w:rsidP="00C2211E">
            <w:pPr>
              <w:spacing w:after="0" w:line="240" w:lineRule="auto"/>
              <w:jc w:val="center"/>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Powiat działdowski</w:t>
            </w:r>
          </w:p>
        </w:tc>
        <w:tc>
          <w:tcPr>
            <w:tcW w:w="538" w:type="pct"/>
            <w:tcBorders>
              <w:left w:val="single" w:sz="4" w:space="0" w:color="FFFFFF" w:themeColor="background1"/>
              <w:bottom w:val="single" w:sz="4" w:space="0" w:color="808080" w:themeColor="background1" w:themeShade="80"/>
            </w:tcBorders>
            <w:shd w:val="clear" w:color="auto" w:fill="auto"/>
            <w:noWrap/>
            <w:vAlign w:val="center"/>
            <w:hideMark/>
          </w:tcPr>
          <w:p w14:paraId="07881FDC" w14:textId="77777777" w:rsidR="00EA2B5F" w:rsidRPr="00F25EBD" w:rsidRDefault="00EA2B5F" w:rsidP="00C2211E">
            <w:pPr>
              <w:spacing w:after="0" w:line="240" w:lineRule="auto"/>
              <w:jc w:val="center"/>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max</w:t>
            </w:r>
          </w:p>
        </w:tc>
        <w:tc>
          <w:tcPr>
            <w:tcW w:w="769" w:type="pct"/>
            <w:tcBorders>
              <w:top w:val="single" w:sz="4" w:space="0" w:color="FFFFFF" w:themeColor="background1"/>
              <w:bottom w:val="single" w:sz="4" w:space="0" w:color="808080" w:themeColor="background1" w:themeShade="80"/>
            </w:tcBorders>
            <w:shd w:val="clear" w:color="auto" w:fill="auto"/>
            <w:noWrap/>
            <w:vAlign w:val="center"/>
            <w:hideMark/>
          </w:tcPr>
          <w:p w14:paraId="0C3AE290" w14:textId="77777777" w:rsidR="00EA2B5F" w:rsidRPr="00F25EBD" w:rsidRDefault="00EA2B5F" w:rsidP="00C2211E">
            <w:pPr>
              <w:spacing w:after="0" w:line="240" w:lineRule="auto"/>
              <w:jc w:val="center"/>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25-34 lata</w:t>
            </w:r>
          </w:p>
        </w:tc>
        <w:tc>
          <w:tcPr>
            <w:tcW w:w="462" w:type="pct"/>
            <w:tcBorders>
              <w:top w:val="single" w:sz="4" w:space="0" w:color="FFFFFF" w:themeColor="background1"/>
              <w:bottom w:val="single" w:sz="4" w:space="0" w:color="808080" w:themeColor="background1" w:themeShade="80"/>
            </w:tcBorders>
            <w:shd w:val="clear" w:color="auto" w:fill="auto"/>
            <w:noWrap/>
            <w:vAlign w:val="center"/>
            <w:hideMark/>
          </w:tcPr>
          <w:p w14:paraId="4A126529" w14:textId="77777777" w:rsidR="00EA2B5F" w:rsidRPr="00F25EBD" w:rsidRDefault="00EA2B5F" w:rsidP="00C2211E">
            <w:pPr>
              <w:spacing w:after="0" w:line="240" w:lineRule="auto"/>
              <w:jc w:val="center"/>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27,4</w:t>
            </w:r>
          </w:p>
        </w:tc>
        <w:tc>
          <w:tcPr>
            <w:tcW w:w="846" w:type="pct"/>
            <w:tcBorders>
              <w:top w:val="single" w:sz="4" w:space="0" w:color="FFFFFF" w:themeColor="background1"/>
              <w:bottom w:val="single" w:sz="4" w:space="0" w:color="808080" w:themeColor="background1" w:themeShade="80"/>
            </w:tcBorders>
            <w:shd w:val="clear" w:color="auto" w:fill="auto"/>
            <w:noWrap/>
            <w:vAlign w:val="center"/>
            <w:hideMark/>
          </w:tcPr>
          <w:p w14:paraId="3EBFAE3C" w14:textId="77777777" w:rsidR="00EA2B5F" w:rsidRPr="00F25EBD" w:rsidRDefault="00EA2B5F" w:rsidP="00C2211E">
            <w:pPr>
              <w:spacing w:after="0" w:line="240" w:lineRule="auto"/>
              <w:jc w:val="center"/>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powyżej 24 m-</w:t>
            </w:r>
            <w:proofErr w:type="spellStart"/>
            <w:r w:rsidRPr="00F25EBD">
              <w:rPr>
                <w:rFonts w:asciiTheme="majorHAnsi" w:eastAsia="Times New Roman" w:hAnsiTheme="majorHAnsi" w:cstheme="majorHAnsi"/>
                <w:color w:val="000000"/>
                <w:sz w:val="20"/>
                <w:szCs w:val="20"/>
                <w:lang w:eastAsia="pl-PL"/>
              </w:rPr>
              <w:t>cy</w:t>
            </w:r>
            <w:proofErr w:type="spellEnd"/>
          </w:p>
        </w:tc>
        <w:tc>
          <w:tcPr>
            <w:tcW w:w="462" w:type="pct"/>
            <w:tcBorders>
              <w:top w:val="single" w:sz="4" w:space="0" w:color="FFFFFF" w:themeColor="background1"/>
              <w:bottom w:val="single" w:sz="4" w:space="0" w:color="808080" w:themeColor="background1" w:themeShade="80"/>
            </w:tcBorders>
            <w:shd w:val="clear" w:color="auto" w:fill="auto"/>
            <w:noWrap/>
            <w:vAlign w:val="center"/>
            <w:hideMark/>
          </w:tcPr>
          <w:p w14:paraId="5A8C138E" w14:textId="77777777" w:rsidR="00EA2B5F" w:rsidRPr="00F25EBD" w:rsidRDefault="00EA2B5F" w:rsidP="00C2211E">
            <w:pPr>
              <w:spacing w:after="0" w:line="240" w:lineRule="auto"/>
              <w:jc w:val="center"/>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30,8</w:t>
            </w:r>
          </w:p>
        </w:tc>
        <w:tc>
          <w:tcPr>
            <w:tcW w:w="616" w:type="pct"/>
            <w:tcBorders>
              <w:top w:val="single" w:sz="4" w:space="0" w:color="FFFFFF" w:themeColor="background1"/>
              <w:bottom w:val="single" w:sz="4" w:space="0" w:color="808080" w:themeColor="background1" w:themeShade="80"/>
            </w:tcBorders>
            <w:shd w:val="clear" w:color="auto" w:fill="auto"/>
            <w:noWrap/>
            <w:vAlign w:val="center"/>
            <w:hideMark/>
          </w:tcPr>
          <w:p w14:paraId="4AD70DAB" w14:textId="77777777" w:rsidR="00EA2B5F" w:rsidRPr="00F25EBD" w:rsidRDefault="00EA2B5F" w:rsidP="00C2211E">
            <w:pPr>
              <w:spacing w:after="0" w:line="240" w:lineRule="auto"/>
              <w:jc w:val="center"/>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1-5 lat</w:t>
            </w:r>
          </w:p>
        </w:tc>
        <w:tc>
          <w:tcPr>
            <w:tcW w:w="346" w:type="pct"/>
            <w:tcBorders>
              <w:top w:val="single" w:sz="4" w:space="0" w:color="FFFFFF" w:themeColor="background1"/>
              <w:bottom w:val="single" w:sz="4" w:space="0" w:color="808080" w:themeColor="background1" w:themeShade="80"/>
            </w:tcBorders>
            <w:shd w:val="clear" w:color="auto" w:fill="auto"/>
            <w:noWrap/>
            <w:vAlign w:val="center"/>
            <w:hideMark/>
          </w:tcPr>
          <w:p w14:paraId="37344638" w14:textId="77777777" w:rsidR="00EA2B5F" w:rsidRPr="00F25EBD" w:rsidRDefault="00EA2B5F" w:rsidP="00C2211E">
            <w:pPr>
              <w:spacing w:after="0" w:line="240" w:lineRule="auto"/>
              <w:jc w:val="center"/>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28,2</w:t>
            </w:r>
          </w:p>
        </w:tc>
      </w:tr>
      <w:tr w:rsidR="00EA2B5F" w:rsidRPr="00F25EBD" w14:paraId="1A27682A" w14:textId="77777777" w:rsidTr="00C2211E">
        <w:trPr>
          <w:trHeight w:val="276"/>
        </w:trPr>
        <w:tc>
          <w:tcPr>
            <w:tcW w:w="962" w:type="pct"/>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EEAF6" w:themeFill="accent1" w:themeFillTint="33"/>
            <w:vAlign w:val="center"/>
            <w:hideMark/>
          </w:tcPr>
          <w:p w14:paraId="3FAA7BEC" w14:textId="77777777" w:rsidR="00EA2B5F" w:rsidRPr="00F25EBD" w:rsidRDefault="00EA2B5F" w:rsidP="00C2211E">
            <w:pPr>
              <w:spacing w:after="0" w:line="240" w:lineRule="auto"/>
              <w:rPr>
                <w:rFonts w:asciiTheme="majorHAnsi" w:eastAsia="Times New Roman" w:hAnsiTheme="majorHAnsi" w:cstheme="majorHAnsi"/>
                <w:color w:val="000000"/>
                <w:sz w:val="20"/>
                <w:szCs w:val="20"/>
                <w:lang w:eastAsia="pl-PL"/>
              </w:rPr>
            </w:pPr>
          </w:p>
        </w:tc>
        <w:tc>
          <w:tcPr>
            <w:tcW w:w="538" w:type="pct"/>
            <w:tcBorders>
              <w:top w:val="single" w:sz="4" w:space="0" w:color="808080" w:themeColor="background1" w:themeShade="80"/>
              <w:left w:val="single" w:sz="4" w:space="0" w:color="FFFFFF" w:themeColor="background1"/>
              <w:bottom w:val="single" w:sz="4" w:space="0" w:color="808080" w:themeColor="background1" w:themeShade="80"/>
            </w:tcBorders>
            <w:shd w:val="clear" w:color="auto" w:fill="auto"/>
            <w:noWrap/>
            <w:vAlign w:val="center"/>
            <w:hideMark/>
          </w:tcPr>
          <w:p w14:paraId="0A60EEAB" w14:textId="77777777" w:rsidR="00EA2B5F" w:rsidRPr="00F25EBD" w:rsidRDefault="00EA2B5F" w:rsidP="00C2211E">
            <w:pPr>
              <w:spacing w:after="0" w:line="240" w:lineRule="auto"/>
              <w:jc w:val="center"/>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min</w:t>
            </w:r>
          </w:p>
        </w:tc>
        <w:tc>
          <w:tcPr>
            <w:tcW w:w="769"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43B0D91B" w14:textId="77777777" w:rsidR="00EA2B5F" w:rsidRPr="00F25EBD" w:rsidRDefault="00EA2B5F" w:rsidP="00C2211E">
            <w:pPr>
              <w:spacing w:after="0" w:line="240" w:lineRule="auto"/>
              <w:jc w:val="center"/>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24 lata i mniej</w:t>
            </w:r>
          </w:p>
        </w:tc>
        <w:tc>
          <w:tcPr>
            <w:tcW w:w="462"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7285C97B" w14:textId="77777777" w:rsidR="00EA2B5F" w:rsidRPr="00F25EBD" w:rsidRDefault="00EA2B5F" w:rsidP="00C2211E">
            <w:pPr>
              <w:spacing w:after="0" w:line="240" w:lineRule="auto"/>
              <w:jc w:val="center"/>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14,0</w:t>
            </w:r>
          </w:p>
        </w:tc>
        <w:tc>
          <w:tcPr>
            <w:tcW w:w="846"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118F6A60" w14:textId="77777777" w:rsidR="00EA2B5F" w:rsidRPr="00F25EBD" w:rsidRDefault="00EA2B5F" w:rsidP="00C2211E">
            <w:pPr>
              <w:spacing w:after="0" w:line="240" w:lineRule="auto"/>
              <w:jc w:val="center"/>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3-6 m-</w:t>
            </w:r>
            <w:proofErr w:type="spellStart"/>
            <w:r w:rsidRPr="00F25EBD">
              <w:rPr>
                <w:rFonts w:asciiTheme="majorHAnsi" w:eastAsia="Times New Roman" w:hAnsiTheme="majorHAnsi" w:cstheme="majorHAnsi"/>
                <w:color w:val="000000"/>
                <w:sz w:val="20"/>
                <w:szCs w:val="20"/>
                <w:lang w:eastAsia="pl-PL"/>
              </w:rPr>
              <w:t>cy</w:t>
            </w:r>
            <w:proofErr w:type="spellEnd"/>
          </w:p>
        </w:tc>
        <w:tc>
          <w:tcPr>
            <w:tcW w:w="462"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45F08D90" w14:textId="77777777" w:rsidR="00EA2B5F" w:rsidRPr="00F25EBD" w:rsidRDefault="00EA2B5F" w:rsidP="00C2211E">
            <w:pPr>
              <w:spacing w:after="0" w:line="240" w:lineRule="auto"/>
              <w:jc w:val="center"/>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14,1</w:t>
            </w:r>
          </w:p>
        </w:tc>
        <w:tc>
          <w:tcPr>
            <w:tcW w:w="616"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387398FE" w14:textId="77777777" w:rsidR="00EA2B5F" w:rsidRPr="00F25EBD" w:rsidRDefault="00EA2B5F" w:rsidP="00C2211E">
            <w:pPr>
              <w:spacing w:after="0" w:line="240" w:lineRule="auto"/>
              <w:jc w:val="center"/>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powyżej 30</w:t>
            </w:r>
          </w:p>
        </w:tc>
        <w:tc>
          <w:tcPr>
            <w:tcW w:w="346"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45C10D48" w14:textId="77777777" w:rsidR="00EA2B5F" w:rsidRPr="00F25EBD" w:rsidRDefault="00EA2B5F" w:rsidP="00C2211E">
            <w:pPr>
              <w:spacing w:after="0" w:line="240" w:lineRule="auto"/>
              <w:jc w:val="center"/>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2,3</w:t>
            </w:r>
          </w:p>
        </w:tc>
      </w:tr>
      <w:tr w:rsidR="00EA2B5F" w:rsidRPr="00F25EBD" w14:paraId="63875521" w14:textId="77777777" w:rsidTr="00C2211E">
        <w:trPr>
          <w:trHeight w:val="276"/>
        </w:trPr>
        <w:tc>
          <w:tcPr>
            <w:tcW w:w="962" w:type="pct"/>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EEAF6" w:themeFill="accent1" w:themeFillTint="33"/>
            <w:vAlign w:val="center"/>
            <w:hideMark/>
          </w:tcPr>
          <w:p w14:paraId="74D3C109" w14:textId="77777777" w:rsidR="00EA2B5F" w:rsidRPr="00F25EBD" w:rsidRDefault="00EA2B5F" w:rsidP="00C2211E">
            <w:pPr>
              <w:spacing w:after="0" w:line="240" w:lineRule="auto"/>
              <w:jc w:val="center"/>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Powiat nidzicki</w:t>
            </w:r>
          </w:p>
        </w:tc>
        <w:tc>
          <w:tcPr>
            <w:tcW w:w="538" w:type="pct"/>
            <w:tcBorders>
              <w:top w:val="single" w:sz="4" w:space="0" w:color="808080" w:themeColor="background1" w:themeShade="80"/>
              <w:left w:val="single" w:sz="4" w:space="0" w:color="FFFFFF" w:themeColor="background1"/>
              <w:bottom w:val="single" w:sz="4" w:space="0" w:color="808080" w:themeColor="background1" w:themeShade="80"/>
            </w:tcBorders>
            <w:shd w:val="clear" w:color="auto" w:fill="auto"/>
            <w:noWrap/>
            <w:vAlign w:val="center"/>
            <w:hideMark/>
          </w:tcPr>
          <w:p w14:paraId="7AA175CB" w14:textId="77777777" w:rsidR="00EA2B5F" w:rsidRPr="00F25EBD" w:rsidRDefault="00EA2B5F" w:rsidP="00C2211E">
            <w:pPr>
              <w:spacing w:after="0" w:line="240" w:lineRule="auto"/>
              <w:jc w:val="center"/>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max</w:t>
            </w:r>
          </w:p>
        </w:tc>
        <w:tc>
          <w:tcPr>
            <w:tcW w:w="769"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1F30F2F2" w14:textId="77777777" w:rsidR="00EA2B5F" w:rsidRPr="00F25EBD" w:rsidRDefault="00EA2B5F" w:rsidP="00C2211E">
            <w:pPr>
              <w:spacing w:after="0" w:line="240" w:lineRule="auto"/>
              <w:jc w:val="center"/>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25-34 lata</w:t>
            </w:r>
          </w:p>
        </w:tc>
        <w:tc>
          <w:tcPr>
            <w:tcW w:w="462"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33E4EDAE" w14:textId="77777777" w:rsidR="00EA2B5F" w:rsidRPr="00F25EBD" w:rsidRDefault="00EA2B5F" w:rsidP="00C2211E">
            <w:pPr>
              <w:spacing w:after="0" w:line="240" w:lineRule="auto"/>
              <w:jc w:val="center"/>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28,1</w:t>
            </w:r>
          </w:p>
        </w:tc>
        <w:tc>
          <w:tcPr>
            <w:tcW w:w="846"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707EF5CA" w14:textId="77777777" w:rsidR="00EA2B5F" w:rsidRPr="00F25EBD" w:rsidRDefault="00EA2B5F" w:rsidP="00C2211E">
            <w:pPr>
              <w:spacing w:after="0" w:line="240" w:lineRule="auto"/>
              <w:jc w:val="center"/>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do 3 m-</w:t>
            </w:r>
            <w:proofErr w:type="spellStart"/>
            <w:r w:rsidRPr="00F25EBD">
              <w:rPr>
                <w:rFonts w:asciiTheme="majorHAnsi" w:eastAsia="Times New Roman" w:hAnsiTheme="majorHAnsi" w:cstheme="majorHAnsi"/>
                <w:color w:val="000000"/>
                <w:sz w:val="20"/>
                <w:szCs w:val="20"/>
                <w:lang w:eastAsia="pl-PL"/>
              </w:rPr>
              <w:t>cy</w:t>
            </w:r>
            <w:proofErr w:type="spellEnd"/>
          </w:p>
        </w:tc>
        <w:tc>
          <w:tcPr>
            <w:tcW w:w="462"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51A82E75" w14:textId="77777777" w:rsidR="00EA2B5F" w:rsidRPr="00F25EBD" w:rsidRDefault="00EA2B5F" w:rsidP="00C2211E">
            <w:pPr>
              <w:spacing w:after="0" w:line="240" w:lineRule="auto"/>
              <w:jc w:val="center"/>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36,7</w:t>
            </w:r>
          </w:p>
        </w:tc>
        <w:tc>
          <w:tcPr>
            <w:tcW w:w="616"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3C0B23E2" w14:textId="77777777" w:rsidR="00EA2B5F" w:rsidRPr="00F25EBD" w:rsidRDefault="00EA2B5F" w:rsidP="00C2211E">
            <w:pPr>
              <w:spacing w:after="0" w:line="240" w:lineRule="auto"/>
              <w:jc w:val="center"/>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1-5 lat</w:t>
            </w:r>
          </w:p>
        </w:tc>
        <w:tc>
          <w:tcPr>
            <w:tcW w:w="346"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126C65BA" w14:textId="77777777" w:rsidR="00EA2B5F" w:rsidRPr="00F25EBD" w:rsidRDefault="00EA2B5F" w:rsidP="00C2211E">
            <w:pPr>
              <w:spacing w:after="0" w:line="240" w:lineRule="auto"/>
              <w:jc w:val="center"/>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28,1</w:t>
            </w:r>
          </w:p>
        </w:tc>
      </w:tr>
      <w:tr w:rsidR="00EA2B5F" w:rsidRPr="00F25EBD" w14:paraId="28D7CAEE" w14:textId="77777777" w:rsidTr="00C2211E">
        <w:trPr>
          <w:trHeight w:val="276"/>
        </w:trPr>
        <w:tc>
          <w:tcPr>
            <w:tcW w:w="962" w:type="pct"/>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EEAF6" w:themeFill="accent1" w:themeFillTint="33"/>
            <w:vAlign w:val="center"/>
            <w:hideMark/>
          </w:tcPr>
          <w:p w14:paraId="59D9B48B" w14:textId="77777777" w:rsidR="00EA2B5F" w:rsidRPr="00F25EBD" w:rsidRDefault="00EA2B5F" w:rsidP="00C2211E">
            <w:pPr>
              <w:spacing w:after="0" w:line="240" w:lineRule="auto"/>
              <w:rPr>
                <w:rFonts w:asciiTheme="majorHAnsi" w:eastAsia="Times New Roman" w:hAnsiTheme="majorHAnsi" w:cstheme="majorHAnsi"/>
                <w:color w:val="000000"/>
                <w:sz w:val="20"/>
                <w:szCs w:val="20"/>
                <w:lang w:eastAsia="pl-PL"/>
              </w:rPr>
            </w:pPr>
          </w:p>
        </w:tc>
        <w:tc>
          <w:tcPr>
            <w:tcW w:w="538" w:type="pct"/>
            <w:tcBorders>
              <w:top w:val="single" w:sz="4" w:space="0" w:color="808080" w:themeColor="background1" w:themeShade="80"/>
              <w:left w:val="single" w:sz="4" w:space="0" w:color="FFFFFF" w:themeColor="background1"/>
              <w:bottom w:val="single" w:sz="4" w:space="0" w:color="808080" w:themeColor="background1" w:themeShade="80"/>
            </w:tcBorders>
            <w:shd w:val="clear" w:color="auto" w:fill="auto"/>
            <w:noWrap/>
            <w:vAlign w:val="center"/>
            <w:hideMark/>
          </w:tcPr>
          <w:p w14:paraId="0FF0255F" w14:textId="77777777" w:rsidR="00EA2B5F" w:rsidRPr="00F25EBD" w:rsidRDefault="00EA2B5F" w:rsidP="00C2211E">
            <w:pPr>
              <w:spacing w:after="0" w:line="240" w:lineRule="auto"/>
              <w:jc w:val="center"/>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min</w:t>
            </w:r>
          </w:p>
        </w:tc>
        <w:tc>
          <w:tcPr>
            <w:tcW w:w="769"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0AD65E12" w14:textId="77777777" w:rsidR="00EA2B5F" w:rsidRPr="00F25EBD" w:rsidRDefault="00EA2B5F" w:rsidP="00C2211E">
            <w:pPr>
              <w:spacing w:after="0" w:line="240" w:lineRule="auto"/>
              <w:jc w:val="center"/>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24 lata i mniej</w:t>
            </w:r>
          </w:p>
        </w:tc>
        <w:tc>
          <w:tcPr>
            <w:tcW w:w="462"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5CE380A0" w14:textId="77777777" w:rsidR="00EA2B5F" w:rsidRPr="00F25EBD" w:rsidRDefault="00EA2B5F" w:rsidP="00C2211E">
            <w:pPr>
              <w:spacing w:after="0" w:line="240" w:lineRule="auto"/>
              <w:jc w:val="center"/>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12,9</w:t>
            </w:r>
          </w:p>
        </w:tc>
        <w:tc>
          <w:tcPr>
            <w:tcW w:w="846"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1ECA5AC9" w14:textId="77777777" w:rsidR="00EA2B5F" w:rsidRPr="00F25EBD" w:rsidRDefault="00EA2B5F" w:rsidP="00C2211E">
            <w:pPr>
              <w:spacing w:after="0" w:line="240" w:lineRule="auto"/>
              <w:jc w:val="center"/>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6-12 m-</w:t>
            </w:r>
            <w:proofErr w:type="spellStart"/>
            <w:r w:rsidRPr="00F25EBD">
              <w:rPr>
                <w:rFonts w:asciiTheme="majorHAnsi" w:eastAsia="Times New Roman" w:hAnsiTheme="majorHAnsi" w:cstheme="majorHAnsi"/>
                <w:color w:val="000000"/>
                <w:sz w:val="20"/>
                <w:szCs w:val="20"/>
                <w:lang w:eastAsia="pl-PL"/>
              </w:rPr>
              <w:t>cy</w:t>
            </w:r>
            <w:proofErr w:type="spellEnd"/>
          </w:p>
        </w:tc>
        <w:tc>
          <w:tcPr>
            <w:tcW w:w="462"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540990A2" w14:textId="77777777" w:rsidR="00EA2B5F" w:rsidRPr="00F25EBD" w:rsidRDefault="00EA2B5F" w:rsidP="00C2211E">
            <w:pPr>
              <w:spacing w:after="0" w:line="240" w:lineRule="auto"/>
              <w:jc w:val="center"/>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13,9</w:t>
            </w:r>
          </w:p>
        </w:tc>
        <w:tc>
          <w:tcPr>
            <w:tcW w:w="616"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0DFE78DC" w14:textId="77777777" w:rsidR="00EA2B5F" w:rsidRPr="00F25EBD" w:rsidRDefault="00EA2B5F" w:rsidP="00C2211E">
            <w:pPr>
              <w:spacing w:after="0" w:line="240" w:lineRule="auto"/>
              <w:jc w:val="center"/>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powyżej 30</w:t>
            </w:r>
          </w:p>
        </w:tc>
        <w:tc>
          <w:tcPr>
            <w:tcW w:w="346"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766F59E0" w14:textId="77777777" w:rsidR="00EA2B5F" w:rsidRPr="00F25EBD" w:rsidRDefault="00EA2B5F" w:rsidP="00C2211E">
            <w:pPr>
              <w:spacing w:after="0" w:line="240" w:lineRule="auto"/>
              <w:jc w:val="center"/>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3,1</w:t>
            </w:r>
          </w:p>
        </w:tc>
      </w:tr>
      <w:tr w:rsidR="00EA2B5F" w:rsidRPr="00F25EBD" w14:paraId="12E23B4B" w14:textId="77777777" w:rsidTr="00C2211E">
        <w:trPr>
          <w:trHeight w:val="276"/>
        </w:trPr>
        <w:tc>
          <w:tcPr>
            <w:tcW w:w="962" w:type="pct"/>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EEAF6" w:themeFill="accent1" w:themeFillTint="33"/>
            <w:vAlign w:val="center"/>
            <w:hideMark/>
          </w:tcPr>
          <w:p w14:paraId="7990DD4E" w14:textId="77777777" w:rsidR="00EA2B5F" w:rsidRPr="00F25EBD" w:rsidRDefault="00EA2B5F" w:rsidP="00C2211E">
            <w:pPr>
              <w:spacing w:after="0" w:line="240" w:lineRule="auto"/>
              <w:jc w:val="center"/>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Powiat piski</w:t>
            </w:r>
          </w:p>
        </w:tc>
        <w:tc>
          <w:tcPr>
            <w:tcW w:w="538" w:type="pct"/>
            <w:tcBorders>
              <w:top w:val="single" w:sz="4" w:space="0" w:color="808080" w:themeColor="background1" w:themeShade="80"/>
              <w:left w:val="single" w:sz="4" w:space="0" w:color="FFFFFF" w:themeColor="background1"/>
              <w:bottom w:val="single" w:sz="4" w:space="0" w:color="808080" w:themeColor="background1" w:themeShade="80"/>
            </w:tcBorders>
            <w:shd w:val="clear" w:color="auto" w:fill="auto"/>
            <w:noWrap/>
            <w:vAlign w:val="center"/>
            <w:hideMark/>
          </w:tcPr>
          <w:p w14:paraId="4586F92A" w14:textId="77777777" w:rsidR="00EA2B5F" w:rsidRPr="00F25EBD" w:rsidRDefault="00EA2B5F" w:rsidP="00C2211E">
            <w:pPr>
              <w:spacing w:after="0" w:line="240" w:lineRule="auto"/>
              <w:jc w:val="center"/>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max</w:t>
            </w:r>
          </w:p>
        </w:tc>
        <w:tc>
          <w:tcPr>
            <w:tcW w:w="769"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66119599" w14:textId="77777777" w:rsidR="00EA2B5F" w:rsidRPr="00F25EBD" w:rsidRDefault="00EA2B5F" w:rsidP="00C2211E">
            <w:pPr>
              <w:spacing w:after="0" w:line="240" w:lineRule="auto"/>
              <w:jc w:val="center"/>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25-34 lata</w:t>
            </w:r>
          </w:p>
        </w:tc>
        <w:tc>
          <w:tcPr>
            <w:tcW w:w="462"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4BA50A83" w14:textId="77777777" w:rsidR="00EA2B5F" w:rsidRPr="00F25EBD" w:rsidRDefault="00EA2B5F" w:rsidP="00C2211E">
            <w:pPr>
              <w:spacing w:after="0" w:line="240" w:lineRule="auto"/>
              <w:jc w:val="center"/>
              <w:rPr>
                <w:rFonts w:asciiTheme="majorHAnsi" w:eastAsia="Times New Roman" w:hAnsiTheme="majorHAnsi" w:cstheme="majorHAnsi"/>
                <w:sz w:val="20"/>
                <w:szCs w:val="20"/>
                <w:lang w:eastAsia="pl-PL"/>
              </w:rPr>
            </w:pPr>
            <w:r w:rsidRPr="00F25EBD">
              <w:rPr>
                <w:rFonts w:asciiTheme="majorHAnsi" w:eastAsia="Times New Roman" w:hAnsiTheme="majorHAnsi" w:cstheme="majorHAnsi"/>
                <w:sz w:val="20"/>
                <w:szCs w:val="20"/>
                <w:lang w:eastAsia="pl-PL"/>
              </w:rPr>
              <w:t>26,2</w:t>
            </w:r>
          </w:p>
        </w:tc>
        <w:tc>
          <w:tcPr>
            <w:tcW w:w="846"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15912E11" w14:textId="77777777" w:rsidR="00EA2B5F" w:rsidRPr="00F25EBD" w:rsidRDefault="00EA2B5F" w:rsidP="00C2211E">
            <w:pPr>
              <w:spacing w:after="0" w:line="240" w:lineRule="auto"/>
              <w:jc w:val="center"/>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do 3 m-</w:t>
            </w:r>
            <w:proofErr w:type="spellStart"/>
            <w:r w:rsidRPr="00F25EBD">
              <w:rPr>
                <w:rFonts w:asciiTheme="majorHAnsi" w:eastAsia="Times New Roman" w:hAnsiTheme="majorHAnsi" w:cstheme="majorHAnsi"/>
                <w:color w:val="000000"/>
                <w:sz w:val="20"/>
                <w:szCs w:val="20"/>
                <w:lang w:eastAsia="pl-PL"/>
              </w:rPr>
              <w:t>cy</w:t>
            </w:r>
            <w:proofErr w:type="spellEnd"/>
          </w:p>
        </w:tc>
        <w:tc>
          <w:tcPr>
            <w:tcW w:w="462"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7DA0F9EB" w14:textId="77777777" w:rsidR="00EA2B5F" w:rsidRPr="00F25EBD" w:rsidRDefault="00EA2B5F" w:rsidP="00C2211E">
            <w:pPr>
              <w:spacing w:after="0" w:line="240" w:lineRule="auto"/>
              <w:jc w:val="center"/>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34,4</w:t>
            </w:r>
          </w:p>
        </w:tc>
        <w:tc>
          <w:tcPr>
            <w:tcW w:w="616"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23A0B1F8" w14:textId="77777777" w:rsidR="00EA2B5F" w:rsidRPr="00F25EBD" w:rsidRDefault="00EA2B5F" w:rsidP="00C2211E">
            <w:pPr>
              <w:spacing w:after="0" w:line="240" w:lineRule="auto"/>
              <w:jc w:val="center"/>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1-5 lat</w:t>
            </w:r>
          </w:p>
        </w:tc>
        <w:tc>
          <w:tcPr>
            <w:tcW w:w="346"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66D84BD6" w14:textId="77777777" w:rsidR="00EA2B5F" w:rsidRPr="00F25EBD" w:rsidRDefault="00EA2B5F" w:rsidP="00C2211E">
            <w:pPr>
              <w:spacing w:after="0" w:line="240" w:lineRule="auto"/>
              <w:jc w:val="center"/>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26,4</w:t>
            </w:r>
          </w:p>
        </w:tc>
      </w:tr>
      <w:tr w:rsidR="00EA2B5F" w:rsidRPr="00F25EBD" w14:paraId="5D73B572" w14:textId="77777777" w:rsidTr="00C2211E">
        <w:trPr>
          <w:trHeight w:val="276"/>
        </w:trPr>
        <w:tc>
          <w:tcPr>
            <w:tcW w:w="962" w:type="pct"/>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EEAF6" w:themeFill="accent1" w:themeFillTint="33"/>
            <w:vAlign w:val="center"/>
            <w:hideMark/>
          </w:tcPr>
          <w:p w14:paraId="0C096AF7" w14:textId="77777777" w:rsidR="00EA2B5F" w:rsidRPr="00F25EBD" w:rsidRDefault="00EA2B5F" w:rsidP="00C2211E">
            <w:pPr>
              <w:spacing w:after="0" w:line="240" w:lineRule="auto"/>
              <w:rPr>
                <w:rFonts w:asciiTheme="majorHAnsi" w:eastAsia="Times New Roman" w:hAnsiTheme="majorHAnsi" w:cstheme="majorHAnsi"/>
                <w:color w:val="000000"/>
                <w:sz w:val="20"/>
                <w:szCs w:val="20"/>
                <w:lang w:eastAsia="pl-PL"/>
              </w:rPr>
            </w:pPr>
          </w:p>
        </w:tc>
        <w:tc>
          <w:tcPr>
            <w:tcW w:w="538" w:type="pct"/>
            <w:tcBorders>
              <w:top w:val="single" w:sz="4" w:space="0" w:color="808080" w:themeColor="background1" w:themeShade="80"/>
              <w:left w:val="single" w:sz="4" w:space="0" w:color="FFFFFF" w:themeColor="background1"/>
              <w:bottom w:val="single" w:sz="4" w:space="0" w:color="808080" w:themeColor="background1" w:themeShade="80"/>
            </w:tcBorders>
            <w:shd w:val="clear" w:color="auto" w:fill="auto"/>
            <w:noWrap/>
            <w:vAlign w:val="center"/>
            <w:hideMark/>
          </w:tcPr>
          <w:p w14:paraId="60593A7A" w14:textId="77777777" w:rsidR="00EA2B5F" w:rsidRPr="00F25EBD" w:rsidRDefault="00EA2B5F" w:rsidP="00C2211E">
            <w:pPr>
              <w:spacing w:after="0" w:line="240" w:lineRule="auto"/>
              <w:jc w:val="center"/>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min</w:t>
            </w:r>
          </w:p>
        </w:tc>
        <w:tc>
          <w:tcPr>
            <w:tcW w:w="769"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5A2555BA" w14:textId="77777777" w:rsidR="00EA2B5F" w:rsidRPr="00F25EBD" w:rsidRDefault="00EA2B5F" w:rsidP="00C2211E">
            <w:pPr>
              <w:spacing w:after="0" w:line="240" w:lineRule="auto"/>
              <w:jc w:val="center"/>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24 lata i mniej</w:t>
            </w:r>
          </w:p>
        </w:tc>
        <w:tc>
          <w:tcPr>
            <w:tcW w:w="462"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6556A0A0" w14:textId="77777777" w:rsidR="00EA2B5F" w:rsidRPr="00F25EBD" w:rsidRDefault="00EA2B5F" w:rsidP="00C2211E">
            <w:pPr>
              <w:spacing w:after="0" w:line="240" w:lineRule="auto"/>
              <w:jc w:val="center"/>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13,3</w:t>
            </w:r>
          </w:p>
        </w:tc>
        <w:tc>
          <w:tcPr>
            <w:tcW w:w="846"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475D1515" w14:textId="77777777" w:rsidR="00EA2B5F" w:rsidRPr="00F25EBD" w:rsidRDefault="00EA2B5F" w:rsidP="00C2211E">
            <w:pPr>
              <w:spacing w:after="0" w:line="240" w:lineRule="auto"/>
              <w:jc w:val="center"/>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powyżej 24 m-</w:t>
            </w:r>
            <w:proofErr w:type="spellStart"/>
            <w:r w:rsidRPr="00F25EBD">
              <w:rPr>
                <w:rFonts w:asciiTheme="majorHAnsi" w:eastAsia="Times New Roman" w:hAnsiTheme="majorHAnsi" w:cstheme="majorHAnsi"/>
                <w:color w:val="000000"/>
                <w:sz w:val="20"/>
                <w:szCs w:val="20"/>
                <w:lang w:eastAsia="pl-PL"/>
              </w:rPr>
              <w:t>cy</w:t>
            </w:r>
            <w:proofErr w:type="spellEnd"/>
          </w:p>
        </w:tc>
        <w:tc>
          <w:tcPr>
            <w:tcW w:w="462"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58FEA33D" w14:textId="77777777" w:rsidR="00EA2B5F" w:rsidRPr="00F25EBD" w:rsidRDefault="00EA2B5F" w:rsidP="00C2211E">
            <w:pPr>
              <w:spacing w:after="0" w:line="240" w:lineRule="auto"/>
              <w:jc w:val="center"/>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14,3</w:t>
            </w:r>
          </w:p>
        </w:tc>
        <w:tc>
          <w:tcPr>
            <w:tcW w:w="616"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3BC9487B" w14:textId="77777777" w:rsidR="00EA2B5F" w:rsidRPr="00F25EBD" w:rsidRDefault="00EA2B5F" w:rsidP="00C2211E">
            <w:pPr>
              <w:spacing w:after="0" w:line="240" w:lineRule="auto"/>
              <w:jc w:val="center"/>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powyżej 30</w:t>
            </w:r>
          </w:p>
        </w:tc>
        <w:tc>
          <w:tcPr>
            <w:tcW w:w="346"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33EE710C" w14:textId="77777777" w:rsidR="00EA2B5F" w:rsidRPr="00F25EBD" w:rsidRDefault="00EA2B5F" w:rsidP="00C2211E">
            <w:pPr>
              <w:spacing w:after="0" w:line="240" w:lineRule="auto"/>
              <w:jc w:val="center"/>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3,1</w:t>
            </w:r>
          </w:p>
        </w:tc>
      </w:tr>
      <w:tr w:rsidR="00EA2B5F" w:rsidRPr="00F25EBD" w14:paraId="2A3BD295" w14:textId="77777777" w:rsidTr="00C2211E">
        <w:trPr>
          <w:trHeight w:val="276"/>
        </w:trPr>
        <w:tc>
          <w:tcPr>
            <w:tcW w:w="962" w:type="pct"/>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EEAF6" w:themeFill="accent1" w:themeFillTint="33"/>
            <w:vAlign w:val="center"/>
            <w:hideMark/>
          </w:tcPr>
          <w:p w14:paraId="3B04B952" w14:textId="77777777" w:rsidR="00EA2B5F" w:rsidRPr="00F25EBD" w:rsidRDefault="00EA2B5F" w:rsidP="00C2211E">
            <w:pPr>
              <w:spacing w:after="0" w:line="240" w:lineRule="auto"/>
              <w:jc w:val="center"/>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Powiat szczycieński</w:t>
            </w:r>
          </w:p>
        </w:tc>
        <w:tc>
          <w:tcPr>
            <w:tcW w:w="538" w:type="pct"/>
            <w:tcBorders>
              <w:top w:val="single" w:sz="4" w:space="0" w:color="808080" w:themeColor="background1" w:themeShade="80"/>
              <w:left w:val="single" w:sz="4" w:space="0" w:color="FFFFFF" w:themeColor="background1"/>
              <w:bottom w:val="single" w:sz="4" w:space="0" w:color="808080" w:themeColor="background1" w:themeShade="80"/>
            </w:tcBorders>
            <w:shd w:val="clear" w:color="auto" w:fill="auto"/>
            <w:noWrap/>
            <w:vAlign w:val="center"/>
            <w:hideMark/>
          </w:tcPr>
          <w:p w14:paraId="3F464FA3" w14:textId="77777777" w:rsidR="00EA2B5F" w:rsidRPr="00F25EBD" w:rsidRDefault="00EA2B5F" w:rsidP="00C2211E">
            <w:pPr>
              <w:spacing w:after="0" w:line="240" w:lineRule="auto"/>
              <w:jc w:val="center"/>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max</w:t>
            </w:r>
          </w:p>
        </w:tc>
        <w:tc>
          <w:tcPr>
            <w:tcW w:w="769"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0769F9AF" w14:textId="77777777" w:rsidR="00EA2B5F" w:rsidRPr="00F25EBD" w:rsidRDefault="00EA2B5F" w:rsidP="00C2211E">
            <w:pPr>
              <w:spacing w:after="0" w:line="240" w:lineRule="auto"/>
              <w:jc w:val="center"/>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25-34 lata</w:t>
            </w:r>
          </w:p>
        </w:tc>
        <w:tc>
          <w:tcPr>
            <w:tcW w:w="462"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079C5D68" w14:textId="77777777" w:rsidR="00EA2B5F" w:rsidRPr="00F25EBD" w:rsidRDefault="00EA2B5F" w:rsidP="00C2211E">
            <w:pPr>
              <w:spacing w:after="0" w:line="240" w:lineRule="auto"/>
              <w:jc w:val="center"/>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25,5</w:t>
            </w:r>
          </w:p>
        </w:tc>
        <w:tc>
          <w:tcPr>
            <w:tcW w:w="846"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14B8266A" w14:textId="77777777" w:rsidR="00EA2B5F" w:rsidRPr="00F25EBD" w:rsidRDefault="00EA2B5F" w:rsidP="00C2211E">
            <w:pPr>
              <w:spacing w:after="0" w:line="240" w:lineRule="auto"/>
              <w:jc w:val="center"/>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do 3 m-</w:t>
            </w:r>
            <w:proofErr w:type="spellStart"/>
            <w:r w:rsidRPr="00F25EBD">
              <w:rPr>
                <w:rFonts w:asciiTheme="majorHAnsi" w:eastAsia="Times New Roman" w:hAnsiTheme="majorHAnsi" w:cstheme="majorHAnsi"/>
                <w:color w:val="000000"/>
                <w:sz w:val="20"/>
                <w:szCs w:val="20"/>
                <w:lang w:eastAsia="pl-PL"/>
              </w:rPr>
              <w:t>cy</w:t>
            </w:r>
            <w:proofErr w:type="spellEnd"/>
          </w:p>
        </w:tc>
        <w:tc>
          <w:tcPr>
            <w:tcW w:w="462"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77A67CDB" w14:textId="77777777" w:rsidR="00EA2B5F" w:rsidRPr="00F25EBD" w:rsidRDefault="00EA2B5F" w:rsidP="00C2211E">
            <w:pPr>
              <w:spacing w:after="0" w:line="240" w:lineRule="auto"/>
              <w:jc w:val="center"/>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38,3</w:t>
            </w:r>
          </w:p>
        </w:tc>
        <w:tc>
          <w:tcPr>
            <w:tcW w:w="616"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4910E148" w14:textId="77777777" w:rsidR="00EA2B5F" w:rsidRPr="00F25EBD" w:rsidRDefault="00EA2B5F" w:rsidP="00C2211E">
            <w:pPr>
              <w:spacing w:after="0" w:line="240" w:lineRule="auto"/>
              <w:jc w:val="center"/>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1-5 lat</w:t>
            </w:r>
          </w:p>
        </w:tc>
        <w:tc>
          <w:tcPr>
            <w:tcW w:w="346"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279F6D96" w14:textId="77777777" w:rsidR="00EA2B5F" w:rsidRPr="00F25EBD" w:rsidRDefault="00EA2B5F" w:rsidP="00C2211E">
            <w:pPr>
              <w:spacing w:after="0" w:line="240" w:lineRule="auto"/>
              <w:jc w:val="center"/>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28,8</w:t>
            </w:r>
          </w:p>
        </w:tc>
      </w:tr>
      <w:tr w:rsidR="00EA2B5F" w:rsidRPr="00F25EBD" w14:paraId="0D703833" w14:textId="77777777" w:rsidTr="00C2211E">
        <w:trPr>
          <w:trHeight w:val="276"/>
        </w:trPr>
        <w:tc>
          <w:tcPr>
            <w:tcW w:w="962" w:type="pct"/>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EEAF6" w:themeFill="accent1" w:themeFillTint="33"/>
            <w:vAlign w:val="center"/>
            <w:hideMark/>
          </w:tcPr>
          <w:p w14:paraId="540A75B8" w14:textId="77777777" w:rsidR="00EA2B5F" w:rsidRPr="00F25EBD" w:rsidRDefault="00EA2B5F" w:rsidP="00C2211E">
            <w:pPr>
              <w:spacing w:after="0" w:line="240" w:lineRule="auto"/>
              <w:rPr>
                <w:rFonts w:asciiTheme="majorHAnsi" w:eastAsia="Times New Roman" w:hAnsiTheme="majorHAnsi" w:cstheme="majorHAnsi"/>
                <w:color w:val="000000"/>
                <w:sz w:val="20"/>
                <w:szCs w:val="20"/>
                <w:lang w:eastAsia="pl-PL"/>
              </w:rPr>
            </w:pPr>
          </w:p>
        </w:tc>
        <w:tc>
          <w:tcPr>
            <w:tcW w:w="538" w:type="pct"/>
            <w:tcBorders>
              <w:top w:val="single" w:sz="4" w:space="0" w:color="808080" w:themeColor="background1" w:themeShade="80"/>
              <w:left w:val="single" w:sz="4" w:space="0" w:color="FFFFFF" w:themeColor="background1"/>
              <w:bottom w:val="single" w:sz="4" w:space="0" w:color="808080" w:themeColor="background1" w:themeShade="80"/>
            </w:tcBorders>
            <w:shd w:val="clear" w:color="auto" w:fill="auto"/>
            <w:noWrap/>
            <w:vAlign w:val="center"/>
            <w:hideMark/>
          </w:tcPr>
          <w:p w14:paraId="3052FAA6" w14:textId="77777777" w:rsidR="00EA2B5F" w:rsidRPr="00F25EBD" w:rsidRDefault="00EA2B5F" w:rsidP="00C2211E">
            <w:pPr>
              <w:spacing w:after="0" w:line="240" w:lineRule="auto"/>
              <w:jc w:val="center"/>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min</w:t>
            </w:r>
          </w:p>
        </w:tc>
        <w:tc>
          <w:tcPr>
            <w:tcW w:w="769"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7A666DDF" w14:textId="77777777" w:rsidR="00EA2B5F" w:rsidRPr="00F25EBD" w:rsidRDefault="00EA2B5F" w:rsidP="00C2211E">
            <w:pPr>
              <w:spacing w:after="0" w:line="240" w:lineRule="auto"/>
              <w:jc w:val="center"/>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24 lata i mniej</w:t>
            </w:r>
          </w:p>
        </w:tc>
        <w:tc>
          <w:tcPr>
            <w:tcW w:w="462"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4691ED5C" w14:textId="77777777" w:rsidR="00EA2B5F" w:rsidRPr="00F25EBD" w:rsidRDefault="00EA2B5F" w:rsidP="00C2211E">
            <w:pPr>
              <w:spacing w:after="0" w:line="240" w:lineRule="auto"/>
              <w:jc w:val="center"/>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17,2</w:t>
            </w:r>
          </w:p>
        </w:tc>
        <w:tc>
          <w:tcPr>
            <w:tcW w:w="846"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674BCB3F" w14:textId="77777777" w:rsidR="00EA2B5F" w:rsidRPr="00F25EBD" w:rsidRDefault="00EA2B5F" w:rsidP="00C2211E">
            <w:pPr>
              <w:spacing w:after="0" w:line="240" w:lineRule="auto"/>
              <w:jc w:val="center"/>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powyżej 24 m-</w:t>
            </w:r>
            <w:proofErr w:type="spellStart"/>
            <w:r w:rsidRPr="00F25EBD">
              <w:rPr>
                <w:rFonts w:asciiTheme="majorHAnsi" w:eastAsia="Times New Roman" w:hAnsiTheme="majorHAnsi" w:cstheme="majorHAnsi"/>
                <w:color w:val="000000"/>
                <w:sz w:val="20"/>
                <w:szCs w:val="20"/>
                <w:lang w:eastAsia="pl-PL"/>
              </w:rPr>
              <w:t>cy</w:t>
            </w:r>
            <w:proofErr w:type="spellEnd"/>
          </w:p>
        </w:tc>
        <w:tc>
          <w:tcPr>
            <w:tcW w:w="462"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61C10E25" w14:textId="77777777" w:rsidR="00EA2B5F" w:rsidRPr="00F25EBD" w:rsidRDefault="00EA2B5F" w:rsidP="00C2211E">
            <w:pPr>
              <w:spacing w:after="0" w:line="240" w:lineRule="auto"/>
              <w:jc w:val="center"/>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12,5</w:t>
            </w:r>
          </w:p>
        </w:tc>
        <w:tc>
          <w:tcPr>
            <w:tcW w:w="616"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46488E9D" w14:textId="77777777" w:rsidR="00EA2B5F" w:rsidRPr="00F25EBD" w:rsidRDefault="00EA2B5F" w:rsidP="00C2211E">
            <w:pPr>
              <w:spacing w:after="0" w:line="240" w:lineRule="auto"/>
              <w:jc w:val="center"/>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powyżej 30</w:t>
            </w:r>
          </w:p>
        </w:tc>
        <w:tc>
          <w:tcPr>
            <w:tcW w:w="346"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6893E976" w14:textId="77777777" w:rsidR="00EA2B5F" w:rsidRPr="00F25EBD" w:rsidRDefault="00EA2B5F" w:rsidP="00C2211E">
            <w:pPr>
              <w:spacing w:after="0" w:line="240" w:lineRule="auto"/>
              <w:jc w:val="center"/>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1,9</w:t>
            </w:r>
          </w:p>
        </w:tc>
      </w:tr>
      <w:tr w:rsidR="00EA2B5F" w:rsidRPr="00F25EBD" w14:paraId="00C2F0B1" w14:textId="77777777" w:rsidTr="00C2211E">
        <w:trPr>
          <w:trHeight w:val="276"/>
        </w:trPr>
        <w:tc>
          <w:tcPr>
            <w:tcW w:w="962" w:type="pct"/>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EEAF6" w:themeFill="accent1" w:themeFillTint="33"/>
            <w:vAlign w:val="center"/>
            <w:hideMark/>
          </w:tcPr>
          <w:p w14:paraId="2528B852" w14:textId="77777777" w:rsidR="00EA2B5F" w:rsidRPr="00F25EBD" w:rsidRDefault="00EA2B5F" w:rsidP="00C2211E">
            <w:pPr>
              <w:spacing w:after="0" w:line="240" w:lineRule="auto"/>
              <w:jc w:val="center"/>
              <w:rPr>
                <w:rFonts w:asciiTheme="majorHAnsi" w:eastAsia="Times New Roman" w:hAnsiTheme="majorHAnsi" w:cstheme="majorHAnsi"/>
                <w:sz w:val="20"/>
                <w:szCs w:val="20"/>
                <w:lang w:eastAsia="pl-PL"/>
              </w:rPr>
            </w:pPr>
            <w:r w:rsidRPr="00F25EBD">
              <w:rPr>
                <w:rFonts w:asciiTheme="majorHAnsi" w:eastAsia="Times New Roman" w:hAnsiTheme="majorHAnsi" w:cstheme="majorHAnsi"/>
                <w:sz w:val="20"/>
                <w:szCs w:val="20"/>
                <w:lang w:eastAsia="pl-PL"/>
              </w:rPr>
              <w:t>Południowe Mazury</w:t>
            </w:r>
          </w:p>
        </w:tc>
        <w:tc>
          <w:tcPr>
            <w:tcW w:w="538" w:type="pct"/>
            <w:tcBorders>
              <w:top w:val="single" w:sz="4" w:space="0" w:color="808080" w:themeColor="background1" w:themeShade="80"/>
              <w:left w:val="single" w:sz="4" w:space="0" w:color="FFFFFF" w:themeColor="background1"/>
              <w:bottom w:val="single" w:sz="4" w:space="0" w:color="808080" w:themeColor="background1" w:themeShade="80"/>
            </w:tcBorders>
            <w:shd w:val="clear" w:color="auto" w:fill="auto"/>
            <w:noWrap/>
            <w:vAlign w:val="center"/>
            <w:hideMark/>
          </w:tcPr>
          <w:p w14:paraId="2633F9AF" w14:textId="77777777" w:rsidR="00EA2B5F" w:rsidRPr="00F25EBD" w:rsidRDefault="00EA2B5F" w:rsidP="00C2211E">
            <w:pPr>
              <w:spacing w:after="0" w:line="240" w:lineRule="auto"/>
              <w:jc w:val="center"/>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max</w:t>
            </w:r>
          </w:p>
        </w:tc>
        <w:tc>
          <w:tcPr>
            <w:tcW w:w="769"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32FE6486" w14:textId="77777777" w:rsidR="00EA2B5F" w:rsidRPr="00F25EBD" w:rsidRDefault="00EA2B5F" w:rsidP="00C2211E">
            <w:pPr>
              <w:spacing w:after="0" w:line="240" w:lineRule="auto"/>
              <w:jc w:val="center"/>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25-34 lata</w:t>
            </w:r>
          </w:p>
        </w:tc>
        <w:tc>
          <w:tcPr>
            <w:tcW w:w="462"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64633A20" w14:textId="77777777" w:rsidR="00EA2B5F" w:rsidRPr="00F25EBD" w:rsidRDefault="00EA2B5F" w:rsidP="00C2211E">
            <w:pPr>
              <w:spacing w:after="0" w:line="240" w:lineRule="auto"/>
              <w:jc w:val="center"/>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26,7</w:t>
            </w:r>
          </w:p>
        </w:tc>
        <w:tc>
          <w:tcPr>
            <w:tcW w:w="846"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4DB9C879" w14:textId="77777777" w:rsidR="00EA2B5F" w:rsidRPr="00F25EBD" w:rsidRDefault="00EA2B5F" w:rsidP="00C2211E">
            <w:pPr>
              <w:spacing w:after="0" w:line="240" w:lineRule="auto"/>
              <w:jc w:val="center"/>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do 3 m-</w:t>
            </w:r>
            <w:proofErr w:type="spellStart"/>
            <w:r w:rsidRPr="00F25EBD">
              <w:rPr>
                <w:rFonts w:asciiTheme="majorHAnsi" w:eastAsia="Times New Roman" w:hAnsiTheme="majorHAnsi" w:cstheme="majorHAnsi"/>
                <w:color w:val="000000"/>
                <w:sz w:val="20"/>
                <w:szCs w:val="20"/>
                <w:lang w:eastAsia="pl-PL"/>
              </w:rPr>
              <w:t>cy</w:t>
            </w:r>
            <w:proofErr w:type="spellEnd"/>
          </w:p>
        </w:tc>
        <w:tc>
          <w:tcPr>
            <w:tcW w:w="462"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6B4CA48B" w14:textId="77777777" w:rsidR="00EA2B5F" w:rsidRPr="00F25EBD" w:rsidRDefault="00EA2B5F" w:rsidP="00C2211E">
            <w:pPr>
              <w:spacing w:after="0" w:line="240" w:lineRule="auto"/>
              <w:jc w:val="center"/>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31,7</w:t>
            </w:r>
          </w:p>
        </w:tc>
        <w:tc>
          <w:tcPr>
            <w:tcW w:w="616"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7651597C" w14:textId="77777777" w:rsidR="00EA2B5F" w:rsidRPr="00F25EBD" w:rsidRDefault="00EA2B5F" w:rsidP="00C2211E">
            <w:pPr>
              <w:spacing w:after="0" w:line="240" w:lineRule="auto"/>
              <w:jc w:val="center"/>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1-5 lat</w:t>
            </w:r>
          </w:p>
        </w:tc>
        <w:tc>
          <w:tcPr>
            <w:tcW w:w="346"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29E2E6F4" w14:textId="77777777" w:rsidR="00EA2B5F" w:rsidRPr="00F25EBD" w:rsidRDefault="00EA2B5F" w:rsidP="00C2211E">
            <w:pPr>
              <w:spacing w:after="0" w:line="240" w:lineRule="auto"/>
              <w:jc w:val="center"/>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27,9</w:t>
            </w:r>
          </w:p>
        </w:tc>
      </w:tr>
      <w:tr w:rsidR="00EA2B5F" w:rsidRPr="00F25EBD" w14:paraId="3B7F76ED" w14:textId="77777777" w:rsidTr="00C2211E">
        <w:trPr>
          <w:trHeight w:val="276"/>
        </w:trPr>
        <w:tc>
          <w:tcPr>
            <w:tcW w:w="962" w:type="pct"/>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EEAF6" w:themeFill="accent1" w:themeFillTint="33"/>
            <w:vAlign w:val="center"/>
            <w:hideMark/>
          </w:tcPr>
          <w:p w14:paraId="519865CE" w14:textId="77777777" w:rsidR="00EA2B5F" w:rsidRPr="00F25EBD" w:rsidRDefault="00EA2B5F" w:rsidP="00C2211E">
            <w:pPr>
              <w:spacing w:after="0" w:line="240" w:lineRule="auto"/>
              <w:rPr>
                <w:rFonts w:asciiTheme="majorHAnsi" w:eastAsia="Times New Roman" w:hAnsiTheme="majorHAnsi" w:cstheme="majorHAnsi"/>
                <w:sz w:val="20"/>
                <w:szCs w:val="20"/>
                <w:lang w:eastAsia="pl-PL"/>
              </w:rPr>
            </w:pPr>
          </w:p>
        </w:tc>
        <w:tc>
          <w:tcPr>
            <w:tcW w:w="538" w:type="pct"/>
            <w:tcBorders>
              <w:top w:val="single" w:sz="4" w:space="0" w:color="808080" w:themeColor="background1" w:themeShade="80"/>
              <w:left w:val="single" w:sz="4" w:space="0" w:color="FFFFFF" w:themeColor="background1"/>
              <w:bottom w:val="single" w:sz="4" w:space="0" w:color="808080" w:themeColor="background1" w:themeShade="80"/>
            </w:tcBorders>
            <w:shd w:val="clear" w:color="auto" w:fill="auto"/>
            <w:noWrap/>
            <w:vAlign w:val="center"/>
            <w:hideMark/>
          </w:tcPr>
          <w:p w14:paraId="5E866FD2" w14:textId="77777777" w:rsidR="00EA2B5F" w:rsidRPr="00F25EBD" w:rsidRDefault="00EA2B5F" w:rsidP="00C2211E">
            <w:pPr>
              <w:spacing w:after="0" w:line="240" w:lineRule="auto"/>
              <w:jc w:val="center"/>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min</w:t>
            </w:r>
          </w:p>
        </w:tc>
        <w:tc>
          <w:tcPr>
            <w:tcW w:w="769"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667CA460" w14:textId="77777777" w:rsidR="00EA2B5F" w:rsidRPr="00F25EBD" w:rsidRDefault="00EA2B5F" w:rsidP="00C2211E">
            <w:pPr>
              <w:spacing w:after="0" w:line="240" w:lineRule="auto"/>
              <w:jc w:val="center"/>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24 lata i mniej</w:t>
            </w:r>
          </w:p>
        </w:tc>
        <w:tc>
          <w:tcPr>
            <w:tcW w:w="462"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56BAF5F4" w14:textId="77777777" w:rsidR="00EA2B5F" w:rsidRPr="00F25EBD" w:rsidRDefault="00EA2B5F" w:rsidP="00C2211E">
            <w:pPr>
              <w:spacing w:after="0" w:line="240" w:lineRule="auto"/>
              <w:jc w:val="center"/>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14,6</w:t>
            </w:r>
          </w:p>
        </w:tc>
        <w:tc>
          <w:tcPr>
            <w:tcW w:w="846"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5D7A6DE0" w14:textId="77777777" w:rsidR="00EA2B5F" w:rsidRPr="00F25EBD" w:rsidRDefault="00EA2B5F" w:rsidP="00C2211E">
            <w:pPr>
              <w:spacing w:after="0" w:line="240" w:lineRule="auto"/>
              <w:jc w:val="center"/>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12-24 m-ce</w:t>
            </w:r>
          </w:p>
        </w:tc>
        <w:tc>
          <w:tcPr>
            <w:tcW w:w="462"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3CD61B38" w14:textId="77777777" w:rsidR="00EA2B5F" w:rsidRPr="00F25EBD" w:rsidRDefault="00EA2B5F" w:rsidP="00C2211E">
            <w:pPr>
              <w:spacing w:after="0" w:line="240" w:lineRule="auto"/>
              <w:jc w:val="center"/>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14,4</w:t>
            </w:r>
          </w:p>
        </w:tc>
        <w:tc>
          <w:tcPr>
            <w:tcW w:w="616"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7CDEFBF2" w14:textId="77777777" w:rsidR="00EA2B5F" w:rsidRPr="00F25EBD" w:rsidRDefault="00EA2B5F" w:rsidP="00C2211E">
            <w:pPr>
              <w:spacing w:after="0" w:line="240" w:lineRule="auto"/>
              <w:jc w:val="center"/>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powyżej 30</w:t>
            </w:r>
          </w:p>
        </w:tc>
        <w:tc>
          <w:tcPr>
            <w:tcW w:w="346"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1174737F" w14:textId="77777777" w:rsidR="00EA2B5F" w:rsidRPr="00F25EBD" w:rsidRDefault="00EA2B5F" w:rsidP="00C2211E">
            <w:pPr>
              <w:spacing w:after="0" w:line="240" w:lineRule="auto"/>
              <w:jc w:val="center"/>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2,5</w:t>
            </w:r>
          </w:p>
        </w:tc>
      </w:tr>
    </w:tbl>
    <w:p w14:paraId="240226E2" w14:textId="77777777" w:rsidR="00EA2B5F" w:rsidRPr="00F25EBD" w:rsidRDefault="00EA2B5F" w:rsidP="00C2211E">
      <w:pPr>
        <w:pStyle w:val="rdo"/>
      </w:pPr>
      <w:r w:rsidRPr="00F25EBD">
        <w:t>Źródło: opracowanie własne na podstawie danych BDL.</w:t>
      </w:r>
    </w:p>
    <w:p w14:paraId="1E9B910A" w14:textId="0FDE3FA5" w:rsidR="00EA2B5F" w:rsidRPr="00F25EBD" w:rsidRDefault="00EA2B5F" w:rsidP="00FC7062">
      <w:pPr>
        <w:spacing w:after="0" w:line="276" w:lineRule="auto"/>
        <w:jc w:val="both"/>
        <w:rPr>
          <w:rFonts w:asciiTheme="majorHAnsi" w:hAnsiTheme="majorHAnsi" w:cstheme="majorHAnsi"/>
        </w:rPr>
      </w:pPr>
      <w:r w:rsidRPr="00F25EBD">
        <w:rPr>
          <w:rFonts w:asciiTheme="majorHAnsi" w:hAnsiTheme="majorHAnsi" w:cstheme="majorHAnsi"/>
        </w:rPr>
        <w:t>Sytuacja panująca na rynku pracy jest wypadkową popytu i podaży siły roboczej. Wśród podstawowych determinant tych sił z jednej strony wskazać można kwalifikacje i wykształcenie pracowników, a z drugiej potrzeby i oczekiwania pracodawców. W tym kontekście zawody wykonywane przez mieszkańców Południowych Mazur można pogrupować w trzy kategorie, tj. za</w:t>
      </w:r>
      <w:r w:rsidR="00C2211E">
        <w:rPr>
          <w:rFonts w:asciiTheme="majorHAnsi" w:hAnsiTheme="majorHAnsi" w:cstheme="majorHAnsi"/>
        </w:rPr>
        <w:t>wody deficytowe, zrównoważone i </w:t>
      </w:r>
      <w:r w:rsidRPr="00F25EBD">
        <w:rPr>
          <w:rFonts w:asciiTheme="majorHAnsi" w:hAnsiTheme="majorHAnsi" w:cstheme="majorHAnsi"/>
        </w:rPr>
        <w:t>nadwyżkowe</w:t>
      </w:r>
      <w:r w:rsidRPr="00F25EBD">
        <w:rPr>
          <w:rStyle w:val="Odwoanieprzypisudolnego"/>
          <w:rFonts w:asciiTheme="majorHAnsi" w:hAnsiTheme="majorHAnsi" w:cstheme="majorHAnsi"/>
        </w:rPr>
        <w:footnoteReference w:id="24"/>
      </w:r>
      <w:r w:rsidRPr="00F25EBD">
        <w:rPr>
          <w:rFonts w:asciiTheme="majorHAnsi" w:hAnsiTheme="majorHAnsi" w:cstheme="majorHAnsi"/>
        </w:rPr>
        <w:t>. Lista zawodów, w których w 2020</w:t>
      </w:r>
      <w:r w:rsidR="00F7062F">
        <w:rPr>
          <w:rFonts w:asciiTheme="majorHAnsi" w:hAnsiTheme="majorHAnsi" w:cstheme="majorHAnsi"/>
        </w:rPr>
        <w:t>r.</w:t>
      </w:r>
      <w:r w:rsidRPr="00F25EBD">
        <w:rPr>
          <w:rFonts w:asciiTheme="majorHAnsi" w:hAnsiTheme="majorHAnsi" w:cstheme="majorHAnsi"/>
        </w:rPr>
        <w:t xml:space="preserve"> najtrudniej było pracodawcom znaleźć odpowiednich kandydatów znajduje się w poniższej tabeli. Dodatkowo, kolorem czerwonym wyróżniono te, na które planowany jest duży lub bardzo duży wzrost zapotrzebowania.</w:t>
      </w:r>
    </w:p>
    <w:p w14:paraId="1BB87274" w14:textId="0F64BBE0" w:rsidR="00EA2B5F" w:rsidRPr="00F25EBD" w:rsidRDefault="00EA2B5F" w:rsidP="00C2211E">
      <w:pPr>
        <w:pStyle w:val="nad"/>
      </w:pPr>
      <w:bookmarkStart w:id="37" w:name="_Toc81300533"/>
      <w:r w:rsidRPr="00F25EBD">
        <w:t xml:space="preserve">Tabela </w:t>
      </w:r>
      <w:r w:rsidRPr="00F25EBD">
        <w:rPr>
          <w:noProof/>
        </w:rPr>
        <w:fldChar w:fldCharType="begin"/>
      </w:r>
      <w:r w:rsidRPr="00F25EBD">
        <w:rPr>
          <w:noProof/>
        </w:rPr>
        <w:instrText xml:space="preserve"> SEQ Tabela \* ARABIC </w:instrText>
      </w:r>
      <w:r w:rsidRPr="00F25EBD">
        <w:rPr>
          <w:noProof/>
        </w:rPr>
        <w:fldChar w:fldCharType="separate"/>
      </w:r>
      <w:r w:rsidR="006C7815">
        <w:rPr>
          <w:noProof/>
        </w:rPr>
        <w:t>7</w:t>
      </w:r>
      <w:r w:rsidRPr="00F25EBD">
        <w:rPr>
          <w:noProof/>
        </w:rPr>
        <w:fldChar w:fldCharType="end"/>
      </w:r>
      <w:r w:rsidRPr="00F25EBD">
        <w:t>. Lista zawodów deficytowych w powiatach Południowych Mazur (2020</w:t>
      </w:r>
      <w:r w:rsidR="00F7062F">
        <w:t>r.</w:t>
      </w:r>
      <w:r w:rsidRPr="00F25EBD">
        <w:t>)</w:t>
      </w:r>
      <w:bookmarkEnd w:id="3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178"/>
        <w:gridCol w:w="471"/>
        <w:gridCol w:w="471"/>
        <w:gridCol w:w="471"/>
        <w:gridCol w:w="469"/>
      </w:tblGrid>
      <w:tr w:rsidR="00C2211E" w:rsidRPr="00C2211E" w14:paraId="05883AE2" w14:textId="77777777" w:rsidTr="00C2211E">
        <w:trPr>
          <w:trHeight w:val="276"/>
          <w:tblHeader/>
          <w:jc w:val="center"/>
        </w:trPr>
        <w:tc>
          <w:tcPr>
            <w:tcW w:w="3961" w:type="pct"/>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noWrap/>
            <w:vAlign w:val="center"/>
          </w:tcPr>
          <w:p w14:paraId="0E0B7D99" w14:textId="77777777" w:rsidR="00EA2B5F" w:rsidRPr="00C2211E" w:rsidRDefault="00EA2B5F" w:rsidP="00C2211E">
            <w:pPr>
              <w:spacing w:after="0" w:line="240" w:lineRule="auto"/>
              <w:jc w:val="center"/>
              <w:rPr>
                <w:rFonts w:asciiTheme="majorHAnsi" w:eastAsia="Times New Roman" w:hAnsiTheme="majorHAnsi" w:cstheme="majorHAnsi"/>
                <w:color w:val="FFFFFF" w:themeColor="background1"/>
                <w:sz w:val="20"/>
                <w:szCs w:val="20"/>
                <w:lang w:eastAsia="pl-PL"/>
              </w:rPr>
            </w:pPr>
            <w:r w:rsidRPr="00C2211E">
              <w:rPr>
                <w:rFonts w:asciiTheme="majorHAnsi" w:eastAsia="Times New Roman" w:hAnsiTheme="majorHAnsi" w:cstheme="majorHAnsi"/>
                <w:color w:val="FFFFFF" w:themeColor="background1"/>
                <w:sz w:val="20"/>
                <w:szCs w:val="20"/>
                <w:lang w:eastAsia="pl-PL"/>
              </w:rPr>
              <w:t>Zawody deficytowe</w:t>
            </w:r>
          </w:p>
        </w:tc>
        <w:tc>
          <w:tcPr>
            <w:tcW w:w="1039" w:type="pct"/>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noWrap/>
            <w:vAlign w:val="bottom"/>
          </w:tcPr>
          <w:p w14:paraId="69DE058F" w14:textId="77777777" w:rsidR="00EA2B5F" w:rsidRPr="00C2211E" w:rsidRDefault="00EA2B5F" w:rsidP="00C2211E">
            <w:pPr>
              <w:spacing w:after="0" w:line="240" w:lineRule="auto"/>
              <w:jc w:val="center"/>
              <w:rPr>
                <w:rFonts w:asciiTheme="majorHAnsi" w:eastAsia="Times New Roman" w:hAnsiTheme="majorHAnsi" w:cstheme="majorHAnsi"/>
                <w:color w:val="FFFFFF" w:themeColor="background1"/>
                <w:sz w:val="20"/>
                <w:szCs w:val="20"/>
                <w:lang w:eastAsia="pl-PL"/>
              </w:rPr>
            </w:pPr>
            <w:r w:rsidRPr="00C2211E">
              <w:rPr>
                <w:rFonts w:asciiTheme="majorHAnsi" w:eastAsia="Times New Roman" w:hAnsiTheme="majorHAnsi" w:cstheme="majorHAnsi"/>
                <w:color w:val="FFFFFF" w:themeColor="background1"/>
                <w:sz w:val="20"/>
                <w:szCs w:val="20"/>
                <w:lang w:eastAsia="pl-PL"/>
              </w:rPr>
              <w:t>Powiat</w:t>
            </w:r>
          </w:p>
        </w:tc>
      </w:tr>
      <w:tr w:rsidR="00EA2B5F" w:rsidRPr="00F25EBD" w14:paraId="65151A40" w14:textId="77777777" w:rsidTr="00C2211E">
        <w:trPr>
          <w:trHeight w:val="276"/>
          <w:tblHeader/>
          <w:jc w:val="center"/>
        </w:trPr>
        <w:tc>
          <w:tcPr>
            <w:tcW w:w="3961" w:type="pct"/>
            <w:vMerge/>
            <w:tcBorders>
              <w:top w:val="single" w:sz="4" w:space="0" w:color="FFFFFF" w:themeColor="background1"/>
              <w:left w:val="single" w:sz="4" w:space="0" w:color="FFFFFF" w:themeColor="background1"/>
              <w:bottom w:val="nil"/>
              <w:right w:val="single" w:sz="4" w:space="0" w:color="FFFFFF" w:themeColor="background1"/>
            </w:tcBorders>
            <w:shd w:val="clear" w:color="auto" w:fill="auto"/>
            <w:noWrap/>
            <w:vAlign w:val="bottom"/>
            <w:hideMark/>
          </w:tcPr>
          <w:p w14:paraId="5647B436" w14:textId="77777777" w:rsidR="00EA2B5F" w:rsidRPr="00F25EBD" w:rsidRDefault="00EA2B5F" w:rsidP="00C2211E">
            <w:pPr>
              <w:spacing w:after="0" w:line="240" w:lineRule="auto"/>
              <w:jc w:val="center"/>
              <w:rPr>
                <w:rFonts w:asciiTheme="majorHAnsi" w:eastAsia="Times New Roman" w:hAnsiTheme="majorHAnsi" w:cstheme="majorHAnsi"/>
                <w:color w:val="000000"/>
                <w:sz w:val="20"/>
                <w:szCs w:val="20"/>
                <w:lang w:eastAsia="pl-PL"/>
              </w:rPr>
            </w:pPr>
          </w:p>
        </w:tc>
        <w:tc>
          <w:tcPr>
            <w:tcW w:w="260" w:type="pct"/>
            <w:tcBorders>
              <w:top w:val="single" w:sz="4" w:space="0" w:color="FFFFFF" w:themeColor="background1"/>
              <w:left w:val="single" w:sz="4" w:space="0" w:color="FFFFFF" w:themeColor="background1"/>
              <w:bottom w:val="nil"/>
              <w:right w:val="single" w:sz="4" w:space="0" w:color="FFFFFF" w:themeColor="background1"/>
            </w:tcBorders>
            <w:shd w:val="clear" w:color="auto" w:fill="92D050"/>
            <w:noWrap/>
            <w:vAlign w:val="bottom"/>
            <w:hideMark/>
          </w:tcPr>
          <w:p w14:paraId="17D959BB" w14:textId="77777777" w:rsidR="00EA2B5F" w:rsidRPr="00C2211E" w:rsidRDefault="00EA2B5F" w:rsidP="00C2211E">
            <w:pPr>
              <w:spacing w:after="0" w:line="240" w:lineRule="auto"/>
              <w:jc w:val="center"/>
              <w:rPr>
                <w:rFonts w:asciiTheme="majorHAnsi" w:eastAsia="Times New Roman" w:hAnsiTheme="majorHAnsi" w:cstheme="majorHAnsi"/>
                <w:color w:val="FFFFFF" w:themeColor="background1"/>
                <w:sz w:val="20"/>
                <w:szCs w:val="20"/>
                <w:lang w:eastAsia="pl-PL"/>
              </w:rPr>
            </w:pPr>
            <w:r w:rsidRPr="00C2211E">
              <w:rPr>
                <w:rFonts w:asciiTheme="majorHAnsi" w:eastAsia="Times New Roman" w:hAnsiTheme="majorHAnsi" w:cstheme="majorHAnsi"/>
                <w:color w:val="FFFFFF" w:themeColor="background1"/>
                <w:sz w:val="20"/>
                <w:szCs w:val="20"/>
                <w:lang w:eastAsia="pl-PL"/>
              </w:rPr>
              <w:t>D</w:t>
            </w:r>
          </w:p>
        </w:tc>
        <w:tc>
          <w:tcPr>
            <w:tcW w:w="260" w:type="pct"/>
            <w:tcBorders>
              <w:top w:val="single" w:sz="4" w:space="0" w:color="FFFFFF" w:themeColor="background1"/>
              <w:left w:val="single" w:sz="4" w:space="0" w:color="FFFFFF" w:themeColor="background1"/>
              <w:bottom w:val="nil"/>
              <w:right w:val="single" w:sz="4" w:space="0" w:color="FFFFFF" w:themeColor="background1"/>
            </w:tcBorders>
            <w:shd w:val="clear" w:color="auto" w:fill="92D050"/>
            <w:noWrap/>
            <w:vAlign w:val="bottom"/>
            <w:hideMark/>
          </w:tcPr>
          <w:p w14:paraId="085413CF" w14:textId="77777777" w:rsidR="00EA2B5F" w:rsidRPr="00C2211E" w:rsidRDefault="00EA2B5F" w:rsidP="00C2211E">
            <w:pPr>
              <w:spacing w:after="0" w:line="240" w:lineRule="auto"/>
              <w:jc w:val="center"/>
              <w:rPr>
                <w:rFonts w:asciiTheme="majorHAnsi" w:eastAsia="Times New Roman" w:hAnsiTheme="majorHAnsi" w:cstheme="majorHAnsi"/>
                <w:color w:val="FFFFFF" w:themeColor="background1"/>
                <w:sz w:val="20"/>
                <w:szCs w:val="20"/>
                <w:lang w:eastAsia="pl-PL"/>
              </w:rPr>
            </w:pPr>
            <w:r w:rsidRPr="00C2211E">
              <w:rPr>
                <w:rFonts w:asciiTheme="majorHAnsi" w:eastAsia="Times New Roman" w:hAnsiTheme="majorHAnsi" w:cstheme="majorHAnsi"/>
                <w:color w:val="FFFFFF" w:themeColor="background1"/>
                <w:sz w:val="20"/>
                <w:szCs w:val="20"/>
                <w:lang w:eastAsia="pl-PL"/>
              </w:rPr>
              <w:t>N</w:t>
            </w:r>
          </w:p>
        </w:tc>
        <w:tc>
          <w:tcPr>
            <w:tcW w:w="260" w:type="pct"/>
            <w:tcBorders>
              <w:top w:val="single" w:sz="4" w:space="0" w:color="FFFFFF" w:themeColor="background1"/>
              <w:left w:val="single" w:sz="4" w:space="0" w:color="FFFFFF" w:themeColor="background1"/>
              <w:bottom w:val="nil"/>
              <w:right w:val="single" w:sz="4" w:space="0" w:color="FFFFFF" w:themeColor="background1"/>
            </w:tcBorders>
            <w:shd w:val="clear" w:color="auto" w:fill="92D050"/>
            <w:noWrap/>
            <w:vAlign w:val="bottom"/>
            <w:hideMark/>
          </w:tcPr>
          <w:p w14:paraId="1C889A82" w14:textId="77777777" w:rsidR="00EA2B5F" w:rsidRPr="00C2211E" w:rsidRDefault="00EA2B5F" w:rsidP="00C2211E">
            <w:pPr>
              <w:spacing w:after="0" w:line="240" w:lineRule="auto"/>
              <w:jc w:val="center"/>
              <w:rPr>
                <w:rFonts w:asciiTheme="majorHAnsi" w:eastAsia="Times New Roman" w:hAnsiTheme="majorHAnsi" w:cstheme="majorHAnsi"/>
                <w:color w:val="FFFFFF" w:themeColor="background1"/>
                <w:sz w:val="20"/>
                <w:szCs w:val="20"/>
                <w:lang w:eastAsia="pl-PL"/>
              </w:rPr>
            </w:pPr>
            <w:r w:rsidRPr="00C2211E">
              <w:rPr>
                <w:rFonts w:asciiTheme="majorHAnsi" w:eastAsia="Times New Roman" w:hAnsiTheme="majorHAnsi" w:cstheme="majorHAnsi"/>
                <w:color w:val="FFFFFF" w:themeColor="background1"/>
                <w:sz w:val="20"/>
                <w:szCs w:val="20"/>
                <w:lang w:eastAsia="pl-PL"/>
              </w:rPr>
              <w:t>P</w:t>
            </w:r>
          </w:p>
        </w:tc>
        <w:tc>
          <w:tcPr>
            <w:tcW w:w="260" w:type="pct"/>
            <w:tcBorders>
              <w:top w:val="single" w:sz="4" w:space="0" w:color="FFFFFF" w:themeColor="background1"/>
              <w:left w:val="single" w:sz="4" w:space="0" w:color="FFFFFF" w:themeColor="background1"/>
              <w:bottom w:val="nil"/>
              <w:right w:val="single" w:sz="4" w:space="0" w:color="FFFFFF" w:themeColor="background1"/>
            </w:tcBorders>
            <w:shd w:val="clear" w:color="auto" w:fill="92D050"/>
            <w:noWrap/>
            <w:vAlign w:val="bottom"/>
            <w:hideMark/>
          </w:tcPr>
          <w:p w14:paraId="3F9C2A71" w14:textId="77777777" w:rsidR="00EA2B5F" w:rsidRPr="00C2211E" w:rsidRDefault="00EA2B5F" w:rsidP="00C2211E">
            <w:pPr>
              <w:spacing w:after="0" w:line="240" w:lineRule="auto"/>
              <w:jc w:val="center"/>
              <w:rPr>
                <w:rFonts w:asciiTheme="majorHAnsi" w:eastAsia="Times New Roman" w:hAnsiTheme="majorHAnsi" w:cstheme="majorHAnsi"/>
                <w:color w:val="FFFFFF" w:themeColor="background1"/>
                <w:sz w:val="20"/>
                <w:szCs w:val="20"/>
                <w:lang w:eastAsia="pl-PL"/>
              </w:rPr>
            </w:pPr>
            <w:r w:rsidRPr="00C2211E">
              <w:rPr>
                <w:rFonts w:asciiTheme="majorHAnsi" w:eastAsia="Times New Roman" w:hAnsiTheme="majorHAnsi" w:cstheme="majorHAnsi"/>
                <w:color w:val="FFFFFF" w:themeColor="background1"/>
                <w:sz w:val="20"/>
                <w:szCs w:val="20"/>
                <w:lang w:eastAsia="pl-PL"/>
              </w:rPr>
              <w:t>SZ</w:t>
            </w:r>
          </w:p>
        </w:tc>
      </w:tr>
      <w:tr w:rsidR="00EA2B5F" w:rsidRPr="00F25EBD" w14:paraId="1264D895" w14:textId="77777777" w:rsidTr="00C2211E">
        <w:trPr>
          <w:trHeight w:val="276"/>
          <w:jc w:val="center"/>
        </w:trPr>
        <w:tc>
          <w:tcPr>
            <w:tcW w:w="3961" w:type="pct"/>
            <w:tcBorders>
              <w:top w:val="nil"/>
              <w:left w:val="nil"/>
              <w:bottom w:val="single" w:sz="4" w:space="0" w:color="808080" w:themeColor="background1" w:themeShade="80"/>
              <w:right w:val="nil"/>
            </w:tcBorders>
            <w:shd w:val="clear" w:color="auto" w:fill="auto"/>
            <w:noWrap/>
            <w:vAlign w:val="bottom"/>
            <w:hideMark/>
          </w:tcPr>
          <w:p w14:paraId="759CE3FC" w14:textId="77777777" w:rsidR="00EA2B5F" w:rsidRPr="00F25EBD" w:rsidRDefault="00EA2B5F" w:rsidP="00C2211E">
            <w:pPr>
              <w:spacing w:after="0" w:line="240" w:lineRule="auto"/>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betoniarze i zbrojarze</w:t>
            </w:r>
          </w:p>
        </w:tc>
        <w:tc>
          <w:tcPr>
            <w:tcW w:w="260" w:type="pct"/>
            <w:tcBorders>
              <w:top w:val="nil"/>
              <w:left w:val="nil"/>
              <w:bottom w:val="single" w:sz="4" w:space="0" w:color="808080" w:themeColor="background1" w:themeShade="80"/>
              <w:right w:val="single" w:sz="4" w:space="0" w:color="808080" w:themeColor="background1" w:themeShade="80"/>
            </w:tcBorders>
            <w:shd w:val="clear" w:color="auto" w:fill="auto"/>
            <w:noWrap/>
            <w:vAlign w:val="bottom"/>
            <w:hideMark/>
          </w:tcPr>
          <w:p w14:paraId="1EE3397A" w14:textId="77777777" w:rsidR="00EA2B5F" w:rsidRPr="00F25EBD" w:rsidRDefault="00EA2B5F" w:rsidP="00C2211E">
            <w:pPr>
              <w:spacing w:after="0" w:line="240" w:lineRule="auto"/>
              <w:jc w:val="right"/>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1</w:t>
            </w:r>
          </w:p>
        </w:tc>
        <w:tc>
          <w:tcPr>
            <w:tcW w:w="260" w:type="pct"/>
            <w:tcBorders>
              <w:top w:val="nil"/>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0E20CBC6" w14:textId="77777777" w:rsidR="00EA2B5F" w:rsidRPr="00F25EBD" w:rsidRDefault="00EA2B5F" w:rsidP="00C2211E">
            <w:pPr>
              <w:spacing w:after="0" w:line="240" w:lineRule="auto"/>
              <w:jc w:val="right"/>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1</w:t>
            </w:r>
          </w:p>
        </w:tc>
        <w:tc>
          <w:tcPr>
            <w:tcW w:w="260" w:type="pct"/>
            <w:tcBorders>
              <w:top w:val="nil"/>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1B36253A" w14:textId="77777777" w:rsidR="00EA2B5F" w:rsidRPr="00F25EBD" w:rsidRDefault="00EA2B5F" w:rsidP="00C2211E">
            <w:pPr>
              <w:spacing w:after="0" w:line="240" w:lineRule="auto"/>
              <w:jc w:val="right"/>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1</w:t>
            </w:r>
          </w:p>
        </w:tc>
        <w:tc>
          <w:tcPr>
            <w:tcW w:w="260" w:type="pct"/>
            <w:tcBorders>
              <w:top w:val="nil"/>
              <w:left w:val="single" w:sz="4" w:space="0" w:color="808080" w:themeColor="background1" w:themeShade="80"/>
              <w:bottom w:val="single" w:sz="4" w:space="0" w:color="808080" w:themeColor="background1" w:themeShade="80"/>
              <w:right w:val="nil"/>
            </w:tcBorders>
            <w:shd w:val="clear" w:color="auto" w:fill="auto"/>
            <w:noWrap/>
            <w:vAlign w:val="bottom"/>
            <w:hideMark/>
          </w:tcPr>
          <w:p w14:paraId="073EE1B0" w14:textId="77777777" w:rsidR="00EA2B5F" w:rsidRPr="00F25EBD" w:rsidRDefault="00EA2B5F" w:rsidP="00C2211E">
            <w:pPr>
              <w:spacing w:after="0" w:line="240" w:lineRule="auto"/>
              <w:jc w:val="right"/>
              <w:rPr>
                <w:rFonts w:asciiTheme="majorHAnsi" w:eastAsia="Times New Roman" w:hAnsiTheme="majorHAnsi" w:cstheme="majorHAnsi"/>
                <w:color w:val="000000"/>
                <w:sz w:val="20"/>
                <w:szCs w:val="20"/>
                <w:lang w:eastAsia="pl-PL"/>
              </w:rPr>
            </w:pPr>
          </w:p>
        </w:tc>
      </w:tr>
      <w:tr w:rsidR="00EA2B5F" w:rsidRPr="00F25EBD" w14:paraId="07E95370" w14:textId="77777777" w:rsidTr="00C2211E">
        <w:trPr>
          <w:trHeight w:val="276"/>
          <w:jc w:val="center"/>
        </w:trPr>
        <w:tc>
          <w:tcPr>
            <w:tcW w:w="3961" w:type="pct"/>
            <w:tcBorders>
              <w:top w:val="single" w:sz="4" w:space="0" w:color="808080" w:themeColor="background1" w:themeShade="80"/>
              <w:left w:val="nil"/>
              <w:bottom w:val="single" w:sz="4" w:space="0" w:color="808080" w:themeColor="background1" w:themeShade="80"/>
              <w:right w:val="nil"/>
            </w:tcBorders>
            <w:shd w:val="clear" w:color="auto" w:fill="auto"/>
            <w:noWrap/>
            <w:vAlign w:val="bottom"/>
            <w:hideMark/>
          </w:tcPr>
          <w:p w14:paraId="41D59615" w14:textId="77777777" w:rsidR="00EA2B5F" w:rsidRPr="00F25EBD" w:rsidRDefault="00EA2B5F" w:rsidP="00C2211E">
            <w:pPr>
              <w:spacing w:after="0" w:line="240" w:lineRule="auto"/>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blacharze i lakiernicy samochodowi</w:t>
            </w:r>
          </w:p>
        </w:tc>
        <w:tc>
          <w:tcPr>
            <w:tcW w:w="260"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shd w:val="clear" w:color="auto" w:fill="auto"/>
            <w:noWrap/>
            <w:vAlign w:val="bottom"/>
            <w:hideMark/>
          </w:tcPr>
          <w:p w14:paraId="39EB882F" w14:textId="77777777" w:rsidR="00EA2B5F" w:rsidRPr="00F25EBD" w:rsidRDefault="00EA2B5F" w:rsidP="00C2211E">
            <w:pPr>
              <w:spacing w:after="0" w:line="240" w:lineRule="auto"/>
              <w:rPr>
                <w:rFonts w:asciiTheme="majorHAnsi" w:eastAsia="Times New Roman" w:hAnsiTheme="majorHAnsi" w:cstheme="majorHAnsi"/>
                <w:color w:val="000000"/>
                <w:sz w:val="20"/>
                <w:szCs w:val="20"/>
                <w:lang w:eastAsia="pl-PL"/>
              </w:rPr>
            </w:pPr>
          </w:p>
        </w:tc>
        <w:tc>
          <w:tcPr>
            <w:tcW w:w="26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1BD443C6" w14:textId="77777777" w:rsidR="00EA2B5F" w:rsidRPr="00F25EBD" w:rsidRDefault="00EA2B5F" w:rsidP="00C2211E">
            <w:pPr>
              <w:spacing w:after="0" w:line="240" w:lineRule="auto"/>
              <w:jc w:val="right"/>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1</w:t>
            </w:r>
          </w:p>
        </w:tc>
        <w:tc>
          <w:tcPr>
            <w:tcW w:w="26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3938CE75" w14:textId="77777777" w:rsidR="00EA2B5F" w:rsidRPr="00F25EBD" w:rsidRDefault="00EA2B5F" w:rsidP="00C2211E">
            <w:pPr>
              <w:spacing w:after="0" w:line="240" w:lineRule="auto"/>
              <w:jc w:val="right"/>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1</w:t>
            </w:r>
          </w:p>
        </w:tc>
        <w:tc>
          <w:tcPr>
            <w:tcW w:w="260"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shd w:val="clear" w:color="auto" w:fill="auto"/>
            <w:noWrap/>
            <w:vAlign w:val="bottom"/>
            <w:hideMark/>
          </w:tcPr>
          <w:p w14:paraId="53553BF0" w14:textId="77777777" w:rsidR="00EA2B5F" w:rsidRPr="00F25EBD" w:rsidRDefault="00EA2B5F" w:rsidP="00C2211E">
            <w:pPr>
              <w:spacing w:after="0" w:line="240" w:lineRule="auto"/>
              <w:jc w:val="right"/>
              <w:rPr>
                <w:rFonts w:asciiTheme="majorHAnsi" w:eastAsia="Times New Roman" w:hAnsiTheme="majorHAnsi" w:cstheme="majorHAnsi"/>
                <w:color w:val="000000"/>
                <w:sz w:val="20"/>
                <w:szCs w:val="20"/>
                <w:lang w:eastAsia="pl-PL"/>
              </w:rPr>
            </w:pPr>
          </w:p>
        </w:tc>
      </w:tr>
      <w:tr w:rsidR="00EA2B5F" w:rsidRPr="00F25EBD" w14:paraId="534160EF" w14:textId="77777777" w:rsidTr="00C2211E">
        <w:trPr>
          <w:trHeight w:val="276"/>
          <w:jc w:val="center"/>
        </w:trPr>
        <w:tc>
          <w:tcPr>
            <w:tcW w:w="3961" w:type="pct"/>
            <w:tcBorders>
              <w:top w:val="single" w:sz="4" w:space="0" w:color="808080" w:themeColor="background1" w:themeShade="80"/>
              <w:left w:val="nil"/>
              <w:bottom w:val="single" w:sz="4" w:space="0" w:color="808080" w:themeColor="background1" w:themeShade="80"/>
              <w:right w:val="nil"/>
            </w:tcBorders>
            <w:shd w:val="clear" w:color="auto" w:fill="auto"/>
            <w:noWrap/>
            <w:vAlign w:val="bottom"/>
            <w:hideMark/>
          </w:tcPr>
          <w:p w14:paraId="1D329CB9" w14:textId="77777777" w:rsidR="00EA2B5F" w:rsidRPr="00F25EBD" w:rsidRDefault="00EA2B5F" w:rsidP="00C2211E">
            <w:pPr>
              <w:spacing w:after="0" w:line="240" w:lineRule="auto"/>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brukarze</w:t>
            </w:r>
          </w:p>
        </w:tc>
        <w:tc>
          <w:tcPr>
            <w:tcW w:w="260"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shd w:val="clear" w:color="auto" w:fill="auto"/>
            <w:noWrap/>
            <w:vAlign w:val="bottom"/>
            <w:hideMark/>
          </w:tcPr>
          <w:p w14:paraId="39B31F0D" w14:textId="77777777" w:rsidR="00EA2B5F" w:rsidRPr="00F25EBD" w:rsidRDefault="00EA2B5F" w:rsidP="00C2211E">
            <w:pPr>
              <w:spacing w:after="0" w:line="240" w:lineRule="auto"/>
              <w:rPr>
                <w:rFonts w:asciiTheme="majorHAnsi" w:eastAsia="Times New Roman" w:hAnsiTheme="majorHAnsi" w:cstheme="majorHAnsi"/>
                <w:color w:val="000000"/>
                <w:sz w:val="20"/>
                <w:szCs w:val="20"/>
                <w:lang w:eastAsia="pl-PL"/>
              </w:rPr>
            </w:pPr>
          </w:p>
        </w:tc>
        <w:tc>
          <w:tcPr>
            <w:tcW w:w="26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27BB1841" w14:textId="77777777" w:rsidR="00EA2B5F" w:rsidRPr="00F25EBD" w:rsidRDefault="00EA2B5F" w:rsidP="00C2211E">
            <w:pPr>
              <w:spacing w:after="0" w:line="240" w:lineRule="auto"/>
              <w:jc w:val="right"/>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1</w:t>
            </w:r>
          </w:p>
        </w:tc>
        <w:tc>
          <w:tcPr>
            <w:tcW w:w="26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4F9E49FB" w14:textId="77777777" w:rsidR="00EA2B5F" w:rsidRPr="00F25EBD" w:rsidRDefault="00EA2B5F" w:rsidP="00C2211E">
            <w:pPr>
              <w:spacing w:after="0" w:line="240" w:lineRule="auto"/>
              <w:jc w:val="right"/>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1</w:t>
            </w:r>
          </w:p>
        </w:tc>
        <w:tc>
          <w:tcPr>
            <w:tcW w:w="260"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shd w:val="clear" w:color="auto" w:fill="auto"/>
            <w:noWrap/>
            <w:vAlign w:val="bottom"/>
            <w:hideMark/>
          </w:tcPr>
          <w:p w14:paraId="06891042" w14:textId="77777777" w:rsidR="00EA2B5F" w:rsidRPr="00F25EBD" w:rsidRDefault="00EA2B5F" w:rsidP="00C2211E">
            <w:pPr>
              <w:spacing w:after="0" w:line="240" w:lineRule="auto"/>
              <w:jc w:val="right"/>
              <w:rPr>
                <w:rFonts w:asciiTheme="majorHAnsi" w:eastAsia="Times New Roman" w:hAnsiTheme="majorHAnsi" w:cstheme="majorHAnsi"/>
                <w:color w:val="000000"/>
                <w:sz w:val="20"/>
                <w:szCs w:val="20"/>
                <w:lang w:eastAsia="pl-PL"/>
              </w:rPr>
            </w:pPr>
          </w:p>
        </w:tc>
      </w:tr>
      <w:tr w:rsidR="00EA2B5F" w:rsidRPr="00F25EBD" w14:paraId="3AC17F07" w14:textId="77777777" w:rsidTr="00C2211E">
        <w:trPr>
          <w:trHeight w:val="276"/>
          <w:jc w:val="center"/>
        </w:trPr>
        <w:tc>
          <w:tcPr>
            <w:tcW w:w="3961" w:type="pct"/>
            <w:tcBorders>
              <w:top w:val="single" w:sz="4" w:space="0" w:color="808080" w:themeColor="background1" w:themeShade="80"/>
              <w:left w:val="nil"/>
              <w:bottom w:val="single" w:sz="4" w:space="0" w:color="808080" w:themeColor="background1" w:themeShade="80"/>
              <w:right w:val="nil"/>
            </w:tcBorders>
            <w:shd w:val="clear" w:color="auto" w:fill="auto"/>
            <w:noWrap/>
            <w:vAlign w:val="bottom"/>
            <w:hideMark/>
          </w:tcPr>
          <w:p w14:paraId="0E308A11" w14:textId="77777777" w:rsidR="00EA2B5F" w:rsidRPr="00F25EBD" w:rsidRDefault="00EA2B5F" w:rsidP="00C2211E">
            <w:pPr>
              <w:spacing w:after="0" w:line="240" w:lineRule="auto"/>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cieśle i stolarze budowlani</w:t>
            </w:r>
          </w:p>
        </w:tc>
        <w:tc>
          <w:tcPr>
            <w:tcW w:w="260"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shd w:val="clear" w:color="auto" w:fill="auto"/>
            <w:noWrap/>
            <w:vAlign w:val="bottom"/>
            <w:hideMark/>
          </w:tcPr>
          <w:p w14:paraId="772D6E76" w14:textId="77777777" w:rsidR="00EA2B5F" w:rsidRPr="00F25EBD" w:rsidRDefault="00EA2B5F" w:rsidP="00C2211E">
            <w:pPr>
              <w:spacing w:after="0" w:line="240" w:lineRule="auto"/>
              <w:jc w:val="right"/>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1</w:t>
            </w:r>
          </w:p>
        </w:tc>
        <w:tc>
          <w:tcPr>
            <w:tcW w:w="26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24F39F3A" w14:textId="77777777" w:rsidR="00EA2B5F" w:rsidRPr="00F25EBD" w:rsidRDefault="00EA2B5F" w:rsidP="00C2211E">
            <w:pPr>
              <w:spacing w:after="0" w:line="240" w:lineRule="auto"/>
              <w:jc w:val="right"/>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1</w:t>
            </w:r>
          </w:p>
        </w:tc>
        <w:tc>
          <w:tcPr>
            <w:tcW w:w="26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31303F60" w14:textId="77777777" w:rsidR="00EA2B5F" w:rsidRPr="00F25EBD" w:rsidRDefault="00EA2B5F" w:rsidP="00C2211E">
            <w:pPr>
              <w:spacing w:after="0" w:line="240" w:lineRule="auto"/>
              <w:jc w:val="right"/>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1</w:t>
            </w:r>
          </w:p>
        </w:tc>
        <w:tc>
          <w:tcPr>
            <w:tcW w:w="260"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shd w:val="clear" w:color="auto" w:fill="auto"/>
            <w:noWrap/>
            <w:vAlign w:val="bottom"/>
            <w:hideMark/>
          </w:tcPr>
          <w:p w14:paraId="22FC0E68" w14:textId="77777777" w:rsidR="00EA2B5F" w:rsidRPr="00F25EBD" w:rsidRDefault="00EA2B5F" w:rsidP="00C2211E">
            <w:pPr>
              <w:spacing w:after="0" w:line="240" w:lineRule="auto"/>
              <w:jc w:val="right"/>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1</w:t>
            </w:r>
          </w:p>
        </w:tc>
      </w:tr>
      <w:tr w:rsidR="00EA2B5F" w:rsidRPr="00F25EBD" w14:paraId="75C3372D" w14:textId="77777777" w:rsidTr="00C2211E">
        <w:trPr>
          <w:trHeight w:val="276"/>
          <w:jc w:val="center"/>
        </w:trPr>
        <w:tc>
          <w:tcPr>
            <w:tcW w:w="3961" w:type="pct"/>
            <w:tcBorders>
              <w:top w:val="single" w:sz="4" w:space="0" w:color="808080" w:themeColor="background1" w:themeShade="80"/>
              <w:left w:val="nil"/>
              <w:bottom w:val="single" w:sz="4" w:space="0" w:color="808080" w:themeColor="background1" w:themeShade="80"/>
              <w:right w:val="nil"/>
            </w:tcBorders>
            <w:shd w:val="clear" w:color="auto" w:fill="auto"/>
            <w:noWrap/>
            <w:vAlign w:val="bottom"/>
            <w:hideMark/>
          </w:tcPr>
          <w:p w14:paraId="2C3301D1" w14:textId="77777777" w:rsidR="00EA2B5F" w:rsidRPr="00F25EBD" w:rsidRDefault="00EA2B5F" w:rsidP="00C2211E">
            <w:pPr>
              <w:spacing w:after="0" w:line="240" w:lineRule="auto"/>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cukiernicy</w:t>
            </w:r>
          </w:p>
        </w:tc>
        <w:tc>
          <w:tcPr>
            <w:tcW w:w="260"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shd w:val="clear" w:color="auto" w:fill="auto"/>
            <w:noWrap/>
            <w:vAlign w:val="bottom"/>
            <w:hideMark/>
          </w:tcPr>
          <w:p w14:paraId="3BD97356" w14:textId="77777777" w:rsidR="00EA2B5F" w:rsidRPr="00F25EBD" w:rsidRDefault="00EA2B5F" w:rsidP="00C2211E">
            <w:pPr>
              <w:spacing w:after="0" w:line="240" w:lineRule="auto"/>
              <w:rPr>
                <w:rFonts w:asciiTheme="majorHAnsi" w:eastAsia="Times New Roman" w:hAnsiTheme="majorHAnsi" w:cstheme="majorHAnsi"/>
                <w:color w:val="000000"/>
                <w:sz w:val="20"/>
                <w:szCs w:val="20"/>
                <w:lang w:eastAsia="pl-PL"/>
              </w:rPr>
            </w:pPr>
          </w:p>
        </w:tc>
        <w:tc>
          <w:tcPr>
            <w:tcW w:w="26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202A7DDD" w14:textId="77777777" w:rsidR="00EA2B5F" w:rsidRPr="00F25EBD" w:rsidRDefault="00EA2B5F" w:rsidP="00C2211E">
            <w:pPr>
              <w:spacing w:after="0" w:line="240" w:lineRule="auto"/>
              <w:rPr>
                <w:rFonts w:asciiTheme="majorHAnsi" w:eastAsia="Times New Roman" w:hAnsiTheme="majorHAnsi" w:cstheme="majorHAnsi"/>
                <w:sz w:val="20"/>
                <w:szCs w:val="20"/>
                <w:lang w:eastAsia="pl-PL"/>
              </w:rPr>
            </w:pPr>
          </w:p>
        </w:tc>
        <w:tc>
          <w:tcPr>
            <w:tcW w:w="26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192B560A" w14:textId="77777777" w:rsidR="00EA2B5F" w:rsidRPr="00F25EBD" w:rsidRDefault="00EA2B5F" w:rsidP="00C2211E">
            <w:pPr>
              <w:spacing w:after="0" w:line="240" w:lineRule="auto"/>
              <w:jc w:val="right"/>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1</w:t>
            </w:r>
          </w:p>
        </w:tc>
        <w:tc>
          <w:tcPr>
            <w:tcW w:w="260"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shd w:val="clear" w:color="auto" w:fill="auto"/>
            <w:noWrap/>
            <w:vAlign w:val="bottom"/>
            <w:hideMark/>
          </w:tcPr>
          <w:p w14:paraId="2E906D70" w14:textId="77777777" w:rsidR="00EA2B5F" w:rsidRPr="00F25EBD" w:rsidRDefault="00EA2B5F" w:rsidP="00C2211E">
            <w:pPr>
              <w:spacing w:after="0" w:line="240" w:lineRule="auto"/>
              <w:jc w:val="right"/>
              <w:rPr>
                <w:rFonts w:asciiTheme="majorHAnsi" w:eastAsia="Times New Roman" w:hAnsiTheme="majorHAnsi" w:cstheme="majorHAnsi"/>
                <w:color w:val="000000"/>
                <w:sz w:val="20"/>
                <w:szCs w:val="20"/>
                <w:lang w:eastAsia="pl-PL"/>
              </w:rPr>
            </w:pPr>
          </w:p>
        </w:tc>
      </w:tr>
      <w:tr w:rsidR="00EA2B5F" w:rsidRPr="00F25EBD" w14:paraId="473DD340" w14:textId="77777777" w:rsidTr="00C2211E">
        <w:trPr>
          <w:trHeight w:val="276"/>
          <w:jc w:val="center"/>
        </w:trPr>
        <w:tc>
          <w:tcPr>
            <w:tcW w:w="3961" w:type="pct"/>
            <w:tcBorders>
              <w:top w:val="single" w:sz="4" w:space="0" w:color="808080" w:themeColor="background1" w:themeShade="80"/>
              <w:left w:val="nil"/>
              <w:bottom w:val="single" w:sz="4" w:space="0" w:color="808080" w:themeColor="background1" w:themeShade="80"/>
              <w:right w:val="nil"/>
            </w:tcBorders>
            <w:shd w:val="clear" w:color="auto" w:fill="auto"/>
            <w:noWrap/>
            <w:vAlign w:val="bottom"/>
            <w:hideMark/>
          </w:tcPr>
          <w:p w14:paraId="5D28C337" w14:textId="77777777" w:rsidR="00EA2B5F" w:rsidRPr="00F25EBD" w:rsidRDefault="00EA2B5F" w:rsidP="00C2211E">
            <w:pPr>
              <w:spacing w:after="0" w:line="240" w:lineRule="auto"/>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dekarze i blacharze budowlani</w:t>
            </w:r>
          </w:p>
        </w:tc>
        <w:tc>
          <w:tcPr>
            <w:tcW w:w="260"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shd w:val="clear" w:color="auto" w:fill="auto"/>
            <w:noWrap/>
            <w:vAlign w:val="bottom"/>
            <w:hideMark/>
          </w:tcPr>
          <w:p w14:paraId="7FD5F735" w14:textId="77777777" w:rsidR="00EA2B5F" w:rsidRPr="00F25EBD" w:rsidRDefault="00EA2B5F" w:rsidP="00C2211E">
            <w:pPr>
              <w:spacing w:after="0" w:line="240" w:lineRule="auto"/>
              <w:jc w:val="right"/>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1</w:t>
            </w:r>
          </w:p>
        </w:tc>
        <w:tc>
          <w:tcPr>
            <w:tcW w:w="26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4E79B17A" w14:textId="77777777" w:rsidR="00EA2B5F" w:rsidRPr="00F25EBD" w:rsidRDefault="00EA2B5F" w:rsidP="00C2211E">
            <w:pPr>
              <w:spacing w:after="0" w:line="240" w:lineRule="auto"/>
              <w:jc w:val="right"/>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1</w:t>
            </w:r>
          </w:p>
        </w:tc>
        <w:tc>
          <w:tcPr>
            <w:tcW w:w="26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2D9A6DAA" w14:textId="77777777" w:rsidR="00EA2B5F" w:rsidRPr="00F25EBD" w:rsidRDefault="00EA2B5F" w:rsidP="00C2211E">
            <w:pPr>
              <w:spacing w:after="0" w:line="240" w:lineRule="auto"/>
              <w:jc w:val="right"/>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1</w:t>
            </w:r>
          </w:p>
        </w:tc>
        <w:tc>
          <w:tcPr>
            <w:tcW w:w="260"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shd w:val="clear" w:color="auto" w:fill="auto"/>
            <w:noWrap/>
            <w:vAlign w:val="bottom"/>
            <w:hideMark/>
          </w:tcPr>
          <w:p w14:paraId="186DCC28" w14:textId="77777777" w:rsidR="00EA2B5F" w:rsidRPr="00F25EBD" w:rsidRDefault="00EA2B5F" w:rsidP="00C2211E">
            <w:pPr>
              <w:spacing w:after="0" w:line="240" w:lineRule="auto"/>
              <w:jc w:val="right"/>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1</w:t>
            </w:r>
          </w:p>
        </w:tc>
      </w:tr>
      <w:tr w:rsidR="00EA2B5F" w:rsidRPr="00F25EBD" w14:paraId="1EF45141" w14:textId="77777777" w:rsidTr="00C2211E">
        <w:trPr>
          <w:trHeight w:val="276"/>
          <w:jc w:val="center"/>
        </w:trPr>
        <w:tc>
          <w:tcPr>
            <w:tcW w:w="3961" w:type="pct"/>
            <w:tcBorders>
              <w:top w:val="single" w:sz="4" w:space="0" w:color="808080" w:themeColor="background1" w:themeShade="80"/>
              <w:left w:val="nil"/>
              <w:bottom w:val="single" w:sz="4" w:space="0" w:color="808080" w:themeColor="background1" w:themeShade="80"/>
              <w:right w:val="nil"/>
            </w:tcBorders>
            <w:shd w:val="clear" w:color="auto" w:fill="auto"/>
            <w:noWrap/>
            <w:vAlign w:val="bottom"/>
            <w:hideMark/>
          </w:tcPr>
          <w:p w14:paraId="29DE2B59" w14:textId="77777777" w:rsidR="00EA2B5F" w:rsidRPr="00F25EBD" w:rsidRDefault="00EA2B5F" w:rsidP="00C2211E">
            <w:pPr>
              <w:spacing w:after="0" w:line="240" w:lineRule="auto"/>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diagności samochodowi</w:t>
            </w:r>
          </w:p>
        </w:tc>
        <w:tc>
          <w:tcPr>
            <w:tcW w:w="260"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shd w:val="clear" w:color="auto" w:fill="auto"/>
            <w:noWrap/>
            <w:vAlign w:val="bottom"/>
            <w:hideMark/>
          </w:tcPr>
          <w:p w14:paraId="4B31BACA" w14:textId="77777777" w:rsidR="00EA2B5F" w:rsidRPr="00F25EBD" w:rsidRDefault="00EA2B5F" w:rsidP="00C2211E">
            <w:pPr>
              <w:spacing w:after="0" w:line="240" w:lineRule="auto"/>
              <w:rPr>
                <w:rFonts w:asciiTheme="majorHAnsi" w:eastAsia="Times New Roman" w:hAnsiTheme="majorHAnsi" w:cstheme="majorHAnsi"/>
                <w:color w:val="000000"/>
                <w:sz w:val="20"/>
                <w:szCs w:val="20"/>
                <w:lang w:eastAsia="pl-PL"/>
              </w:rPr>
            </w:pPr>
          </w:p>
        </w:tc>
        <w:tc>
          <w:tcPr>
            <w:tcW w:w="26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4DD7BFD5" w14:textId="77777777" w:rsidR="00EA2B5F" w:rsidRPr="00F25EBD" w:rsidRDefault="00EA2B5F" w:rsidP="00C2211E">
            <w:pPr>
              <w:spacing w:after="0" w:line="240" w:lineRule="auto"/>
              <w:rPr>
                <w:rFonts w:asciiTheme="majorHAnsi" w:eastAsia="Times New Roman" w:hAnsiTheme="majorHAnsi" w:cstheme="majorHAnsi"/>
                <w:sz w:val="20"/>
                <w:szCs w:val="20"/>
                <w:lang w:eastAsia="pl-PL"/>
              </w:rPr>
            </w:pPr>
          </w:p>
        </w:tc>
        <w:tc>
          <w:tcPr>
            <w:tcW w:w="26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68E73028" w14:textId="77777777" w:rsidR="00EA2B5F" w:rsidRPr="00F25EBD" w:rsidRDefault="00EA2B5F" w:rsidP="00C2211E">
            <w:pPr>
              <w:spacing w:after="0" w:line="240" w:lineRule="auto"/>
              <w:jc w:val="right"/>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1</w:t>
            </w:r>
          </w:p>
        </w:tc>
        <w:tc>
          <w:tcPr>
            <w:tcW w:w="260"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shd w:val="clear" w:color="auto" w:fill="auto"/>
            <w:noWrap/>
            <w:vAlign w:val="bottom"/>
            <w:hideMark/>
          </w:tcPr>
          <w:p w14:paraId="082F7050" w14:textId="77777777" w:rsidR="00EA2B5F" w:rsidRPr="00F25EBD" w:rsidRDefault="00EA2B5F" w:rsidP="00C2211E">
            <w:pPr>
              <w:spacing w:after="0" w:line="240" w:lineRule="auto"/>
              <w:jc w:val="right"/>
              <w:rPr>
                <w:rFonts w:asciiTheme="majorHAnsi" w:eastAsia="Times New Roman" w:hAnsiTheme="majorHAnsi" w:cstheme="majorHAnsi"/>
                <w:color w:val="000000"/>
                <w:sz w:val="20"/>
                <w:szCs w:val="20"/>
                <w:lang w:eastAsia="pl-PL"/>
              </w:rPr>
            </w:pPr>
          </w:p>
        </w:tc>
      </w:tr>
      <w:tr w:rsidR="00EA2B5F" w:rsidRPr="00F25EBD" w14:paraId="4B497636" w14:textId="77777777" w:rsidTr="00C2211E">
        <w:trPr>
          <w:trHeight w:val="276"/>
          <w:jc w:val="center"/>
        </w:trPr>
        <w:tc>
          <w:tcPr>
            <w:tcW w:w="3961" w:type="pct"/>
            <w:tcBorders>
              <w:top w:val="single" w:sz="4" w:space="0" w:color="808080" w:themeColor="background1" w:themeShade="80"/>
              <w:left w:val="nil"/>
              <w:bottom w:val="single" w:sz="4" w:space="0" w:color="808080" w:themeColor="background1" w:themeShade="80"/>
              <w:right w:val="nil"/>
            </w:tcBorders>
            <w:shd w:val="clear" w:color="auto" w:fill="auto"/>
            <w:noWrap/>
            <w:vAlign w:val="bottom"/>
            <w:hideMark/>
          </w:tcPr>
          <w:p w14:paraId="1DDDFA31" w14:textId="77777777" w:rsidR="00EA2B5F" w:rsidRPr="00F25EBD" w:rsidRDefault="00EA2B5F" w:rsidP="00C2211E">
            <w:pPr>
              <w:spacing w:after="0" w:line="240" w:lineRule="auto"/>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elektrycy, elektromechanicy i elektromonterzy</w:t>
            </w:r>
          </w:p>
        </w:tc>
        <w:tc>
          <w:tcPr>
            <w:tcW w:w="260"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shd w:val="clear" w:color="auto" w:fill="auto"/>
            <w:noWrap/>
            <w:vAlign w:val="bottom"/>
            <w:hideMark/>
          </w:tcPr>
          <w:p w14:paraId="67D3D987" w14:textId="77777777" w:rsidR="00EA2B5F" w:rsidRPr="00F25EBD" w:rsidRDefault="00EA2B5F" w:rsidP="00C2211E">
            <w:pPr>
              <w:spacing w:after="0" w:line="240" w:lineRule="auto"/>
              <w:jc w:val="right"/>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1</w:t>
            </w:r>
          </w:p>
        </w:tc>
        <w:tc>
          <w:tcPr>
            <w:tcW w:w="26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454D04EE" w14:textId="77777777" w:rsidR="00EA2B5F" w:rsidRPr="00F25EBD" w:rsidRDefault="00EA2B5F" w:rsidP="00C2211E">
            <w:pPr>
              <w:spacing w:after="0" w:line="240" w:lineRule="auto"/>
              <w:jc w:val="right"/>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1</w:t>
            </w:r>
          </w:p>
        </w:tc>
        <w:tc>
          <w:tcPr>
            <w:tcW w:w="26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36C30616" w14:textId="77777777" w:rsidR="00EA2B5F" w:rsidRPr="00F25EBD" w:rsidRDefault="00EA2B5F" w:rsidP="00C2211E">
            <w:pPr>
              <w:spacing w:after="0" w:line="240" w:lineRule="auto"/>
              <w:jc w:val="right"/>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1</w:t>
            </w:r>
          </w:p>
        </w:tc>
        <w:tc>
          <w:tcPr>
            <w:tcW w:w="260"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shd w:val="clear" w:color="auto" w:fill="auto"/>
            <w:noWrap/>
            <w:vAlign w:val="bottom"/>
            <w:hideMark/>
          </w:tcPr>
          <w:p w14:paraId="72CD5BD9" w14:textId="77777777" w:rsidR="00EA2B5F" w:rsidRPr="00F25EBD" w:rsidRDefault="00EA2B5F" w:rsidP="00C2211E">
            <w:pPr>
              <w:spacing w:after="0" w:line="240" w:lineRule="auto"/>
              <w:jc w:val="right"/>
              <w:rPr>
                <w:rFonts w:asciiTheme="majorHAnsi" w:eastAsia="Times New Roman" w:hAnsiTheme="majorHAnsi" w:cstheme="majorHAnsi"/>
                <w:color w:val="000000"/>
                <w:sz w:val="20"/>
                <w:szCs w:val="20"/>
                <w:lang w:eastAsia="pl-PL"/>
              </w:rPr>
            </w:pPr>
          </w:p>
        </w:tc>
      </w:tr>
      <w:tr w:rsidR="00EA2B5F" w:rsidRPr="00F25EBD" w14:paraId="3F60BC73" w14:textId="77777777" w:rsidTr="00C2211E">
        <w:trPr>
          <w:trHeight w:val="276"/>
          <w:jc w:val="center"/>
        </w:trPr>
        <w:tc>
          <w:tcPr>
            <w:tcW w:w="3961" w:type="pct"/>
            <w:tcBorders>
              <w:top w:val="single" w:sz="4" w:space="0" w:color="808080" w:themeColor="background1" w:themeShade="80"/>
              <w:left w:val="nil"/>
              <w:bottom w:val="single" w:sz="4" w:space="0" w:color="808080" w:themeColor="background1" w:themeShade="80"/>
              <w:right w:val="nil"/>
            </w:tcBorders>
            <w:shd w:val="clear" w:color="auto" w:fill="auto"/>
            <w:noWrap/>
            <w:vAlign w:val="bottom"/>
            <w:hideMark/>
          </w:tcPr>
          <w:p w14:paraId="5C48E27D" w14:textId="77777777" w:rsidR="00EA2B5F" w:rsidRPr="00F25EBD" w:rsidRDefault="00EA2B5F" w:rsidP="00C2211E">
            <w:pPr>
              <w:spacing w:after="0" w:line="240" w:lineRule="auto"/>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fizjoterapeuci i masażyści</w:t>
            </w:r>
          </w:p>
        </w:tc>
        <w:tc>
          <w:tcPr>
            <w:tcW w:w="260"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shd w:val="clear" w:color="auto" w:fill="auto"/>
            <w:noWrap/>
            <w:vAlign w:val="bottom"/>
            <w:hideMark/>
          </w:tcPr>
          <w:p w14:paraId="7325AC53" w14:textId="77777777" w:rsidR="00EA2B5F" w:rsidRPr="00F25EBD" w:rsidRDefault="00EA2B5F" w:rsidP="00C2211E">
            <w:pPr>
              <w:spacing w:after="0" w:line="240" w:lineRule="auto"/>
              <w:rPr>
                <w:rFonts w:asciiTheme="majorHAnsi" w:eastAsia="Times New Roman" w:hAnsiTheme="majorHAnsi" w:cstheme="majorHAnsi"/>
                <w:color w:val="000000"/>
                <w:sz w:val="20"/>
                <w:szCs w:val="20"/>
                <w:lang w:eastAsia="pl-PL"/>
              </w:rPr>
            </w:pPr>
          </w:p>
        </w:tc>
        <w:tc>
          <w:tcPr>
            <w:tcW w:w="26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0750E0F8" w14:textId="77777777" w:rsidR="00EA2B5F" w:rsidRPr="00F25EBD" w:rsidRDefault="00EA2B5F" w:rsidP="00C2211E">
            <w:pPr>
              <w:spacing w:after="0" w:line="240" w:lineRule="auto"/>
              <w:jc w:val="right"/>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1</w:t>
            </w:r>
          </w:p>
        </w:tc>
        <w:tc>
          <w:tcPr>
            <w:tcW w:w="26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44D34477" w14:textId="77777777" w:rsidR="00EA2B5F" w:rsidRPr="00F25EBD" w:rsidRDefault="00EA2B5F" w:rsidP="00C2211E">
            <w:pPr>
              <w:spacing w:after="0" w:line="240" w:lineRule="auto"/>
              <w:jc w:val="right"/>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1</w:t>
            </w:r>
          </w:p>
        </w:tc>
        <w:tc>
          <w:tcPr>
            <w:tcW w:w="260"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shd w:val="clear" w:color="auto" w:fill="auto"/>
            <w:noWrap/>
            <w:vAlign w:val="bottom"/>
            <w:hideMark/>
          </w:tcPr>
          <w:p w14:paraId="77F64FCF" w14:textId="77777777" w:rsidR="00EA2B5F" w:rsidRPr="00F25EBD" w:rsidRDefault="00EA2B5F" w:rsidP="00C2211E">
            <w:pPr>
              <w:spacing w:after="0" w:line="240" w:lineRule="auto"/>
              <w:jc w:val="right"/>
              <w:rPr>
                <w:rFonts w:asciiTheme="majorHAnsi" w:eastAsia="Times New Roman" w:hAnsiTheme="majorHAnsi" w:cstheme="majorHAnsi"/>
                <w:color w:val="000000"/>
                <w:sz w:val="20"/>
                <w:szCs w:val="20"/>
                <w:lang w:eastAsia="pl-PL"/>
              </w:rPr>
            </w:pPr>
          </w:p>
        </w:tc>
      </w:tr>
      <w:tr w:rsidR="00EA2B5F" w:rsidRPr="00F25EBD" w14:paraId="1262858E" w14:textId="77777777" w:rsidTr="00C2211E">
        <w:trPr>
          <w:trHeight w:val="276"/>
          <w:jc w:val="center"/>
        </w:trPr>
        <w:tc>
          <w:tcPr>
            <w:tcW w:w="3961" w:type="pct"/>
            <w:tcBorders>
              <w:top w:val="single" w:sz="4" w:space="0" w:color="808080" w:themeColor="background1" w:themeShade="80"/>
              <w:left w:val="nil"/>
              <w:bottom w:val="single" w:sz="4" w:space="0" w:color="808080" w:themeColor="background1" w:themeShade="80"/>
              <w:right w:val="nil"/>
            </w:tcBorders>
            <w:shd w:val="clear" w:color="auto" w:fill="auto"/>
            <w:noWrap/>
            <w:vAlign w:val="bottom"/>
            <w:hideMark/>
          </w:tcPr>
          <w:p w14:paraId="7D2A522D" w14:textId="77777777" w:rsidR="00EA2B5F" w:rsidRPr="00F25EBD" w:rsidRDefault="00EA2B5F" w:rsidP="00C2211E">
            <w:pPr>
              <w:spacing w:after="0" w:line="240" w:lineRule="auto"/>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floryści</w:t>
            </w:r>
          </w:p>
        </w:tc>
        <w:tc>
          <w:tcPr>
            <w:tcW w:w="260"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shd w:val="clear" w:color="auto" w:fill="auto"/>
            <w:noWrap/>
            <w:vAlign w:val="bottom"/>
            <w:hideMark/>
          </w:tcPr>
          <w:p w14:paraId="5B9F96B6" w14:textId="77777777" w:rsidR="00EA2B5F" w:rsidRPr="00F25EBD" w:rsidRDefault="00EA2B5F" w:rsidP="00C2211E">
            <w:pPr>
              <w:spacing w:after="0" w:line="240" w:lineRule="auto"/>
              <w:rPr>
                <w:rFonts w:asciiTheme="majorHAnsi" w:eastAsia="Times New Roman" w:hAnsiTheme="majorHAnsi" w:cstheme="majorHAnsi"/>
                <w:color w:val="000000"/>
                <w:sz w:val="20"/>
                <w:szCs w:val="20"/>
                <w:lang w:eastAsia="pl-PL"/>
              </w:rPr>
            </w:pPr>
          </w:p>
        </w:tc>
        <w:tc>
          <w:tcPr>
            <w:tcW w:w="26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1465A274" w14:textId="77777777" w:rsidR="00EA2B5F" w:rsidRPr="00F25EBD" w:rsidRDefault="00EA2B5F" w:rsidP="00C2211E">
            <w:pPr>
              <w:spacing w:after="0" w:line="240" w:lineRule="auto"/>
              <w:rPr>
                <w:rFonts w:asciiTheme="majorHAnsi" w:eastAsia="Times New Roman" w:hAnsiTheme="majorHAnsi" w:cstheme="majorHAnsi"/>
                <w:sz w:val="20"/>
                <w:szCs w:val="20"/>
                <w:lang w:eastAsia="pl-PL"/>
              </w:rPr>
            </w:pPr>
          </w:p>
        </w:tc>
        <w:tc>
          <w:tcPr>
            <w:tcW w:w="26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1A1609EB" w14:textId="77777777" w:rsidR="00EA2B5F" w:rsidRPr="00F25EBD" w:rsidRDefault="00EA2B5F" w:rsidP="00C2211E">
            <w:pPr>
              <w:spacing w:after="0" w:line="240" w:lineRule="auto"/>
              <w:jc w:val="right"/>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1</w:t>
            </w:r>
          </w:p>
        </w:tc>
        <w:tc>
          <w:tcPr>
            <w:tcW w:w="260"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shd w:val="clear" w:color="auto" w:fill="auto"/>
            <w:noWrap/>
            <w:vAlign w:val="bottom"/>
            <w:hideMark/>
          </w:tcPr>
          <w:p w14:paraId="5A8744AD" w14:textId="77777777" w:rsidR="00EA2B5F" w:rsidRPr="00F25EBD" w:rsidRDefault="00EA2B5F" w:rsidP="00C2211E">
            <w:pPr>
              <w:spacing w:after="0" w:line="240" w:lineRule="auto"/>
              <w:jc w:val="right"/>
              <w:rPr>
                <w:rFonts w:asciiTheme="majorHAnsi" w:eastAsia="Times New Roman" w:hAnsiTheme="majorHAnsi" w:cstheme="majorHAnsi"/>
                <w:color w:val="000000"/>
                <w:sz w:val="20"/>
                <w:szCs w:val="20"/>
                <w:lang w:eastAsia="pl-PL"/>
              </w:rPr>
            </w:pPr>
          </w:p>
        </w:tc>
      </w:tr>
      <w:tr w:rsidR="00EA2B5F" w:rsidRPr="00F25EBD" w14:paraId="2F50D9D5" w14:textId="77777777" w:rsidTr="00C2211E">
        <w:trPr>
          <w:trHeight w:val="276"/>
          <w:jc w:val="center"/>
        </w:trPr>
        <w:tc>
          <w:tcPr>
            <w:tcW w:w="3961" w:type="pct"/>
            <w:tcBorders>
              <w:top w:val="single" w:sz="4" w:space="0" w:color="808080" w:themeColor="background1" w:themeShade="80"/>
              <w:left w:val="nil"/>
              <w:bottom w:val="single" w:sz="4" w:space="0" w:color="808080" w:themeColor="background1" w:themeShade="80"/>
              <w:right w:val="nil"/>
            </w:tcBorders>
            <w:shd w:val="clear" w:color="auto" w:fill="auto"/>
            <w:noWrap/>
            <w:vAlign w:val="bottom"/>
            <w:hideMark/>
          </w:tcPr>
          <w:p w14:paraId="68AA50DB" w14:textId="77777777" w:rsidR="00EA2B5F" w:rsidRPr="00F25EBD" w:rsidRDefault="00EA2B5F" w:rsidP="00C2211E">
            <w:pPr>
              <w:spacing w:after="0" w:line="240" w:lineRule="auto"/>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fryzjerzy</w:t>
            </w:r>
          </w:p>
        </w:tc>
        <w:tc>
          <w:tcPr>
            <w:tcW w:w="260"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shd w:val="clear" w:color="auto" w:fill="auto"/>
            <w:noWrap/>
            <w:vAlign w:val="bottom"/>
            <w:hideMark/>
          </w:tcPr>
          <w:p w14:paraId="68ECCB35" w14:textId="77777777" w:rsidR="00EA2B5F" w:rsidRPr="00F25EBD" w:rsidRDefault="00EA2B5F" w:rsidP="00C2211E">
            <w:pPr>
              <w:spacing w:after="0" w:line="240" w:lineRule="auto"/>
              <w:jc w:val="right"/>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1</w:t>
            </w:r>
          </w:p>
        </w:tc>
        <w:tc>
          <w:tcPr>
            <w:tcW w:w="26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5F3C8E70" w14:textId="77777777" w:rsidR="00EA2B5F" w:rsidRPr="00F25EBD" w:rsidRDefault="00EA2B5F" w:rsidP="00C2211E">
            <w:pPr>
              <w:spacing w:after="0" w:line="240" w:lineRule="auto"/>
              <w:jc w:val="right"/>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1</w:t>
            </w:r>
          </w:p>
        </w:tc>
        <w:tc>
          <w:tcPr>
            <w:tcW w:w="26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313144E4" w14:textId="77777777" w:rsidR="00EA2B5F" w:rsidRPr="00F25EBD" w:rsidRDefault="00EA2B5F" w:rsidP="00C2211E">
            <w:pPr>
              <w:spacing w:after="0" w:line="240" w:lineRule="auto"/>
              <w:jc w:val="right"/>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1</w:t>
            </w:r>
          </w:p>
        </w:tc>
        <w:tc>
          <w:tcPr>
            <w:tcW w:w="260"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shd w:val="clear" w:color="auto" w:fill="auto"/>
            <w:noWrap/>
            <w:vAlign w:val="bottom"/>
            <w:hideMark/>
          </w:tcPr>
          <w:p w14:paraId="4A2CAF60" w14:textId="77777777" w:rsidR="00EA2B5F" w:rsidRPr="00F25EBD" w:rsidRDefault="00EA2B5F" w:rsidP="00C2211E">
            <w:pPr>
              <w:spacing w:after="0" w:line="240" w:lineRule="auto"/>
              <w:jc w:val="right"/>
              <w:rPr>
                <w:rFonts w:asciiTheme="majorHAnsi" w:eastAsia="Times New Roman" w:hAnsiTheme="majorHAnsi" w:cstheme="majorHAnsi"/>
                <w:color w:val="000000"/>
                <w:sz w:val="20"/>
                <w:szCs w:val="20"/>
                <w:lang w:eastAsia="pl-PL"/>
              </w:rPr>
            </w:pPr>
          </w:p>
        </w:tc>
      </w:tr>
      <w:tr w:rsidR="00EA2B5F" w:rsidRPr="00F25EBD" w14:paraId="198055F9" w14:textId="77777777" w:rsidTr="00C2211E">
        <w:trPr>
          <w:trHeight w:val="276"/>
          <w:jc w:val="center"/>
        </w:trPr>
        <w:tc>
          <w:tcPr>
            <w:tcW w:w="3961" w:type="pct"/>
            <w:tcBorders>
              <w:top w:val="single" w:sz="4" w:space="0" w:color="808080" w:themeColor="background1" w:themeShade="80"/>
              <w:left w:val="nil"/>
              <w:bottom w:val="single" w:sz="4" w:space="0" w:color="808080" w:themeColor="background1" w:themeShade="80"/>
              <w:right w:val="nil"/>
            </w:tcBorders>
            <w:shd w:val="clear" w:color="auto" w:fill="auto"/>
            <w:noWrap/>
            <w:vAlign w:val="bottom"/>
            <w:hideMark/>
          </w:tcPr>
          <w:p w14:paraId="4BC17FB1" w14:textId="77777777" w:rsidR="00EA2B5F" w:rsidRPr="00F25EBD" w:rsidRDefault="00EA2B5F" w:rsidP="00C2211E">
            <w:pPr>
              <w:spacing w:after="0" w:line="240" w:lineRule="auto"/>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geodeci i kartografowie</w:t>
            </w:r>
          </w:p>
        </w:tc>
        <w:tc>
          <w:tcPr>
            <w:tcW w:w="260"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shd w:val="clear" w:color="auto" w:fill="auto"/>
            <w:noWrap/>
            <w:vAlign w:val="bottom"/>
            <w:hideMark/>
          </w:tcPr>
          <w:p w14:paraId="594C95CC" w14:textId="77777777" w:rsidR="00EA2B5F" w:rsidRPr="00F25EBD" w:rsidRDefault="00EA2B5F" w:rsidP="00C2211E">
            <w:pPr>
              <w:spacing w:after="0" w:line="240" w:lineRule="auto"/>
              <w:rPr>
                <w:rFonts w:asciiTheme="majorHAnsi" w:eastAsia="Times New Roman" w:hAnsiTheme="majorHAnsi" w:cstheme="majorHAnsi"/>
                <w:color w:val="000000"/>
                <w:sz w:val="20"/>
                <w:szCs w:val="20"/>
                <w:lang w:eastAsia="pl-PL"/>
              </w:rPr>
            </w:pPr>
          </w:p>
        </w:tc>
        <w:tc>
          <w:tcPr>
            <w:tcW w:w="26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6A1B8D8C" w14:textId="77777777" w:rsidR="00EA2B5F" w:rsidRPr="00F25EBD" w:rsidRDefault="00EA2B5F" w:rsidP="00C2211E">
            <w:pPr>
              <w:spacing w:after="0" w:line="240" w:lineRule="auto"/>
              <w:rPr>
                <w:rFonts w:asciiTheme="majorHAnsi" w:eastAsia="Times New Roman" w:hAnsiTheme="majorHAnsi" w:cstheme="majorHAnsi"/>
                <w:sz w:val="20"/>
                <w:szCs w:val="20"/>
                <w:lang w:eastAsia="pl-PL"/>
              </w:rPr>
            </w:pPr>
          </w:p>
        </w:tc>
        <w:tc>
          <w:tcPr>
            <w:tcW w:w="26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3E1216EA" w14:textId="77777777" w:rsidR="00EA2B5F" w:rsidRPr="00F25EBD" w:rsidRDefault="00EA2B5F" w:rsidP="00C2211E">
            <w:pPr>
              <w:spacing w:after="0" w:line="240" w:lineRule="auto"/>
              <w:jc w:val="right"/>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1</w:t>
            </w:r>
          </w:p>
        </w:tc>
        <w:tc>
          <w:tcPr>
            <w:tcW w:w="260"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shd w:val="clear" w:color="auto" w:fill="auto"/>
            <w:noWrap/>
            <w:vAlign w:val="bottom"/>
            <w:hideMark/>
          </w:tcPr>
          <w:p w14:paraId="5705EDCB" w14:textId="77777777" w:rsidR="00EA2B5F" w:rsidRPr="00F25EBD" w:rsidRDefault="00EA2B5F" w:rsidP="00C2211E">
            <w:pPr>
              <w:spacing w:after="0" w:line="240" w:lineRule="auto"/>
              <w:jc w:val="right"/>
              <w:rPr>
                <w:rFonts w:asciiTheme="majorHAnsi" w:eastAsia="Times New Roman" w:hAnsiTheme="majorHAnsi" w:cstheme="majorHAnsi"/>
                <w:color w:val="000000"/>
                <w:sz w:val="20"/>
                <w:szCs w:val="20"/>
                <w:lang w:eastAsia="pl-PL"/>
              </w:rPr>
            </w:pPr>
          </w:p>
        </w:tc>
      </w:tr>
      <w:tr w:rsidR="00EA2B5F" w:rsidRPr="00F25EBD" w14:paraId="5E6A7389" w14:textId="77777777" w:rsidTr="00C2211E">
        <w:trPr>
          <w:trHeight w:val="276"/>
          <w:jc w:val="center"/>
        </w:trPr>
        <w:tc>
          <w:tcPr>
            <w:tcW w:w="3961" w:type="pct"/>
            <w:tcBorders>
              <w:top w:val="single" w:sz="4" w:space="0" w:color="808080" w:themeColor="background1" w:themeShade="80"/>
              <w:left w:val="nil"/>
              <w:bottom w:val="single" w:sz="4" w:space="0" w:color="808080" w:themeColor="background1" w:themeShade="80"/>
              <w:right w:val="nil"/>
            </w:tcBorders>
            <w:shd w:val="clear" w:color="auto" w:fill="auto"/>
            <w:noWrap/>
            <w:vAlign w:val="bottom"/>
            <w:hideMark/>
          </w:tcPr>
          <w:p w14:paraId="6B6EE109" w14:textId="77777777" w:rsidR="00EA2B5F" w:rsidRPr="00F25EBD" w:rsidRDefault="00EA2B5F" w:rsidP="00C2211E">
            <w:pPr>
              <w:spacing w:after="0" w:line="240" w:lineRule="auto"/>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gospodarze obiektów, portierzy, woźni i dozorcy</w:t>
            </w:r>
          </w:p>
        </w:tc>
        <w:tc>
          <w:tcPr>
            <w:tcW w:w="260"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shd w:val="clear" w:color="auto" w:fill="auto"/>
            <w:noWrap/>
            <w:vAlign w:val="bottom"/>
            <w:hideMark/>
          </w:tcPr>
          <w:p w14:paraId="17BBFD39" w14:textId="77777777" w:rsidR="00EA2B5F" w:rsidRPr="00F25EBD" w:rsidRDefault="00EA2B5F" w:rsidP="00C2211E">
            <w:pPr>
              <w:spacing w:after="0" w:line="240" w:lineRule="auto"/>
              <w:rPr>
                <w:rFonts w:asciiTheme="majorHAnsi" w:eastAsia="Times New Roman" w:hAnsiTheme="majorHAnsi" w:cstheme="majorHAnsi"/>
                <w:color w:val="000000"/>
                <w:sz w:val="20"/>
                <w:szCs w:val="20"/>
                <w:lang w:eastAsia="pl-PL"/>
              </w:rPr>
            </w:pPr>
          </w:p>
        </w:tc>
        <w:tc>
          <w:tcPr>
            <w:tcW w:w="26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21EE3D5D" w14:textId="77777777" w:rsidR="00EA2B5F" w:rsidRPr="00F25EBD" w:rsidRDefault="00EA2B5F" w:rsidP="00C2211E">
            <w:pPr>
              <w:spacing w:after="0" w:line="240" w:lineRule="auto"/>
              <w:jc w:val="right"/>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1</w:t>
            </w:r>
          </w:p>
        </w:tc>
        <w:tc>
          <w:tcPr>
            <w:tcW w:w="26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4BB4E177" w14:textId="77777777" w:rsidR="00EA2B5F" w:rsidRPr="00F25EBD" w:rsidRDefault="00EA2B5F" w:rsidP="00C2211E">
            <w:pPr>
              <w:spacing w:after="0" w:line="240" w:lineRule="auto"/>
              <w:jc w:val="right"/>
              <w:rPr>
                <w:rFonts w:asciiTheme="majorHAnsi" w:eastAsia="Times New Roman" w:hAnsiTheme="majorHAnsi" w:cstheme="majorHAnsi"/>
                <w:color w:val="000000"/>
                <w:sz w:val="20"/>
                <w:szCs w:val="20"/>
                <w:lang w:eastAsia="pl-PL"/>
              </w:rPr>
            </w:pPr>
          </w:p>
        </w:tc>
        <w:tc>
          <w:tcPr>
            <w:tcW w:w="260"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shd w:val="clear" w:color="auto" w:fill="auto"/>
            <w:noWrap/>
            <w:vAlign w:val="bottom"/>
            <w:hideMark/>
          </w:tcPr>
          <w:p w14:paraId="753A7369" w14:textId="77777777" w:rsidR="00EA2B5F" w:rsidRPr="00F25EBD" w:rsidRDefault="00EA2B5F" w:rsidP="00C2211E">
            <w:pPr>
              <w:spacing w:after="0" w:line="240" w:lineRule="auto"/>
              <w:rPr>
                <w:rFonts w:asciiTheme="majorHAnsi" w:eastAsia="Times New Roman" w:hAnsiTheme="majorHAnsi" w:cstheme="majorHAnsi"/>
                <w:sz w:val="20"/>
                <w:szCs w:val="20"/>
                <w:lang w:eastAsia="pl-PL"/>
              </w:rPr>
            </w:pPr>
          </w:p>
        </w:tc>
      </w:tr>
      <w:tr w:rsidR="00EA2B5F" w:rsidRPr="00F25EBD" w14:paraId="145B353D" w14:textId="77777777" w:rsidTr="00C2211E">
        <w:trPr>
          <w:trHeight w:val="276"/>
          <w:jc w:val="center"/>
        </w:trPr>
        <w:tc>
          <w:tcPr>
            <w:tcW w:w="3961" w:type="pct"/>
            <w:tcBorders>
              <w:top w:val="single" w:sz="4" w:space="0" w:color="808080" w:themeColor="background1" w:themeShade="80"/>
              <w:left w:val="nil"/>
              <w:bottom w:val="single" w:sz="4" w:space="0" w:color="808080" w:themeColor="background1" w:themeShade="80"/>
              <w:right w:val="nil"/>
            </w:tcBorders>
            <w:shd w:val="clear" w:color="auto" w:fill="auto"/>
            <w:noWrap/>
            <w:vAlign w:val="bottom"/>
            <w:hideMark/>
          </w:tcPr>
          <w:p w14:paraId="34DF3A4B" w14:textId="77777777" w:rsidR="00EA2B5F" w:rsidRPr="00F25EBD" w:rsidRDefault="00EA2B5F" w:rsidP="00C2211E">
            <w:pPr>
              <w:spacing w:after="0" w:line="240" w:lineRule="auto"/>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inżynierowie budownictwa</w:t>
            </w:r>
          </w:p>
        </w:tc>
        <w:tc>
          <w:tcPr>
            <w:tcW w:w="260"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shd w:val="clear" w:color="auto" w:fill="auto"/>
            <w:noWrap/>
            <w:vAlign w:val="bottom"/>
            <w:hideMark/>
          </w:tcPr>
          <w:p w14:paraId="72CC1BD2" w14:textId="77777777" w:rsidR="00EA2B5F" w:rsidRPr="00F25EBD" w:rsidRDefault="00EA2B5F" w:rsidP="00C2211E">
            <w:pPr>
              <w:spacing w:after="0" w:line="240" w:lineRule="auto"/>
              <w:jc w:val="right"/>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1</w:t>
            </w:r>
          </w:p>
        </w:tc>
        <w:tc>
          <w:tcPr>
            <w:tcW w:w="26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1B54398F" w14:textId="77777777" w:rsidR="00EA2B5F" w:rsidRPr="00F25EBD" w:rsidRDefault="00EA2B5F" w:rsidP="00C2211E">
            <w:pPr>
              <w:spacing w:after="0" w:line="240" w:lineRule="auto"/>
              <w:jc w:val="right"/>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1</w:t>
            </w:r>
          </w:p>
        </w:tc>
        <w:tc>
          <w:tcPr>
            <w:tcW w:w="26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0930D694" w14:textId="77777777" w:rsidR="00EA2B5F" w:rsidRPr="00F25EBD" w:rsidRDefault="00EA2B5F" w:rsidP="00C2211E">
            <w:pPr>
              <w:spacing w:after="0" w:line="240" w:lineRule="auto"/>
              <w:jc w:val="right"/>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1</w:t>
            </w:r>
          </w:p>
        </w:tc>
        <w:tc>
          <w:tcPr>
            <w:tcW w:w="260"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shd w:val="clear" w:color="auto" w:fill="auto"/>
            <w:noWrap/>
            <w:vAlign w:val="bottom"/>
            <w:hideMark/>
          </w:tcPr>
          <w:p w14:paraId="31A4A503" w14:textId="77777777" w:rsidR="00EA2B5F" w:rsidRPr="00F25EBD" w:rsidRDefault="00EA2B5F" w:rsidP="00C2211E">
            <w:pPr>
              <w:spacing w:after="0" w:line="240" w:lineRule="auto"/>
              <w:jc w:val="right"/>
              <w:rPr>
                <w:rFonts w:asciiTheme="majorHAnsi" w:eastAsia="Times New Roman" w:hAnsiTheme="majorHAnsi" w:cstheme="majorHAnsi"/>
                <w:color w:val="000000"/>
                <w:sz w:val="20"/>
                <w:szCs w:val="20"/>
                <w:lang w:eastAsia="pl-PL"/>
              </w:rPr>
            </w:pPr>
          </w:p>
        </w:tc>
      </w:tr>
      <w:tr w:rsidR="00EA2B5F" w:rsidRPr="00F25EBD" w14:paraId="5A4C62B8" w14:textId="77777777" w:rsidTr="00C2211E">
        <w:trPr>
          <w:trHeight w:val="276"/>
          <w:jc w:val="center"/>
        </w:trPr>
        <w:tc>
          <w:tcPr>
            <w:tcW w:w="3961" w:type="pct"/>
            <w:tcBorders>
              <w:top w:val="single" w:sz="4" w:space="0" w:color="808080" w:themeColor="background1" w:themeShade="80"/>
              <w:left w:val="nil"/>
              <w:bottom w:val="single" w:sz="4" w:space="0" w:color="808080" w:themeColor="background1" w:themeShade="80"/>
              <w:right w:val="nil"/>
            </w:tcBorders>
            <w:shd w:val="clear" w:color="auto" w:fill="auto"/>
            <w:noWrap/>
            <w:vAlign w:val="bottom"/>
            <w:hideMark/>
          </w:tcPr>
          <w:p w14:paraId="0A163423" w14:textId="77777777" w:rsidR="00EA2B5F" w:rsidRPr="00F25EBD" w:rsidRDefault="00EA2B5F" w:rsidP="00C2211E">
            <w:pPr>
              <w:spacing w:after="0" w:line="240" w:lineRule="auto"/>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inżynierowie mechanicy</w:t>
            </w:r>
          </w:p>
        </w:tc>
        <w:tc>
          <w:tcPr>
            <w:tcW w:w="260"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shd w:val="clear" w:color="auto" w:fill="auto"/>
            <w:noWrap/>
            <w:vAlign w:val="bottom"/>
            <w:hideMark/>
          </w:tcPr>
          <w:p w14:paraId="10DAE76D" w14:textId="77777777" w:rsidR="00EA2B5F" w:rsidRPr="00F25EBD" w:rsidRDefault="00EA2B5F" w:rsidP="00C2211E">
            <w:pPr>
              <w:spacing w:after="0" w:line="240" w:lineRule="auto"/>
              <w:rPr>
                <w:rFonts w:asciiTheme="majorHAnsi" w:eastAsia="Times New Roman" w:hAnsiTheme="majorHAnsi" w:cstheme="majorHAnsi"/>
                <w:color w:val="000000"/>
                <w:sz w:val="20"/>
                <w:szCs w:val="20"/>
                <w:lang w:eastAsia="pl-PL"/>
              </w:rPr>
            </w:pPr>
          </w:p>
        </w:tc>
        <w:tc>
          <w:tcPr>
            <w:tcW w:w="26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38ED09BA" w14:textId="77777777" w:rsidR="00EA2B5F" w:rsidRPr="00F25EBD" w:rsidRDefault="00EA2B5F" w:rsidP="00C2211E">
            <w:pPr>
              <w:spacing w:after="0" w:line="240" w:lineRule="auto"/>
              <w:jc w:val="right"/>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1</w:t>
            </w:r>
          </w:p>
        </w:tc>
        <w:tc>
          <w:tcPr>
            <w:tcW w:w="26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789B0932" w14:textId="77777777" w:rsidR="00EA2B5F" w:rsidRPr="00F25EBD" w:rsidRDefault="00EA2B5F" w:rsidP="00C2211E">
            <w:pPr>
              <w:spacing w:after="0" w:line="240" w:lineRule="auto"/>
              <w:jc w:val="right"/>
              <w:rPr>
                <w:rFonts w:asciiTheme="majorHAnsi" w:eastAsia="Times New Roman" w:hAnsiTheme="majorHAnsi" w:cstheme="majorHAnsi"/>
                <w:color w:val="000000"/>
                <w:sz w:val="20"/>
                <w:szCs w:val="20"/>
                <w:lang w:eastAsia="pl-PL"/>
              </w:rPr>
            </w:pPr>
          </w:p>
        </w:tc>
        <w:tc>
          <w:tcPr>
            <w:tcW w:w="260"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shd w:val="clear" w:color="auto" w:fill="auto"/>
            <w:noWrap/>
            <w:vAlign w:val="bottom"/>
            <w:hideMark/>
          </w:tcPr>
          <w:p w14:paraId="6EBCC131" w14:textId="77777777" w:rsidR="00EA2B5F" w:rsidRPr="00F25EBD" w:rsidRDefault="00EA2B5F" w:rsidP="00C2211E">
            <w:pPr>
              <w:spacing w:after="0" w:line="240" w:lineRule="auto"/>
              <w:rPr>
                <w:rFonts w:asciiTheme="majorHAnsi" w:eastAsia="Times New Roman" w:hAnsiTheme="majorHAnsi" w:cstheme="majorHAnsi"/>
                <w:sz w:val="20"/>
                <w:szCs w:val="20"/>
                <w:lang w:eastAsia="pl-PL"/>
              </w:rPr>
            </w:pPr>
          </w:p>
        </w:tc>
      </w:tr>
      <w:tr w:rsidR="00EA2B5F" w:rsidRPr="00F25EBD" w14:paraId="2A7F6290" w14:textId="77777777" w:rsidTr="00C2211E">
        <w:trPr>
          <w:trHeight w:val="276"/>
          <w:jc w:val="center"/>
        </w:trPr>
        <w:tc>
          <w:tcPr>
            <w:tcW w:w="3961" w:type="pct"/>
            <w:tcBorders>
              <w:top w:val="single" w:sz="4" w:space="0" w:color="808080" w:themeColor="background1" w:themeShade="80"/>
              <w:left w:val="nil"/>
              <w:bottom w:val="single" w:sz="4" w:space="0" w:color="808080" w:themeColor="background1" w:themeShade="80"/>
              <w:right w:val="nil"/>
            </w:tcBorders>
            <w:shd w:val="clear" w:color="auto" w:fill="auto"/>
            <w:noWrap/>
            <w:vAlign w:val="bottom"/>
            <w:hideMark/>
          </w:tcPr>
          <w:p w14:paraId="3F7418AA" w14:textId="77777777" w:rsidR="00EA2B5F" w:rsidRPr="00F25EBD" w:rsidRDefault="00EA2B5F" w:rsidP="00C2211E">
            <w:pPr>
              <w:spacing w:after="0" w:line="240" w:lineRule="auto"/>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kamieniarze</w:t>
            </w:r>
          </w:p>
        </w:tc>
        <w:tc>
          <w:tcPr>
            <w:tcW w:w="260"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shd w:val="clear" w:color="auto" w:fill="auto"/>
            <w:noWrap/>
            <w:vAlign w:val="bottom"/>
            <w:hideMark/>
          </w:tcPr>
          <w:p w14:paraId="63E31A35" w14:textId="77777777" w:rsidR="00EA2B5F" w:rsidRPr="00F25EBD" w:rsidRDefault="00EA2B5F" w:rsidP="00C2211E">
            <w:pPr>
              <w:spacing w:after="0" w:line="240" w:lineRule="auto"/>
              <w:rPr>
                <w:rFonts w:asciiTheme="majorHAnsi" w:eastAsia="Times New Roman" w:hAnsiTheme="majorHAnsi" w:cstheme="majorHAnsi"/>
                <w:color w:val="000000"/>
                <w:sz w:val="20"/>
                <w:szCs w:val="20"/>
                <w:lang w:eastAsia="pl-PL"/>
              </w:rPr>
            </w:pPr>
          </w:p>
        </w:tc>
        <w:tc>
          <w:tcPr>
            <w:tcW w:w="26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1A71450A" w14:textId="77777777" w:rsidR="00EA2B5F" w:rsidRPr="00F25EBD" w:rsidRDefault="00EA2B5F" w:rsidP="00C2211E">
            <w:pPr>
              <w:spacing w:after="0" w:line="240" w:lineRule="auto"/>
              <w:rPr>
                <w:rFonts w:asciiTheme="majorHAnsi" w:eastAsia="Times New Roman" w:hAnsiTheme="majorHAnsi" w:cstheme="majorHAnsi"/>
                <w:sz w:val="20"/>
                <w:szCs w:val="20"/>
                <w:lang w:eastAsia="pl-PL"/>
              </w:rPr>
            </w:pPr>
          </w:p>
        </w:tc>
        <w:tc>
          <w:tcPr>
            <w:tcW w:w="26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067245B0" w14:textId="77777777" w:rsidR="00EA2B5F" w:rsidRPr="00F25EBD" w:rsidRDefault="00EA2B5F" w:rsidP="00C2211E">
            <w:pPr>
              <w:spacing w:after="0" w:line="240" w:lineRule="auto"/>
              <w:jc w:val="right"/>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1</w:t>
            </w:r>
          </w:p>
        </w:tc>
        <w:tc>
          <w:tcPr>
            <w:tcW w:w="260"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shd w:val="clear" w:color="auto" w:fill="auto"/>
            <w:noWrap/>
            <w:vAlign w:val="bottom"/>
            <w:hideMark/>
          </w:tcPr>
          <w:p w14:paraId="68E81520" w14:textId="77777777" w:rsidR="00EA2B5F" w:rsidRPr="00F25EBD" w:rsidRDefault="00EA2B5F" w:rsidP="00C2211E">
            <w:pPr>
              <w:spacing w:after="0" w:line="240" w:lineRule="auto"/>
              <w:jc w:val="right"/>
              <w:rPr>
                <w:rFonts w:asciiTheme="majorHAnsi" w:eastAsia="Times New Roman" w:hAnsiTheme="majorHAnsi" w:cstheme="majorHAnsi"/>
                <w:color w:val="000000"/>
                <w:sz w:val="20"/>
                <w:szCs w:val="20"/>
                <w:lang w:eastAsia="pl-PL"/>
              </w:rPr>
            </w:pPr>
          </w:p>
        </w:tc>
      </w:tr>
      <w:tr w:rsidR="00EA2B5F" w:rsidRPr="00F25EBD" w14:paraId="76BA13DC" w14:textId="77777777" w:rsidTr="00C2211E">
        <w:trPr>
          <w:trHeight w:val="276"/>
          <w:jc w:val="center"/>
        </w:trPr>
        <w:tc>
          <w:tcPr>
            <w:tcW w:w="3961" w:type="pct"/>
            <w:tcBorders>
              <w:top w:val="single" w:sz="4" w:space="0" w:color="808080" w:themeColor="background1" w:themeShade="80"/>
              <w:left w:val="nil"/>
              <w:bottom w:val="single" w:sz="4" w:space="0" w:color="808080" w:themeColor="background1" w:themeShade="80"/>
              <w:right w:val="nil"/>
            </w:tcBorders>
            <w:shd w:val="clear" w:color="auto" w:fill="auto"/>
            <w:noWrap/>
            <w:vAlign w:val="bottom"/>
            <w:hideMark/>
          </w:tcPr>
          <w:p w14:paraId="73F50467" w14:textId="77777777" w:rsidR="00EA2B5F" w:rsidRPr="00F25EBD" w:rsidRDefault="00EA2B5F" w:rsidP="00C2211E">
            <w:pPr>
              <w:spacing w:after="0" w:line="240" w:lineRule="auto"/>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kelnerzy i barmani</w:t>
            </w:r>
          </w:p>
        </w:tc>
        <w:tc>
          <w:tcPr>
            <w:tcW w:w="260"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shd w:val="clear" w:color="auto" w:fill="auto"/>
            <w:noWrap/>
            <w:vAlign w:val="bottom"/>
            <w:hideMark/>
          </w:tcPr>
          <w:p w14:paraId="19B6D84F" w14:textId="77777777" w:rsidR="00EA2B5F" w:rsidRPr="00F25EBD" w:rsidRDefault="00EA2B5F" w:rsidP="00C2211E">
            <w:pPr>
              <w:spacing w:after="0" w:line="240" w:lineRule="auto"/>
              <w:rPr>
                <w:rFonts w:asciiTheme="majorHAnsi" w:eastAsia="Times New Roman" w:hAnsiTheme="majorHAnsi" w:cstheme="majorHAnsi"/>
                <w:color w:val="000000"/>
                <w:sz w:val="20"/>
                <w:szCs w:val="20"/>
                <w:lang w:eastAsia="pl-PL"/>
              </w:rPr>
            </w:pPr>
          </w:p>
        </w:tc>
        <w:tc>
          <w:tcPr>
            <w:tcW w:w="26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16950FF7" w14:textId="77777777" w:rsidR="00EA2B5F" w:rsidRPr="00F25EBD" w:rsidRDefault="00EA2B5F" w:rsidP="00C2211E">
            <w:pPr>
              <w:spacing w:after="0" w:line="240" w:lineRule="auto"/>
              <w:rPr>
                <w:rFonts w:asciiTheme="majorHAnsi" w:eastAsia="Times New Roman" w:hAnsiTheme="majorHAnsi" w:cstheme="majorHAnsi"/>
                <w:sz w:val="20"/>
                <w:szCs w:val="20"/>
                <w:lang w:eastAsia="pl-PL"/>
              </w:rPr>
            </w:pPr>
          </w:p>
        </w:tc>
        <w:tc>
          <w:tcPr>
            <w:tcW w:w="26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6F923239" w14:textId="77777777" w:rsidR="00EA2B5F" w:rsidRPr="00F25EBD" w:rsidRDefault="00EA2B5F" w:rsidP="00C2211E">
            <w:pPr>
              <w:spacing w:after="0" w:line="240" w:lineRule="auto"/>
              <w:jc w:val="right"/>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1</w:t>
            </w:r>
          </w:p>
        </w:tc>
        <w:tc>
          <w:tcPr>
            <w:tcW w:w="260"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shd w:val="clear" w:color="auto" w:fill="auto"/>
            <w:noWrap/>
            <w:vAlign w:val="bottom"/>
            <w:hideMark/>
          </w:tcPr>
          <w:p w14:paraId="569D9716" w14:textId="77777777" w:rsidR="00EA2B5F" w:rsidRPr="00F25EBD" w:rsidRDefault="00EA2B5F" w:rsidP="00C2211E">
            <w:pPr>
              <w:spacing w:after="0" w:line="240" w:lineRule="auto"/>
              <w:jc w:val="right"/>
              <w:rPr>
                <w:rFonts w:asciiTheme="majorHAnsi" w:eastAsia="Times New Roman" w:hAnsiTheme="majorHAnsi" w:cstheme="majorHAnsi"/>
                <w:color w:val="000000"/>
                <w:sz w:val="20"/>
                <w:szCs w:val="20"/>
                <w:lang w:eastAsia="pl-PL"/>
              </w:rPr>
            </w:pPr>
          </w:p>
        </w:tc>
      </w:tr>
      <w:tr w:rsidR="00EA2B5F" w:rsidRPr="00F25EBD" w14:paraId="2DE9D448" w14:textId="77777777" w:rsidTr="00C2211E">
        <w:trPr>
          <w:trHeight w:val="276"/>
          <w:jc w:val="center"/>
        </w:trPr>
        <w:tc>
          <w:tcPr>
            <w:tcW w:w="3961" w:type="pct"/>
            <w:tcBorders>
              <w:top w:val="single" w:sz="4" w:space="0" w:color="808080" w:themeColor="background1" w:themeShade="80"/>
              <w:left w:val="nil"/>
              <w:bottom w:val="single" w:sz="4" w:space="0" w:color="808080" w:themeColor="background1" w:themeShade="80"/>
              <w:right w:val="nil"/>
            </w:tcBorders>
            <w:shd w:val="clear" w:color="auto" w:fill="auto"/>
            <w:noWrap/>
            <w:vAlign w:val="bottom"/>
            <w:hideMark/>
          </w:tcPr>
          <w:p w14:paraId="5B98DC33" w14:textId="77777777" w:rsidR="00EA2B5F" w:rsidRPr="00F25EBD" w:rsidRDefault="00EA2B5F" w:rsidP="00C2211E">
            <w:pPr>
              <w:spacing w:after="0" w:line="240" w:lineRule="auto"/>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kierowcy autobusów</w:t>
            </w:r>
          </w:p>
        </w:tc>
        <w:tc>
          <w:tcPr>
            <w:tcW w:w="260"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shd w:val="clear" w:color="auto" w:fill="auto"/>
            <w:noWrap/>
            <w:vAlign w:val="bottom"/>
            <w:hideMark/>
          </w:tcPr>
          <w:p w14:paraId="12448558" w14:textId="77777777" w:rsidR="00EA2B5F" w:rsidRPr="00F25EBD" w:rsidRDefault="00EA2B5F" w:rsidP="00C2211E">
            <w:pPr>
              <w:spacing w:after="0" w:line="240" w:lineRule="auto"/>
              <w:rPr>
                <w:rFonts w:asciiTheme="majorHAnsi" w:eastAsia="Times New Roman" w:hAnsiTheme="majorHAnsi" w:cstheme="majorHAnsi"/>
                <w:color w:val="000000"/>
                <w:sz w:val="20"/>
                <w:szCs w:val="20"/>
                <w:lang w:eastAsia="pl-PL"/>
              </w:rPr>
            </w:pPr>
          </w:p>
        </w:tc>
        <w:tc>
          <w:tcPr>
            <w:tcW w:w="26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69BC3B43" w14:textId="77777777" w:rsidR="00EA2B5F" w:rsidRPr="00F25EBD" w:rsidRDefault="00EA2B5F" w:rsidP="00C2211E">
            <w:pPr>
              <w:spacing w:after="0" w:line="240" w:lineRule="auto"/>
              <w:jc w:val="right"/>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1</w:t>
            </w:r>
          </w:p>
        </w:tc>
        <w:tc>
          <w:tcPr>
            <w:tcW w:w="26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753A5F50" w14:textId="77777777" w:rsidR="00EA2B5F" w:rsidRPr="00F25EBD" w:rsidRDefault="00EA2B5F" w:rsidP="00C2211E">
            <w:pPr>
              <w:spacing w:after="0" w:line="240" w:lineRule="auto"/>
              <w:jc w:val="right"/>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1</w:t>
            </w:r>
          </w:p>
        </w:tc>
        <w:tc>
          <w:tcPr>
            <w:tcW w:w="260"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shd w:val="clear" w:color="auto" w:fill="auto"/>
            <w:noWrap/>
            <w:vAlign w:val="bottom"/>
            <w:hideMark/>
          </w:tcPr>
          <w:p w14:paraId="5B67886E" w14:textId="77777777" w:rsidR="00EA2B5F" w:rsidRPr="00F25EBD" w:rsidRDefault="00EA2B5F" w:rsidP="00C2211E">
            <w:pPr>
              <w:spacing w:after="0" w:line="240" w:lineRule="auto"/>
              <w:jc w:val="right"/>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1</w:t>
            </w:r>
          </w:p>
        </w:tc>
      </w:tr>
      <w:tr w:rsidR="00EA2B5F" w:rsidRPr="00F25EBD" w14:paraId="48FB9FCE" w14:textId="77777777" w:rsidTr="00C2211E">
        <w:trPr>
          <w:trHeight w:val="276"/>
          <w:jc w:val="center"/>
        </w:trPr>
        <w:tc>
          <w:tcPr>
            <w:tcW w:w="3961" w:type="pct"/>
            <w:tcBorders>
              <w:top w:val="single" w:sz="4" w:space="0" w:color="808080" w:themeColor="background1" w:themeShade="80"/>
              <w:left w:val="nil"/>
              <w:bottom w:val="single" w:sz="4" w:space="0" w:color="808080" w:themeColor="background1" w:themeShade="80"/>
              <w:right w:val="nil"/>
            </w:tcBorders>
            <w:shd w:val="clear" w:color="auto" w:fill="auto"/>
            <w:noWrap/>
            <w:vAlign w:val="bottom"/>
            <w:hideMark/>
          </w:tcPr>
          <w:p w14:paraId="7E818C58" w14:textId="77777777" w:rsidR="00EA2B5F" w:rsidRPr="00F25EBD" w:rsidRDefault="00EA2B5F" w:rsidP="00C2211E">
            <w:pPr>
              <w:spacing w:after="0" w:line="240" w:lineRule="auto"/>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kierowcy samochodów ciężarowych i ciągników siodłowych</w:t>
            </w:r>
          </w:p>
        </w:tc>
        <w:tc>
          <w:tcPr>
            <w:tcW w:w="260"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shd w:val="clear" w:color="auto" w:fill="auto"/>
            <w:noWrap/>
            <w:vAlign w:val="bottom"/>
            <w:hideMark/>
          </w:tcPr>
          <w:p w14:paraId="4AF20308" w14:textId="77777777" w:rsidR="00EA2B5F" w:rsidRPr="00F25EBD" w:rsidRDefault="00EA2B5F" w:rsidP="00C2211E">
            <w:pPr>
              <w:spacing w:after="0" w:line="240" w:lineRule="auto"/>
              <w:jc w:val="right"/>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1</w:t>
            </w:r>
          </w:p>
        </w:tc>
        <w:tc>
          <w:tcPr>
            <w:tcW w:w="26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416B1582" w14:textId="77777777" w:rsidR="00EA2B5F" w:rsidRPr="00F25EBD" w:rsidRDefault="00EA2B5F" w:rsidP="00C2211E">
            <w:pPr>
              <w:spacing w:after="0" w:line="240" w:lineRule="auto"/>
              <w:jc w:val="right"/>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1</w:t>
            </w:r>
          </w:p>
        </w:tc>
        <w:tc>
          <w:tcPr>
            <w:tcW w:w="26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442500A1" w14:textId="77777777" w:rsidR="00EA2B5F" w:rsidRPr="00F25EBD" w:rsidRDefault="00EA2B5F" w:rsidP="00C2211E">
            <w:pPr>
              <w:spacing w:after="0" w:line="240" w:lineRule="auto"/>
              <w:jc w:val="right"/>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1</w:t>
            </w:r>
          </w:p>
        </w:tc>
        <w:tc>
          <w:tcPr>
            <w:tcW w:w="260"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shd w:val="clear" w:color="auto" w:fill="auto"/>
            <w:noWrap/>
            <w:vAlign w:val="bottom"/>
            <w:hideMark/>
          </w:tcPr>
          <w:p w14:paraId="5A96099D" w14:textId="77777777" w:rsidR="00EA2B5F" w:rsidRPr="00F25EBD" w:rsidRDefault="00EA2B5F" w:rsidP="00C2211E">
            <w:pPr>
              <w:spacing w:after="0" w:line="240" w:lineRule="auto"/>
              <w:jc w:val="right"/>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1</w:t>
            </w:r>
          </w:p>
        </w:tc>
      </w:tr>
      <w:tr w:rsidR="00EA2B5F" w:rsidRPr="00F25EBD" w14:paraId="7EFB6E9B" w14:textId="77777777" w:rsidTr="00C2211E">
        <w:trPr>
          <w:trHeight w:val="276"/>
          <w:jc w:val="center"/>
        </w:trPr>
        <w:tc>
          <w:tcPr>
            <w:tcW w:w="3961" w:type="pct"/>
            <w:tcBorders>
              <w:top w:val="single" w:sz="4" w:space="0" w:color="808080" w:themeColor="background1" w:themeShade="80"/>
              <w:left w:val="nil"/>
              <w:bottom w:val="single" w:sz="4" w:space="0" w:color="808080" w:themeColor="background1" w:themeShade="80"/>
              <w:right w:val="nil"/>
            </w:tcBorders>
            <w:shd w:val="clear" w:color="auto" w:fill="auto"/>
            <w:noWrap/>
            <w:vAlign w:val="bottom"/>
            <w:hideMark/>
          </w:tcPr>
          <w:p w14:paraId="782E7E85" w14:textId="77777777" w:rsidR="00EA2B5F" w:rsidRPr="00F25EBD" w:rsidRDefault="00EA2B5F" w:rsidP="00C2211E">
            <w:pPr>
              <w:spacing w:after="0" w:line="240" w:lineRule="auto"/>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kierownicy budowy</w:t>
            </w:r>
          </w:p>
        </w:tc>
        <w:tc>
          <w:tcPr>
            <w:tcW w:w="260"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shd w:val="clear" w:color="auto" w:fill="auto"/>
            <w:noWrap/>
            <w:vAlign w:val="bottom"/>
            <w:hideMark/>
          </w:tcPr>
          <w:p w14:paraId="2AB8A89B" w14:textId="77777777" w:rsidR="00EA2B5F" w:rsidRPr="00F25EBD" w:rsidRDefault="00EA2B5F" w:rsidP="00C2211E">
            <w:pPr>
              <w:spacing w:after="0" w:line="240" w:lineRule="auto"/>
              <w:jc w:val="right"/>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1</w:t>
            </w:r>
          </w:p>
        </w:tc>
        <w:tc>
          <w:tcPr>
            <w:tcW w:w="26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0929188E" w14:textId="77777777" w:rsidR="00EA2B5F" w:rsidRPr="00F25EBD" w:rsidRDefault="00EA2B5F" w:rsidP="00C2211E">
            <w:pPr>
              <w:spacing w:after="0" w:line="240" w:lineRule="auto"/>
              <w:jc w:val="right"/>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1</w:t>
            </w:r>
          </w:p>
        </w:tc>
        <w:tc>
          <w:tcPr>
            <w:tcW w:w="26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089FB5B0" w14:textId="77777777" w:rsidR="00EA2B5F" w:rsidRPr="00F25EBD" w:rsidRDefault="00EA2B5F" w:rsidP="00C2211E">
            <w:pPr>
              <w:spacing w:after="0" w:line="240" w:lineRule="auto"/>
              <w:jc w:val="right"/>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1</w:t>
            </w:r>
          </w:p>
        </w:tc>
        <w:tc>
          <w:tcPr>
            <w:tcW w:w="260"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shd w:val="clear" w:color="auto" w:fill="auto"/>
            <w:noWrap/>
            <w:vAlign w:val="bottom"/>
            <w:hideMark/>
          </w:tcPr>
          <w:p w14:paraId="7209D9F5" w14:textId="77777777" w:rsidR="00EA2B5F" w:rsidRPr="00F25EBD" w:rsidRDefault="00EA2B5F" w:rsidP="00C2211E">
            <w:pPr>
              <w:spacing w:after="0" w:line="240" w:lineRule="auto"/>
              <w:jc w:val="right"/>
              <w:rPr>
                <w:rFonts w:asciiTheme="majorHAnsi" w:eastAsia="Times New Roman" w:hAnsiTheme="majorHAnsi" w:cstheme="majorHAnsi"/>
                <w:color w:val="000000"/>
                <w:sz w:val="20"/>
                <w:szCs w:val="20"/>
                <w:lang w:eastAsia="pl-PL"/>
              </w:rPr>
            </w:pPr>
          </w:p>
        </w:tc>
      </w:tr>
      <w:tr w:rsidR="00EA2B5F" w:rsidRPr="00F25EBD" w14:paraId="257423C8" w14:textId="77777777" w:rsidTr="00C2211E">
        <w:trPr>
          <w:trHeight w:val="276"/>
          <w:jc w:val="center"/>
        </w:trPr>
        <w:tc>
          <w:tcPr>
            <w:tcW w:w="3961" w:type="pct"/>
            <w:tcBorders>
              <w:top w:val="single" w:sz="4" w:space="0" w:color="808080" w:themeColor="background1" w:themeShade="80"/>
              <w:left w:val="nil"/>
              <w:bottom w:val="single" w:sz="4" w:space="0" w:color="808080" w:themeColor="background1" w:themeShade="80"/>
              <w:right w:val="nil"/>
            </w:tcBorders>
            <w:shd w:val="clear" w:color="auto" w:fill="auto"/>
            <w:noWrap/>
            <w:vAlign w:val="bottom"/>
            <w:hideMark/>
          </w:tcPr>
          <w:p w14:paraId="0ECF3203" w14:textId="77777777" w:rsidR="00EA2B5F" w:rsidRPr="00F25EBD" w:rsidRDefault="00EA2B5F" w:rsidP="00C2211E">
            <w:pPr>
              <w:spacing w:after="0" w:line="240" w:lineRule="auto"/>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kosmetyczki</w:t>
            </w:r>
          </w:p>
        </w:tc>
        <w:tc>
          <w:tcPr>
            <w:tcW w:w="260"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shd w:val="clear" w:color="auto" w:fill="auto"/>
            <w:noWrap/>
            <w:vAlign w:val="bottom"/>
            <w:hideMark/>
          </w:tcPr>
          <w:p w14:paraId="3DBE60C0" w14:textId="77777777" w:rsidR="00EA2B5F" w:rsidRPr="00F25EBD" w:rsidRDefault="00EA2B5F" w:rsidP="00C2211E">
            <w:pPr>
              <w:spacing w:after="0" w:line="240" w:lineRule="auto"/>
              <w:rPr>
                <w:rFonts w:asciiTheme="majorHAnsi" w:eastAsia="Times New Roman" w:hAnsiTheme="majorHAnsi" w:cstheme="majorHAnsi"/>
                <w:color w:val="000000"/>
                <w:sz w:val="20"/>
                <w:szCs w:val="20"/>
                <w:lang w:eastAsia="pl-PL"/>
              </w:rPr>
            </w:pPr>
          </w:p>
        </w:tc>
        <w:tc>
          <w:tcPr>
            <w:tcW w:w="26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4B92806A" w14:textId="77777777" w:rsidR="00EA2B5F" w:rsidRPr="00F25EBD" w:rsidRDefault="00EA2B5F" w:rsidP="00C2211E">
            <w:pPr>
              <w:spacing w:after="0" w:line="240" w:lineRule="auto"/>
              <w:rPr>
                <w:rFonts w:asciiTheme="majorHAnsi" w:eastAsia="Times New Roman" w:hAnsiTheme="majorHAnsi" w:cstheme="majorHAnsi"/>
                <w:sz w:val="20"/>
                <w:szCs w:val="20"/>
                <w:lang w:eastAsia="pl-PL"/>
              </w:rPr>
            </w:pPr>
          </w:p>
        </w:tc>
        <w:tc>
          <w:tcPr>
            <w:tcW w:w="26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4E55341B" w14:textId="77777777" w:rsidR="00EA2B5F" w:rsidRPr="00F25EBD" w:rsidRDefault="00EA2B5F" w:rsidP="00C2211E">
            <w:pPr>
              <w:spacing w:after="0" w:line="240" w:lineRule="auto"/>
              <w:jc w:val="right"/>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1</w:t>
            </w:r>
          </w:p>
        </w:tc>
        <w:tc>
          <w:tcPr>
            <w:tcW w:w="260"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shd w:val="clear" w:color="auto" w:fill="auto"/>
            <w:noWrap/>
            <w:vAlign w:val="bottom"/>
            <w:hideMark/>
          </w:tcPr>
          <w:p w14:paraId="35BCC23B" w14:textId="77777777" w:rsidR="00EA2B5F" w:rsidRPr="00F25EBD" w:rsidRDefault="00EA2B5F" w:rsidP="00C2211E">
            <w:pPr>
              <w:spacing w:after="0" w:line="240" w:lineRule="auto"/>
              <w:jc w:val="right"/>
              <w:rPr>
                <w:rFonts w:asciiTheme="majorHAnsi" w:eastAsia="Times New Roman" w:hAnsiTheme="majorHAnsi" w:cstheme="majorHAnsi"/>
                <w:color w:val="000000"/>
                <w:sz w:val="20"/>
                <w:szCs w:val="20"/>
                <w:lang w:eastAsia="pl-PL"/>
              </w:rPr>
            </w:pPr>
          </w:p>
        </w:tc>
      </w:tr>
      <w:tr w:rsidR="00EA2B5F" w:rsidRPr="00F25EBD" w14:paraId="69E362E9" w14:textId="77777777" w:rsidTr="00C2211E">
        <w:trPr>
          <w:trHeight w:val="276"/>
          <w:jc w:val="center"/>
        </w:trPr>
        <w:tc>
          <w:tcPr>
            <w:tcW w:w="3961" w:type="pct"/>
            <w:tcBorders>
              <w:top w:val="single" w:sz="4" w:space="0" w:color="808080" w:themeColor="background1" w:themeShade="80"/>
              <w:left w:val="nil"/>
              <w:bottom w:val="single" w:sz="4" w:space="0" w:color="808080" w:themeColor="background1" w:themeShade="80"/>
              <w:right w:val="nil"/>
            </w:tcBorders>
            <w:shd w:val="clear" w:color="auto" w:fill="auto"/>
            <w:noWrap/>
            <w:vAlign w:val="bottom"/>
            <w:hideMark/>
          </w:tcPr>
          <w:p w14:paraId="738D7B08" w14:textId="77777777" w:rsidR="00EA2B5F" w:rsidRPr="00F25EBD" w:rsidRDefault="00EA2B5F" w:rsidP="00C2211E">
            <w:pPr>
              <w:spacing w:after="0" w:line="240" w:lineRule="auto"/>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krawcy i pracownicy produkcji odzieży</w:t>
            </w:r>
          </w:p>
        </w:tc>
        <w:tc>
          <w:tcPr>
            <w:tcW w:w="260"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shd w:val="clear" w:color="auto" w:fill="auto"/>
            <w:noWrap/>
            <w:vAlign w:val="bottom"/>
            <w:hideMark/>
          </w:tcPr>
          <w:p w14:paraId="15B5D7C5" w14:textId="77777777" w:rsidR="00EA2B5F" w:rsidRPr="00F25EBD" w:rsidRDefault="00EA2B5F" w:rsidP="00C2211E">
            <w:pPr>
              <w:spacing w:after="0" w:line="240" w:lineRule="auto"/>
              <w:jc w:val="right"/>
              <w:rPr>
                <w:rFonts w:asciiTheme="majorHAnsi" w:eastAsia="Times New Roman" w:hAnsiTheme="majorHAnsi" w:cstheme="majorHAnsi"/>
                <w:b/>
                <w:bCs/>
                <w:color w:val="FF0000"/>
                <w:sz w:val="20"/>
                <w:szCs w:val="20"/>
                <w:lang w:eastAsia="pl-PL"/>
              </w:rPr>
            </w:pPr>
            <w:r w:rsidRPr="00F25EBD">
              <w:rPr>
                <w:rFonts w:asciiTheme="majorHAnsi" w:eastAsia="Times New Roman" w:hAnsiTheme="majorHAnsi" w:cstheme="majorHAnsi"/>
                <w:b/>
                <w:bCs/>
                <w:color w:val="FF0000"/>
                <w:sz w:val="20"/>
                <w:szCs w:val="20"/>
                <w:lang w:eastAsia="pl-PL"/>
              </w:rPr>
              <w:t>1</w:t>
            </w:r>
          </w:p>
        </w:tc>
        <w:tc>
          <w:tcPr>
            <w:tcW w:w="26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7C236FC3" w14:textId="77777777" w:rsidR="00EA2B5F" w:rsidRPr="00F25EBD" w:rsidRDefault="00EA2B5F" w:rsidP="00C2211E">
            <w:pPr>
              <w:spacing w:after="0" w:line="240" w:lineRule="auto"/>
              <w:jc w:val="right"/>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1</w:t>
            </w:r>
          </w:p>
        </w:tc>
        <w:tc>
          <w:tcPr>
            <w:tcW w:w="26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76838BD0" w14:textId="77777777" w:rsidR="00EA2B5F" w:rsidRPr="00F25EBD" w:rsidRDefault="00EA2B5F" w:rsidP="00C2211E">
            <w:pPr>
              <w:spacing w:after="0" w:line="240" w:lineRule="auto"/>
              <w:jc w:val="right"/>
              <w:rPr>
                <w:rFonts w:asciiTheme="majorHAnsi" w:eastAsia="Times New Roman" w:hAnsiTheme="majorHAnsi" w:cstheme="majorHAnsi"/>
                <w:color w:val="000000"/>
                <w:sz w:val="20"/>
                <w:szCs w:val="20"/>
                <w:lang w:eastAsia="pl-PL"/>
              </w:rPr>
            </w:pPr>
          </w:p>
        </w:tc>
        <w:tc>
          <w:tcPr>
            <w:tcW w:w="260"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shd w:val="clear" w:color="auto" w:fill="auto"/>
            <w:noWrap/>
            <w:vAlign w:val="bottom"/>
            <w:hideMark/>
          </w:tcPr>
          <w:p w14:paraId="2F97B40F" w14:textId="77777777" w:rsidR="00EA2B5F" w:rsidRPr="00F25EBD" w:rsidRDefault="00EA2B5F" w:rsidP="00C2211E">
            <w:pPr>
              <w:spacing w:after="0" w:line="240" w:lineRule="auto"/>
              <w:rPr>
                <w:rFonts w:asciiTheme="majorHAnsi" w:eastAsia="Times New Roman" w:hAnsiTheme="majorHAnsi" w:cstheme="majorHAnsi"/>
                <w:sz w:val="20"/>
                <w:szCs w:val="20"/>
                <w:lang w:eastAsia="pl-PL"/>
              </w:rPr>
            </w:pPr>
          </w:p>
        </w:tc>
      </w:tr>
      <w:tr w:rsidR="00EA2B5F" w:rsidRPr="00F25EBD" w14:paraId="2BC02E1B" w14:textId="77777777" w:rsidTr="00C2211E">
        <w:trPr>
          <w:trHeight w:val="276"/>
          <w:jc w:val="center"/>
        </w:trPr>
        <w:tc>
          <w:tcPr>
            <w:tcW w:w="3961" w:type="pct"/>
            <w:tcBorders>
              <w:top w:val="single" w:sz="4" w:space="0" w:color="808080" w:themeColor="background1" w:themeShade="80"/>
              <w:left w:val="nil"/>
              <w:bottom w:val="single" w:sz="4" w:space="0" w:color="808080" w:themeColor="background1" w:themeShade="80"/>
              <w:right w:val="nil"/>
            </w:tcBorders>
            <w:shd w:val="clear" w:color="auto" w:fill="auto"/>
            <w:noWrap/>
            <w:vAlign w:val="bottom"/>
            <w:hideMark/>
          </w:tcPr>
          <w:p w14:paraId="53567F14" w14:textId="77777777" w:rsidR="00EA2B5F" w:rsidRPr="00F25EBD" w:rsidRDefault="00EA2B5F" w:rsidP="00C2211E">
            <w:pPr>
              <w:spacing w:after="0" w:line="240" w:lineRule="auto"/>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kucharze</w:t>
            </w:r>
          </w:p>
        </w:tc>
        <w:tc>
          <w:tcPr>
            <w:tcW w:w="260"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shd w:val="clear" w:color="auto" w:fill="auto"/>
            <w:noWrap/>
            <w:vAlign w:val="bottom"/>
            <w:hideMark/>
          </w:tcPr>
          <w:p w14:paraId="3855F476" w14:textId="77777777" w:rsidR="00EA2B5F" w:rsidRPr="00F25EBD" w:rsidRDefault="00EA2B5F" w:rsidP="00C2211E">
            <w:pPr>
              <w:spacing w:after="0" w:line="240" w:lineRule="auto"/>
              <w:jc w:val="right"/>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1</w:t>
            </w:r>
          </w:p>
        </w:tc>
        <w:tc>
          <w:tcPr>
            <w:tcW w:w="26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549036AC" w14:textId="77777777" w:rsidR="00EA2B5F" w:rsidRPr="00F25EBD" w:rsidRDefault="00EA2B5F" w:rsidP="00C2211E">
            <w:pPr>
              <w:spacing w:after="0" w:line="240" w:lineRule="auto"/>
              <w:jc w:val="right"/>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1</w:t>
            </w:r>
          </w:p>
        </w:tc>
        <w:tc>
          <w:tcPr>
            <w:tcW w:w="26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3B8E3C3A" w14:textId="77777777" w:rsidR="00EA2B5F" w:rsidRPr="00F25EBD" w:rsidRDefault="00EA2B5F" w:rsidP="00C2211E">
            <w:pPr>
              <w:spacing w:after="0" w:line="240" w:lineRule="auto"/>
              <w:jc w:val="right"/>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1</w:t>
            </w:r>
          </w:p>
        </w:tc>
        <w:tc>
          <w:tcPr>
            <w:tcW w:w="260"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shd w:val="clear" w:color="auto" w:fill="auto"/>
            <w:noWrap/>
            <w:vAlign w:val="bottom"/>
            <w:hideMark/>
          </w:tcPr>
          <w:p w14:paraId="5AA94B72" w14:textId="77777777" w:rsidR="00EA2B5F" w:rsidRPr="00F25EBD" w:rsidRDefault="00EA2B5F" w:rsidP="00C2211E">
            <w:pPr>
              <w:spacing w:after="0" w:line="240" w:lineRule="auto"/>
              <w:jc w:val="right"/>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1</w:t>
            </w:r>
          </w:p>
        </w:tc>
      </w:tr>
      <w:tr w:rsidR="00EA2B5F" w:rsidRPr="00F25EBD" w14:paraId="51578FF0" w14:textId="77777777" w:rsidTr="00C2211E">
        <w:trPr>
          <w:trHeight w:val="276"/>
          <w:jc w:val="center"/>
        </w:trPr>
        <w:tc>
          <w:tcPr>
            <w:tcW w:w="3961" w:type="pct"/>
            <w:tcBorders>
              <w:top w:val="single" w:sz="4" w:space="0" w:color="808080" w:themeColor="background1" w:themeShade="80"/>
              <w:left w:val="nil"/>
              <w:bottom w:val="single" w:sz="4" w:space="0" w:color="808080" w:themeColor="background1" w:themeShade="80"/>
              <w:right w:val="nil"/>
            </w:tcBorders>
            <w:shd w:val="clear" w:color="auto" w:fill="auto"/>
            <w:noWrap/>
            <w:vAlign w:val="bottom"/>
            <w:hideMark/>
          </w:tcPr>
          <w:p w14:paraId="06B5858C" w14:textId="77777777" w:rsidR="00EA2B5F" w:rsidRPr="00F25EBD" w:rsidRDefault="00EA2B5F" w:rsidP="00C2211E">
            <w:pPr>
              <w:spacing w:after="0" w:line="240" w:lineRule="auto"/>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lekarze</w:t>
            </w:r>
          </w:p>
        </w:tc>
        <w:tc>
          <w:tcPr>
            <w:tcW w:w="260"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shd w:val="clear" w:color="auto" w:fill="auto"/>
            <w:noWrap/>
            <w:vAlign w:val="bottom"/>
            <w:hideMark/>
          </w:tcPr>
          <w:p w14:paraId="7CD10720" w14:textId="77777777" w:rsidR="00EA2B5F" w:rsidRPr="00F25EBD" w:rsidRDefault="00EA2B5F" w:rsidP="00C2211E">
            <w:pPr>
              <w:spacing w:after="0" w:line="240" w:lineRule="auto"/>
              <w:rPr>
                <w:rFonts w:asciiTheme="majorHAnsi" w:eastAsia="Times New Roman" w:hAnsiTheme="majorHAnsi" w:cstheme="majorHAnsi"/>
                <w:color w:val="000000"/>
                <w:sz w:val="20"/>
                <w:szCs w:val="20"/>
                <w:lang w:eastAsia="pl-PL"/>
              </w:rPr>
            </w:pPr>
          </w:p>
        </w:tc>
        <w:tc>
          <w:tcPr>
            <w:tcW w:w="26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7A0B4A76" w14:textId="77777777" w:rsidR="00EA2B5F" w:rsidRPr="00F25EBD" w:rsidRDefault="00EA2B5F" w:rsidP="00C2211E">
            <w:pPr>
              <w:spacing w:after="0" w:line="240" w:lineRule="auto"/>
              <w:jc w:val="right"/>
              <w:rPr>
                <w:rFonts w:asciiTheme="majorHAnsi" w:eastAsia="Times New Roman" w:hAnsiTheme="majorHAnsi" w:cstheme="majorHAnsi"/>
                <w:b/>
                <w:bCs/>
                <w:color w:val="FF0000"/>
                <w:sz w:val="20"/>
                <w:szCs w:val="20"/>
                <w:lang w:eastAsia="pl-PL"/>
              </w:rPr>
            </w:pPr>
            <w:r w:rsidRPr="00F25EBD">
              <w:rPr>
                <w:rFonts w:asciiTheme="majorHAnsi" w:eastAsia="Times New Roman" w:hAnsiTheme="majorHAnsi" w:cstheme="majorHAnsi"/>
                <w:b/>
                <w:bCs/>
                <w:color w:val="FF0000"/>
                <w:sz w:val="20"/>
                <w:szCs w:val="20"/>
                <w:lang w:eastAsia="pl-PL"/>
              </w:rPr>
              <w:t>1</w:t>
            </w:r>
          </w:p>
        </w:tc>
        <w:tc>
          <w:tcPr>
            <w:tcW w:w="26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1E348A2E" w14:textId="77777777" w:rsidR="00EA2B5F" w:rsidRPr="00F25EBD" w:rsidRDefault="00EA2B5F" w:rsidP="00C2211E">
            <w:pPr>
              <w:spacing w:after="0" w:line="240" w:lineRule="auto"/>
              <w:jc w:val="right"/>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1</w:t>
            </w:r>
          </w:p>
        </w:tc>
        <w:tc>
          <w:tcPr>
            <w:tcW w:w="260"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shd w:val="clear" w:color="auto" w:fill="auto"/>
            <w:noWrap/>
            <w:vAlign w:val="bottom"/>
            <w:hideMark/>
          </w:tcPr>
          <w:p w14:paraId="60A5BD2F" w14:textId="77777777" w:rsidR="00EA2B5F" w:rsidRPr="00F25EBD" w:rsidRDefault="00EA2B5F" w:rsidP="00C2211E">
            <w:pPr>
              <w:spacing w:after="0" w:line="240" w:lineRule="auto"/>
              <w:jc w:val="right"/>
              <w:rPr>
                <w:rFonts w:asciiTheme="majorHAnsi" w:eastAsia="Times New Roman" w:hAnsiTheme="majorHAnsi" w:cstheme="majorHAnsi"/>
                <w:b/>
                <w:bCs/>
                <w:color w:val="FF0000"/>
                <w:sz w:val="20"/>
                <w:szCs w:val="20"/>
                <w:lang w:eastAsia="pl-PL"/>
              </w:rPr>
            </w:pPr>
            <w:r w:rsidRPr="00F25EBD">
              <w:rPr>
                <w:rFonts w:asciiTheme="majorHAnsi" w:eastAsia="Times New Roman" w:hAnsiTheme="majorHAnsi" w:cstheme="majorHAnsi"/>
                <w:b/>
                <w:bCs/>
                <w:color w:val="FF0000"/>
                <w:sz w:val="20"/>
                <w:szCs w:val="20"/>
                <w:lang w:eastAsia="pl-PL"/>
              </w:rPr>
              <w:t>1</w:t>
            </w:r>
          </w:p>
        </w:tc>
      </w:tr>
      <w:tr w:rsidR="00EA2B5F" w:rsidRPr="00F25EBD" w14:paraId="5CB6B228" w14:textId="77777777" w:rsidTr="00C2211E">
        <w:trPr>
          <w:trHeight w:val="276"/>
          <w:jc w:val="center"/>
        </w:trPr>
        <w:tc>
          <w:tcPr>
            <w:tcW w:w="3961" w:type="pct"/>
            <w:tcBorders>
              <w:top w:val="single" w:sz="4" w:space="0" w:color="808080" w:themeColor="background1" w:themeShade="80"/>
              <w:left w:val="nil"/>
              <w:bottom w:val="single" w:sz="4" w:space="0" w:color="808080" w:themeColor="background1" w:themeShade="80"/>
              <w:right w:val="nil"/>
            </w:tcBorders>
            <w:shd w:val="clear" w:color="auto" w:fill="auto"/>
            <w:noWrap/>
            <w:vAlign w:val="bottom"/>
            <w:hideMark/>
          </w:tcPr>
          <w:p w14:paraId="2739B831" w14:textId="77777777" w:rsidR="00EA2B5F" w:rsidRPr="00F25EBD" w:rsidRDefault="00EA2B5F" w:rsidP="00C2211E">
            <w:pPr>
              <w:spacing w:after="0" w:line="240" w:lineRule="auto"/>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magazynierzy</w:t>
            </w:r>
          </w:p>
        </w:tc>
        <w:tc>
          <w:tcPr>
            <w:tcW w:w="260"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shd w:val="clear" w:color="auto" w:fill="auto"/>
            <w:noWrap/>
            <w:vAlign w:val="bottom"/>
            <w:hideMark/>
          </w:tcPr>
          <w:p w14:paraId="6C5BE6A5" w14:textId="77777777" w:rsidR="00EA2B5F" w:rsidRPr="00F25EBD" w:rsidRDefault="00EA2B5F" w:rsidP="00C2211E">
            <w:pPr>
              <w:spacing w:after="0" w:line="240" w:lineRule="auto"/>
              <w:jc w:val="right"/>
              <w:rPr>
                <w:rFonts w:asciiTheme="majorHAnsi" w:eastAsia="Times New Roman" w:hAnsiTheme="majorHAnsi" w:cstheme="majorHAnsi"/>
                <w:b/>
                <w:bCs/>
                <w:color w:val="FF0000"/>
                <w:sz w:val="20"/>
                <w:szCs w:val="20"/>
                <w:lang w:eastAsia="pl-PL"/>
              </w:rPr>
            </w:pPr>
            <w:r w:rsidRPr="00F25EBD">
              <w:rPr>
                <w:rFonts w:asciiTheme="majorHAnsi" w:eastAsia="Times New Roman" w:hAnsiTheme="majorHAnsi" w:cstheme="majorHAnsi"/>
                <w:b/>
                <w:bCs/>
                <w:color w:val="FF0000"/>
                <w:sz w:val="20"/>
                <w:szCs w:val="20"/>
                <w:lang w:eastAsia="pl-PL"/>
              </w:rPr>
              <w:t>1</w:t>
            </w:r>
          </w:p>
        </w:tc>
        <w:tc>
          <w:tcPr>
            <w:tcW w:w="26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1CAC46A6" w14:textId="77777777" w:rsidR="00EA2B5F" w:rsidRPr="00F25EBD" w:rsidRDefault="00EA2B5F" w:rsidP="00C2211E">
            <w:pPr>
              <w:spacing w:after="0" w:line="240" w:lineRule="auto"/>
              <w:jc w:val="right"/>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1</w:t>
            </w:r>
          </w:p>
        </w:tc>
        <w:tc>
          <w:tcPr>
            <w:tcW w:w="26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181F07C7" w14:textId="77777777" w:rsidR="00EA2B5F" w:rsidRPr="00F25EBD" w:rsidRDefault="00EA2B5F" w:rsidP="00C2211E">
            <w:pPr>
              <w:spacing w:after="0" w:line="240" w:lineRule="auto"/>
              <w:jc w:val="right"/>
              <w:rPr>
                <w:rFonts w:asciiTheme="majorHAnsi" w:eastAsia="Times New Roman" w:hAnsiTheme="majorHAnsi" w:cstheme="majorHAnsi"/>
                <w:color w:val="000000"/>
                <w:sz w:val="20"/>
                <w:szCs w:val="20"/>
                <w:lang w:eastAsia="pl-PL"/>
              </w:rPr>
            </w:pPr>
          </w:p>
        </w:tc>
        <w:tc>
          <w:tcPr>
            <w:tcW w:w="260"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shd w:val="clear" w:color="auto" w:fill="auto"/>
            <w:noWrap/>
            <w:vAlign w:val="bottom"/>
            <w:hideMark/>
          </w:tcPr>
          <w:p w14:paraId="797A1CFB" w14:textId="77777777" w:rsidR="00EA2B5F" w:rsidRPr="00F25EBD" w:rsidRDefault="00EA2B5F" w:rsidP="00C2211E">
            <w:pPr>
              <w:spacing w:after="0" w:line="240" w:lineRule="auto"/>
              <w:jc w:val="right"/>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1</w:t>
            </w:r>
          </w:p>
        </w:tc>
      </w:tr>
      <w:tr w:rsidR="00EA2B5F" w:rsidRPr="00F25EBD" w14:paraId="7F01B602" w14:textId="77777777" w:rsidTr="00C2211E">
        <w:trPr>
          <w:trHeight w:val="276"/>
          <w:jc w:val="center"/>
        </w:trPr>
        <w:tc>
          <w:tcPr>
            <w:tcW w:w="3961" w:type="pct"/>
            <w:tcBorders>
              <w:top w:val="single" w:sz="4" w:space="0" w:color="808080" w:themeColor="background1" w:themeShade="80"/>
              <w:left w:val="nil"/>
              <w:bottom w:val="single" w:sz="4" w:space="0" w:color="808080" w:themeColor="background1" w:themeShade="80"/>
              <w:right w:val="nil"/>
            </w:tcBorders>
            <w:shd w:val="clear" w:color="auto" w:fill="auto"/>
            <w:noWrap/>
            <w:vAlign w:val="bottom"/>
            <w:hideMark/>
          </w:tcPr>
          <w:p w14:paraId="67DD94CD" w14:textId="77777777" w:rsidR="00EA2B5F" w:rsidRPr="00F25EBD" w:rsidRDefault="00EA2B5F" w:rsidP="00C2211E">
            <w:pPr>
              <w:spacing w:after="0" w:line="240" w:lineRule="auto"/>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mechanicy maszyn i urządzeń</w:t>
            </w:r>
          </w:p>
        </w:tc>
        <w:tc>
          <w:tcPr>
            <w:tcW w:w="260"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shd w:val="clear" w:color="auto" w:fill="auto"/>
            <w:noWrap/>
            <w:vAlign w:val="bottom"/>
            <w:hideMark/>
          </w:tcPr>
          <w:p w14:paraId="3AA2685F" w14:textId="77777777" w:rsidR="00EA2B5F" w:rsidRPr="00F25EBD" w:rsidRDefault="00EA2B5F" w:rsidP="00C2211E">
            <w:pPr>
              <w:spacing w:after="0" w:line="240" w:lineRule="auto"/>
              <w:jc w:val="right"/>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1</w:t>
            </w:r>
          </w:p>
        </w:tc>
        <w:tc>
          <w:tcPr>
            <w:tcW w:w="26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038ACD92" w14:textId="77777777" w:rsidR="00EA2B5F" w:rsidRPr="00F25EBD" w:rsidRDefault="00EA2B5F" w:rsidP="00C2211E">
            <w:pPr>
              <w:spacing w:after="0" w:line="240" w:lineRule="auto"/>
              <w:jc w:val="right"/>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1</w:t>
            </w:r>
          </w:p>
        </w:tc>
        <w:tc>
          <w:tcPr>
            <w:tcW w:w="26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7EFD1155" w14:textId="77777777" w:rsidR="00EA2B5F" w:rsidRPr="00F25EBD" w:rsidRDefault="00EA2B5F" w:rsidP="00C2211E">
            <w:pPr>
              <w:spacing w:after="0" w:line="240" w:lineRule="auto"/>
              <w:jc w:val="right"/>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1</w:t>
            </w:r>
          </w:p>
        </w:tc>
        <w:tc>
          <w:tcPr>
            <w:tcW w:w="260"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shd w:val="clear" w:color="auto" w:fill="auto"/>
            <w:noWrap/>
            <w:vAlign w:val="bottom"/>
            <w:hideMark/>
          </w:tcPr>
          <w:p w14:paraId="4D8EEC07" w14:textId="77777777" w:rsidR="00EA2B5F" w:rsidRPr="00F25EBD" w:rsidRDefault="00EA2B5F" w:rsidP="00C2211E">
            <w:pPr>
              <w:spacing w:after="0" w:line="240" w:lineRule="auto"/>
              <w:jc w:val="right"/>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1</w:t>
            </w:r>
          </w:p>
        </w:tc>
      </w:tr>
      <w:tr w:rsidR="00EA2B5F" w:rsidRPr="00F25EBD" w14:paraId="565E7C8F" w14:textId="77777777" w:rsidTr="00C2211E">
        <w:trPr>
          <w:trHeight w:val="276"/>
          <w:jc w:val="center"/>
        </w:trPr>
        <w:tc>
          <w:tcPr>
            <w:tcW w:w="3961" w:type="pct"/>
            <w:tcBorders>
              <w:top w:val="single" w:sz="4" w:space="0" w:color="808080" w:themeColor="background1" w:themeShade="80"/>
              <w:left w:val="nil"/>
              <w:bottom w:val="single" w:sz="4" w:space="0" w:color="808080" w:themeColor="background1" w:themeShade="80"/>
              <w:right w:val="nil"/>
            </w:tcBorders>
            <w:shd w:val="clear" w:color="auto" w:fill="auto"/>
            <w:noWrap/>
            <w:vAlign w:val="bottom"/>
            <w:hideMark/>
          </w:tcPr>
          <w:p w14:paraId="7FB07963" w14:textId="77777777" w:rsidR="00EA2B5F" w:rsidRPr="00F25EBD" w:rsidRDefault="00EA2B5F" w:rsidP="00C2211E">
            <w:pPr>
              <w:spacing w:after="0" w:line="240" w:lineRule="auto"/>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mechanicy pojazdów samochodowych</w:t>
            </w:r>
          </w:p>
        </w:tc>
        <w:tc>
          <w:tcPr>
            <w:tcW w:w="260"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shd w:val="clear" w:color="auto" w:fill="auto"/>
            <w:noWrap/>
            <w:vAlign w:val="bottom"/>
            <w:hideMark/>
          </w:tcPr>
          <w:p w14:paraId="302DC52D" w14:textId="77777777" w:rsidR="00EA2B5F" w:rsidRPr="00F25EBD" w:rsidRDefault="00EA2B5F" w:rsidP="00C2211E">
            <w:pPr>
              <w:spacing w:after="0" w:line="240" w:lineRule="auto"/>
              <w:jc w:val="right"/>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1</w:t>
            </w:r>
          </w:p>
        </w:tc>
        <w:tc>
          <w:tcPr>
            <w:tcW w:w="26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66F20CB6" w14:textId="77777777" w:rsidR="00EA2B5F" w:rsidRPr="00F25EBD" w:rsidRDefault="00EA2B5F" w:rsidP="00C2211E">
            <w:pPr>
              <w:spacing w:after="0" w:line="240" w:lineRule="auto"/>
              <w:jc w:val="right"/>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1</w:t>
            </w:r>
          </w:p>
        </w:tc>
        <w:tc>
          <w:tcPr>
            <w:tcW w:w="26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6EDE9940" w14:textId="77777777" w:rsidR="00EA2B5F" w:rsidRPr="00F25EBD" w:rsidRDefault="00EA2B5F" w:rsidP="00C2211E">
            <w:pPr>
              <w:spacing w:after="0" w:line="240" w:lineRule="auto"/>
              <w:jc w:val="right"/>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1</w:t>
            </w:r>
          </w:p>
        </w:tc>
        <w:tc>
          <w:tcPr>
            <w:tcW w:w="260"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shd w:val="clear" w:color="auto" w:fill="auto"/>
            <w:noWrap/>
            <w:vAlign w:val="bottom"/>
            <w:hideMark/>
          </w:tcPr>
          <w:p w14:paraId="6CAA251B" w14:textId="77777777" w:rsidR="00EA2B5F" w:rsidRPr="00F25EBD" w:rsidRDefault="00EA2B5F" w:rsidP="00C2211E">
            <w:pPr>
              <w:spacing w:after="0" w:line="240" w:lineRule="auto"/>
              <w:jc w:val="right"/>
              <w:rPr>
                <w:rFonts w:asciiTheme="majorHAnsi" w:eastAsia="Times New Roman" w:hAnsiTheme="majorHAnsi" w:cstheme="majorHAnsi"/>
                <w:color w:val="000000"/>
                <w:sz w:val="20"/>
                <w:szCs w:val="20"/>
                <w:lang w:eastAsia="pl-PL"/>
              </w:rPr>
            </w:pPr>
          </w:p>
        </w:tc>
      </w:tr>
      <w:tr w:rsidR="00EA2B5F" w:rsidRPr="00F25EBD" w14:paraId="5B896BF3" w14:textId="77777777" w:rsidTr="00C2211E">
        <w:trPr>
          <w:trHeight w:val="276"/>
          <w:jc w:val="center"/>
        </w:trPr>
        <w:tc>
          <w:tcPr>
            <w:tcW w:w="3961" w:type="pct"/>
            <w:tcBorders>
              <w:top w:val="single" w:sz="4" w:space="0" w:color="808080" w:themeColor="background1" w:themeShade="80"/>
              <w:left w:val="nil"/>
              <w:bottom w:val="single" w:sz="4" w:space="0" w:color="808080" w:themeColor="background1" w:themeShade="80"/>
              <w:right w:val="nil"/>
            </w:tcBorders>
            <w:shd w:val="clear" w:color="auto" w:fill="auto"/>
            <w:noWrap/>
            <w:vAlign w:val="bottom"/>
            <w:hideMark/>
          </w:tcPr>
          <w:p w14:paraId="01DD6E9E" w14:textId="77777777" w:rsidR="00EA2B5F" w:rsidRPr="00F25EBD" w:rsidRDefault="00EA2B5F" w:rsidP="00C2211E">
            <w:pPr>
              <w:spacing w:after="0" w:line="240" w:lineRule="auto"/>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monterzy elektronicy</w:t>
            </w:r>
          </w:p>
        </w:tc>
        <w:tc>
          <w:tcPr>
            <w:tcW w:w="260"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shd w:val="clear" w:color="auto" w:fill="auto"/>
            <w:noWrap/>
            <w:vAlign w:val="bottom"/>
            <w:hideMark/>
          </w:tcPr>
          <w:p w14:paraId="26E94FC2" w14:textId="77777777" w:rsidR="00EA2B5F" w:rsidRPr="00F25EBD" w:rsidRDefault="00EA2B5F" w:rsidP="00C2211E">
            <w:pPr>
              <w:spacing w:after="0" w:line="240" w:lineRule="auto"/>
              <w:rPr>
                <w:rFonts w:asciiTheme="majorHAnsi" w:eastAsia="Times New Roman" w:hAnsiTheme="majorHAnsi" w:cstheme="majorHAnsi"/>
                <w:color w:val="000000"/>
                <w:sz w:val="20"/>
                <w:szCs w:val="20"/>
                <w:lang w:eastAsia="pl-PL"/>
              </w:rPr>
            </w:pPr>
          </w:p>
        </w:tc>
        <w:tc>
          <w:tcPr>
            <w:tcW w:w="26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5FA58D55" w14:textId="77777777" w:rsidR="00EA2B5F" w:rsidRPr="00F25EBD" w:rsidRDefault="00EA2B5F" w:rsidP="00C2211E">
            <w:pPr>
              <w:spacing w:after="0" w:line="240" w:lineRule="auto"/>
              <w:jc w:val="right"/>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1</w:t>
            </w:r>
          </w:p>
        </w:tc>
        <w:tc>
          <w:tcPr>
            <w:tcW w:w="26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6D2BEE23" w14:textId="77777777" w:rsidR="00EA2B5F" w:rsidRPr="00F25EBD" w:rsidRDefault="00EA2B5F" w:rsidP="00C2211E">
            <w:pPr>
              <w:spacing w:after="0" w:line="240" w:lineRule="auto"/>
              <w:jc w:val="right"/>
              <w:rPr>
                <w:rFonts w:asciiTheme="majorHAnsi" w:eastAsia="Times New Roman" w:hAnsiTheme="majorHAnsi" w:cstheme="majorHAnsi"/>
                <w:color w:val="000000"/>
                <w:sz w:val="20"/>
                <w:szCs w:val="20"/>
                <w:lang w:eastAsia="pl-PL"/>
              </w:rPr>
            </w:pPr>
          </w:p>
        </w:tc>
        <w:tc>
          <w:tcPr>
            <w:tcW w:w="260"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shd w:val="clear" w:color="auto" w:fill="auto"/>
            <w:noWrap/>
            <w:vAlign w:val="bottom"/>
            <w:hideMark/>
          </w:tcPr>
          <w:p w14:paraId="495BA302" w14:textId="77777777" w:rsidR="00EA2B5F" w:rsidRPr="00F25EBD" w:rsidRDefault="00EA2B5F" w:rsidP="00C2211E">
            <w:pPr>
              <w:spacing w:after="0" w:line="240" w:lineRule="auto"/>
              <w:rPr>
                <w:rFonts w:asciiTheme="majorHAnsi" w:eastAsia="Times New Roman" w:hAnsiTheme="majorHAnsi" w:cstheme="majorHAnsi"/>
                <w:sz w:val="20"/>
                <w:szCs w:val="20"/>
                <w:lang w:eastAsia="pl-PL"/>
              </w:rPr>
            </w:pPr>
          </w:p>
        </w:tc>
      </w:tr>
      <w:tr w:rsidR="00EA2B5F" w:rsidRPr="00F25EBD" w14:paraId="30281910" w14:textId="77777777" w:rsidTr="00C2211E">
        <w:trPr>
          <w:trHeight w:val="276"/>
          <w:jc w:val="center"/>
        </w:trPr>
        <w:tc>
          <w:tcPr>
            <w:tcW w:w="3961" w:type="pct"/>
            <w:tcBorders>
              <w:top w:val="single" w:sz="4" w:space="0" w:color="808080" w:themeColor="background1" w:themeShade="80"/>
              <w:left w:val="nil"/>
              <w:bottom w:val="single" w:sz="4" w:space="0" w:color="808080" w:themeColor="background1" w:themeShade="80"/>
              <w:right w:val="nil"/>
            </w:tcBorders>
            <w:shd w:val="clear" w:color="auto" w:fill="auto"/>
            <w:noWrap/>
            <w:vAlign w:val="bottom"/>
            <w:hideMark/>
          </w:tcPr>
          <w:p w14:paraId="41FF3C84" w14:textId="77777777" w:rsidR="00EA2B5F" w:rsidRPr="00F25EBD" w:rsidRDefault="00EA2B5F" w:rsidP="00C2211E">
            <w:pPr>
              <w:spacing w:after="0" w:line="240" w:lineRule="auto"/>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monterzy instalacji budowlanych</w:t>
            </w:r>
          </w:p>
        </w:tc>
        <w:tc>
          <w:tcPr>
            <w:tcW w:w="260"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shd w:val="clear" w:color="auto" w:fill="auto"/>
            <w:noWrap/>
            <w:vAlign w:val="bottom"/>
            <w:hideMark/>
          </w:tcPr>
          <w:p w14:paraId="77C17BBA" w14:textId="77777777" w:rsidR="00EA2B5F" w:rsidRPr="00F25EBD" w:rsidRDefault="00EA2B5F" w:rsidP="00C2211E">
            <w:pPr>
              <w:spacing w:after="0" w:line="240" w:lineRule="auto"/>
              <w:jc w:val="right"/>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1</w:t>
            </w:r>
          </w:p>
        </w:tc>
        <w:tc>
          <w:tcPr>
            <w:tcW w:w="26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54B47E5D" w14:textId="77777777" w:rsidR="00EA2B5F" w:rsidRPr="00F25EBD" w:rsidRDefault="00EA2B5F" w:rsidP="00C2211E">
            <w:pPr>
              <w:spacing w:after="0" w:line="240" w:lineRule="auto"/>
              <w:jc w:val="right"/>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1</w:t>
            </w:r>
          </w:p>
        </w:tc>
        <w:tc>
          <w:tcPr>
            <w:tcW w:w="26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2B608FED" w14:textId="77777777" w:rsidR="00EA2B5F" w:rsidRPr="00F25EBD" w:rsidRDefault="00EA2B5F" w:rsidP="00C2211E">
            <w:pPr>
              <w:spacing w:after="0" w:line="240" w:lineRule="auto"/>
              <w:jc w:val="right"/>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1</w:t>
            </w:r>
          </w:p>
        </w:tc>
        <w:tc>
          <w:tcPr>
            <w:tcW w:w="260"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shd w:val="clear" w:color="auto" w:fill="auto"/>
            <w:noWrap/>
            <w:vAlign w:val="bottom"/>
            <w:hideMark/>
          </w:tcPr>
          <w:p w14:paraId="327E3E48" w14:textId="77777777" w:rsidR="00EA2B5F" w:rsidRPr="00F25EBD" w:rsidRDefault="00EA2B5F" w:rsidP="00C2211E">
            <w:pPr>
              <w:spacing w:after="0" w:line="240" w:lineRule="auto"/>
              <w:jc w:val="right"/>
              <w:rPr>
                <w:rFonts w:asciiTheme="majorHAnsi" w:eastAsia="Times New Roman" w:hAnsiTheme="majorHAnsi" w:cstheme="majorHAnsi"/>
                <w:color w:val="000000"/>
                <w:sz w:val="20"/>
                <w:szCs w:val="20"/>
                <w:lang w:eastAsia="pl-PL"/>
              </w:rPr>
            </w:pPr>
          </w:p>
        </w:tc>
      </w:tr>
      <w:tr w:rsidR="00EA2B5F" w:rsidRPr="00F25EBD" w14:paraId="5F07AF3D" w14:textId="77777777" w:rsidTr="00C2211E">
        <w:trPr>
          <w:trHeight w:val="276"/>
          <w:jc w:val="center"/>
        </w:trPr>
        <w:tc>
          <w:tcPr>
            <w:tcW w:w="3961" w:type="pct"/>
            <w:tcBorders>
              <w:top w:val="single" w:sz="4" w:space="0" w:color="808080" w:themeColor="background1" w:themeShade="80"/>
              <w:left w:val="nil"/>
              <w:bottom w:val="single" w:sz="4" w:space="0" w:color="808080" w:themeColor="background1" w:themeShade="80"/>
              <w:right w:val="nil"/>
            </w:tcBorders>
            <w:shd w:val="clear" w:color="auto" w:fill="auto"/>
            <w:noWrap/>
            <w:vAlign w:val="bottom"/>
            <w:hideMark/>
          </w:tcPr>
          <w:p w14:paraId="0D564A8A" w14:textId="77777777" w:rsidR="00EA2B5F" w:rsidRPr="00F25EBD" w:rsidRDefault="00EA2B5F" w:rsidP="00C2211E">
            <w:pPr>
              <w:spacing w:after="0" w:line="240" w:lineRule="auto"/>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murarze i tynkarze</w:t>
            </w:r>
          </w:p>
        </w:tc>
        <w:tc>
          <w:tcPr>
            <w:tcW w:w="260"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shd w:val="clear" w:color="auto" w:fill="auto"/>
            <w:noWrap/>
            <w:vAlign w:val="bottom"/>
            <w:hideMark/>
          </w:tcPr>
          <w:p w14:paraId="42764DCD" w14:textId="77777777" w:rsidR="00EA2B5F" w:rsidRPr="00F25EBD" w:rsidRDefault="00EA2B5F" w:rsidP="00C2211E">
            <w:pPr>
              <w:spacing w:after="0" w:line="240" w:lineRule="auto"/>
              <w:jc w:val="right"/>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1</w:t>
            </w:r>
          </w:p>
        </w:tc>
        <w:tc>
          <w:tcPr>
            <w:tcW w:w="26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4F9377C1" w14:textId="77777777" w:rsidR="00EA2B5F" w:rsidRPr="00F25EBD" w:rsidRDefault="00EA2B5F" w:rsidP="00C2211E">
            <w:pPr>
              <w:spacing w:after="0" w:line="240" w:lineRule="auto"/>
              <w:jc w:val="right"/>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1</w:t>
            </w:r>
          </w:p>
        </w:tc>
        <w:tc>
          <w:tcPr>
            <w:tcW w:w="26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67660F7C" w14:textId="77777777" w:rsidR="00EA2B5F" w:rsidRPr="00F25EBD" w:rsidRDefault="00EA2B5F" w:rsidP="00C2211E">
            <w:pPr>
              <w:spacing w:after="0" w:line="240" w:lineRule="auto"/>
              <w:jc w:val="right"/>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1</w:t>
            </w:r>
          </w:p>
        </w:tc>
        <w:tc>
          <w:tcPr>
            <w:tcW w:w="260"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shd w:val="clear" w:color="auto" w:fill="auto"/>
            <w:noWrap/>
            <w:vAlign w:val="bottom"/>
            <w:hideMark/>
          </w:tcPr>
          <w:p w14:paraId="516D0939" w14:textId="77777777" w:rsidR="00EA2B5F" w:rsidRPr="00F25EBD" w:rsidRDefault="00EA2B5F" w:rsidP="00C2211E">
            <w:pPr>
              <w:spacing w:after="0" w:line="240" w:lineRule="auto"/>
              <w:jc w:val="right"/>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1</w:t>
            </w:r>
          </w:p>
        </w:tc>
      </w:tr>
      <w:tr w:rsidR="00EA2B5F" w:rsidRPr="00F25EBD" w14:paraId="5D3C4287" w14:textId="77777777" w:rsidTr="00C2211E">
        <w:trPr>
          <w:trHeight w:val="276"/>
          <w:jc w:val="center"/>
        </w:trPr>
        <w:tc>
          <w:tcPr>
            <w:tcW w:w="3961" w:type="pct"/>
            <w:tcBorders>
              <w:top w:val="single" w:sz="4" w:space="0" w:color="808080" w:themeColor="background1" w:themeShade="80"/>
              <w:left w:val="nil"/>
              <w:bottom w:val="single" w:sz="4" w:space="0" w:color="808080" w:themeColor="background1" w:themeShade="80"/>
              <w:right w:val="nil"/>
            </w:tcBorders>
            <w:shd w:val="clear" w:color="auto" w:fill="auto"/>
            <w:noWrap/>
            <w:vAlign w:val="bottom"/>
            <w:hideMark/>
          </w:tcPr>
          <w:p w14:paraId="44DAA7B4" w14:textId="77777777" w:rsidR="00EA2B5F" w:rsidRPr="00F25EBD" w:rsidRDefault="00EA2B5F" w:rsidP="00C2211E">
            <w:pPr>
              <w:spacing w:after="0" w:line="240" w:lineRule="auto"/>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nauczyciele języków obcych i lektorzy</w:t>
            </w:r>
          </w:p>
        </w:tc>
        <w:tc>
          <w:tcPr>
            <w:tcW w:w="260"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shd w:val="clear" w:color="auto" w:fill="auto"/>
            <w:noWrap/>
            <w:vAlign w:val="bottom"/>
            <w:hideMark/>
          </w:tcPr>
          <w:p w14:paraId="1360777D" w14:textId="77777777" w:rsidR="00EA2B5F" w:rsidRPr="00F25EBD" w:rsidRDefault="00EA2B5F" w:rsidP="00C2211E">
            <w:pPr>
              <w:spacing w:after="0" w:line="240" w:lineRule="auto"/>
              <w:jc w:val="right"/>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1</w:t>
            </w:r>
          </w:p>
        </w:tc>
        <w:tc>
          <w:tcPr>
            <w:tcW w:w="26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76D4BABE" w14:textId="77777777" w:rsidR="00EA2B5F" w:rsidRPr="00F25EBD" w:rsidRDefault="00EA2B5F" w:rsidP="00C2211E">
            <w:pPr>
              <w:spacing w:after="0" w:line="240" w:lineRule="auto"/>
              <w:jc w:val="right"/>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1</w:t>
            </w:r>
          </w:p>
        </w:tc>
        <w:tc>
          <w:tcPr>
            <w:tcW w:w="26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5A0CFE09" w14:textId="77777777" w:rsidR="00EA2B5F" w:rsidRPr="00F25EBD" w:rsidRDefault="00EA2B5F" w:rsidP="00C2211E">
            <w:pPr>
              <w:spacing w:after="0" w:line="240" w:lineRule="auto"/>
              <w:jc w:val="right"/>
              <w:rPr>
                <w:rFonts w:asciiTheme="majorHAnsi" w:eastAsia="Times New Roman" w:hAnsiTheme="majorHAnsi" w:cstheme="majorHAnsi"/>
                <w:color w:val="000000"/>
                <w:sz w:val="20"/>
                <w:szCs w:val="20"/>
                <w:lang w:eastAsia="pl-PL"/>
              </w:rPr>
            </w:pPr>
          </w:p>
        </w:tc>
        <w:tc>
          <w:tcPr>
            <w:tcW w:w="260"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shd w:val="clear" w:color="auto" w:fill="auto"/>
            <w:noWrap/>
            <w:vAlign w:val="bottom"/>
            <w:hideMark/>
          </w:tcPr>
          <w:p w14:paraId="3F7A9894" w14:textId="77777777" w:rsidR="00EA2B5F" w:rsidRPr="00F25EBD" w:rsidRDefault="00EA2B5F" w:rsidP="00C2211E">
            <w:pPr>
              <w:spacing w:after="0" w:line="240" w:lineRule="auto"/>
              <w:rPr>
                <w:rFonts w:asciiTheme="majorHAnsi" w:eastAsia="Times New Roman" w:hAnsiTheme="majorHAnsi" w:cstheme="majorHAnsi"/>
                <w:sz w:val="20"/>
                <w:szCs w:val="20"/>
                <w:lang w:eastAsia="pl-PL"/>
              </w:rPr>
            </w:pPr>
          </w:p>
        </w:tc>
      </w:tr>
      <w:tr w:rsidR="00EA2B5F" w:rsidRPr="00F25EBD" w14:paraId="0A193427" w14:textId="77777777" w:rsidTr="00C2211E">
        <w:trPr>
          <w:trHeight w:val="276"/>
          <w:jc w:val="center"/>
        </w:trPr>
        <w:tc>
          <w:tcPr>
            <w:tcW w:w="3961" w:type="pct"/>
            <w:tcBorders>
              <w:top w:val="single" w:sz="4" w:space="0" w:color="808080" w:themeColor="background1" w:themeShade="80"/>
              <w:left w:val="nil"/>
              <w:bottom w:val="single" w:sz="4" w:space="0" w:color="808080" w:themeColor="background1" w:themeShade="80"/>
              <w:right w:val="nil"/>
            </w:tcBorders>
            <w:shd w:val="clear" w:color="auto" w:fill="auto"/>
            <w:noWrap/>
            <w:vAlign w:val="bottom"/>
            <w:hideMark/>
          </w:tcPr>
          <w:p w14:paraId="6BD109EF" w14:textId="77777777" w:rsidR="00EA2B5F" w:rsidRPr="00F25EBD" w:rsidRDefault="00EA2B5F" w:rsidP="00C2211E">
            <w:pPr>
              <w:spacing w:after="0" w:line="240" w:lineRule="auto"/>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nauczyciele praktycznej nauki zawodu</w:t>
            </w:r>
          </w:p>
        </w:tc>
        <w:tc>
          <w:tcPr>
            <w:tcW w:w="260"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shd w:val="clear" w:color="auto" w:fill="auto"/>
            <w:noWrap/>
            <w:vAlign w:val="bottom"/>
            <w:hideMark/>
          </w:tcPr>
          <w:p w14:paraId="4D770E4F" w14:textId="77777777" w:rsidR="00EA2B5F" w:rsidRPr="00F25EBD" w:rsidRDefault="00EA2B5F" w:rsidP="00C2211E">
            <w:pPr>
              <w:spacing w:after="0" w:line="240" w:lineRule="auto"/>
              <w:jc w:val="right"/>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1</w:t>
            </w:r>
          </w:p>
        </w:tc>
        <w:tc>
          <w:tcPr>
            <w:tcW w:w="26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6B6CC988" w14:textId="77777777" w:rsidR="00EA2B5F" w:rsidRPr="00F25EBD" w:rsidRDefault="00EA2B5F" w:rsidP="00C2211E">
            <w:pPr>
              <w:spacing w:after="0" w:line="240" w:lineRule="auto"/>
              <w:jc w:val="right"/>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1</w:t>
            </w:r>
          </w:p>
        </w:tc>
        <w:tc>
          <w:tcPr>
            <w:tcW w:w="26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477C68A2" w14:textId="77777777" w:rsidR="00EA2B5F" w:rsidRPr="00F25EBD" w:rsidRDefault="00EA2B5F" w:rsidP="00C2211E">
            <w:pPr>
              <w:spacing w:after="0" w:line="240" w:lineRule="auto"/>
              <w:jc w:val="right"/>
              <w:rPr>
                <w:rFonts w:asciiTheme="majorHAnsi" w:eastAsia="Times New Roman" w:hAnsiTheme="majorHAnsi" w:cstheme="majorHAnsi"/>
                <w:color w:val="000000"/>
                <w:sz w:val="20"/>
                <w:szCs w:val="20"/>
                <w:lang w:eastAsia="pl-PL"/>
              </w:rPr>
            </w:pPr>
          </w:p>
        </w:tc>
        <w:tc>
          <w:tcPr>
            <w:tcW w:w="260"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shd w:val="clear" w:color="auto" w:fill="auto"/>
            <w:noWrap/>
            <w:vAlign w:val="bottom"/>
            <w:hideMark/>
          </w:tcPr>
          <w:p w14:paraId="0AC6DD01" w14:textId="77777777" w:rsidR="00EA2B5F" w:rsidRPr="00F25EBD" w:rsidRDefault="00EA2B5F" w:rsidP="00C2211E">
            <w:pPr>
              <w:spacing w:after="0" w:line="240" w:lineRule="auto"/>
              <w:rPr>
                <w:rFonts w:asciiTheme="majorHAnsi" w:eastAsia="Times New Roman" w:hAnsiTheme="majorHAnsi" w:cstheme="majorHAnsi"/>
                <w:sz w:val="20"/>
                <w:szCs w:val="20"/>
                <w:lang w:eastAsia="pl-PL"/>
              </w:rPr>
            </w:pPr>
          </w:p>
        </w:tc>
      </w:tr>
      <w:tr w:rsidR="00EA2B5F" w:rsidRPr="00F25EBD" w14:paraId="120842AA" w14:textId="77777777" w:rsidTr="00C2211E">
        <w:trPr>
          <w:trHeight w:val="276"/>
          <w:jc w:val="center"/>
        </w:trPr>
        <w:tc>
          <w:tcPr>
            <w:tcW w:w="3961" w:type="pct"/>
            <w:tcBorders>
              <w:top w:val="single" w:sz="4" w:space="0" w:color="808080" w:themeColor="background1" w:themeShade="80"/>
              <w:left w:val="nil"/>
              <w:bottom w:val="single" w:sz="4" w:space="0" w:color="808080" w:themeColor="background1" w:themeShade="80"/>
              <w:right w:val="nil"/>
            </w:tcBorders>
            <w:shd w:val="clear" w:color="auto" w:fill="auto"/>
            <w:noWrap/>
            <w:vAlign w:val="bottom"/>
            <w:hideMark/>
          </w:tcPr>
          <w:p w14:paraId="03F265E8" w14:textId="77777777" w:rsidR="00EA2B5F" w:rsidRPr="00F25EBD" w:rsidRDefault="00EA2B5F" w:rsidP="00C2211E">
            <w:pPr>
              <w:spacing w:after="0" w:line="240" w:lineRule="auto"/>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nauczyciele przedmiotów zawodowych</w:t>
            </w:r>
          </w:p>
        </w:tc>
        <w:tc>
          <w:tcPr>
            <w:tcW w:w="260"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shd w:val="clear" w:color="auto" w:fill="auto"/>
            <w:noWrap/>
            <w:vAlign w:val="bottom"/>
            <w:hideMark/>
          </w:tcPr>
          <w:p w14:paraId="053C2F6E" w14:textId="77777777" w:rsidR="00EA2B5F" w:rsidRPr="00F25EBD" w:rsidRDefault="00EA2B5F" w:rsidP="00C2211E">
            <w:pPr>
              <w:spacing w:after="0" w:line="240" w:lineRule="auto"/>
              <w:jc w:val="right"/>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1</w:t>
            </w:r>
          </w:p>
        </w:tc>
        <w:tc>
          <w:tcPr>
            <w:tcW w:w="26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70F440A3" w14:textId="77777777" w:rsidR="00EA2B5F" w:rsidRPr="00F25EBD" w:rsidRDefault="00EA2B5F" w:rsidP="00C2211E">
            <w:pPr>
              <w:spacing w:after="0" w:line="240" w:lineRule="auto"/>
              <w:jc w:val="right"/>
              <w:rPr>
                <w:rFonts w:asciiTheme="majorHAnsi" w:eastAsia="Times New Roman" w:hAnsiTheme="majorHAnsi" w:cstheme="majorHAnsi"/>
                <w:color w:val="000000"/>
                <w:sz w:val="20"/>
                <w:szCs w:val="20"/>
                <w:lang w:eastAsia="pl-PL"/>
              </w:rPr>
            </w:pPr>
          </w:p>
        </w:tc>
        <w:tc>
          <w:tcPr>
            <w:tcW w:w="26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65609776" w14:textId="77777777" w:rsidR="00EA2B5F" w:rsidRPr="00F25EBD" w:rsidRDefault="00EA2B5F" w:rsidP="00C2211E">
            <w:pPr>
              <w:spacing w:after="0" w:line="240" w:lineRule="auto"/>
              <w:rPr>
                <w:rFonts w:asciiTheme="majorHAnsi" w:eastAsia="Times New Roman" w:hAnsiTheme="majorHAnsi" w:cstheme="majorHAnsi"/>
                <w:sz w:val="20"/>
                <w:szCs w:val="20"/>
                <w:lang w:eastAsia="pl-PL"/>
              </w:rPr>
            </w:pPr>
          </w:p>
        </w:tc>
        <w:tc>
          <w:tcPr>
            <w:tcW w:w="260"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shd w:val="clear" w:color="auto" w:fill="auto"/>
            <w:noWrap/>
            <w:vAlign w:val="bottom"/>
            <w:hideMark/>
          </w:tcPr>
          <w:p w14:paraId="459F7996" w14:textId="77777777" w:rsidR="00EA2B5F" w:rsidRPr="00F25EBD" w:rsidRDefault="00EA2B5F" w:rsidP="00C2211E">
            <w:pPr>
              <w:spacing w:after="0" w:line="240" w:lineRule="auto"/>
              <w:rPr>
                <w:rFonts w:asciiTheme="majorHAnsi" w:eastAsia="Times New Roman" w:hAnsiTheme="majorHAnsi" w:cstheme="majorHAnsi"/>
                <w:sz w:val="20"/>
                <w:szCs w:val="20"/>
                <w:lang w:eastAsia="pl-PL"/>
              </w:rPr>
            </w:pPr>
          </w:p>
        </w:tc>
      </w:tr>
      <w:tr w:rsidR="00EA2B5F" w:rsidRPr="00F25EBD" w14:paraId="352F338B" w14:textId="77777777" w:rsidTr="00C2211E">
        <w:trPr>
          <w:trHeight w:val="276"/>
          <w:jc w:val="center"/>
        </w:trPr>
        <w:tc>
          <w:tcPr>
            <w:tcW w:w="3961" w:type="pct"/>
            <w:tcBorders>
              <w:top w:val="single" w:sz="4" w:space="0" w:color="808080" w:themeColor="background1" w:themeShade="80"/>
              <w:left w:val="nil"/>
              <w:bottom w:val="single" w:sz="4" w:space="0" w:color="808080" w:themeColor="background1" w:themeShade="80"/>
              <w:right w:val="nil"/>
            </w:tcBorders>
            <w:shd w:val="clear" w:color="auto" w:fill="auto"/>
            <w:noWrap/>
            <w:vAlign w:val="bottom"/>
            <w:hideMark/>
          </w:tcPr>
          <w:p w14:paraId="61F23F0F" w14:textId="77777777" w:rsidR="00EA2B5F" w:rsidRPr="00F25EBD" w:rsidRDefault="00EA2B5F" w:rsidP="00C2211E">
            <w:pPr>
              <w:spacing w:after="0" w:line="240" w:lineRule="auto"/>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nauczyciele szkół specjalnych i oddziałów integracyjnych</w:t>
            </w:r>
          </w:p>
        </w:tc>
        <w:tc>
          <w:tcPr>
            <w:tcW w:w="260"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shd w:val="clear" w:color="auto" w:fill="auto"/>
            <w:noWrap/>
            <w:vAlign w:val="bottom"/>
            <w:hideMark/>
          </w:tcPr>
          <w:p w14:paraId="256A1158" w14:textId="77777777" w:rsidR="00EA2B5F" w:rsidRPr="00F25EBD" w:rsidRDefault="00EA2B5F" w:rsidP="00C2211E">
            <w:pPr>
              <w:spacing w:after="0" w:line="240" w:lineRule="auto"/>
              <w:rPr>
                <w:rFonts w:asciiTheme="majorHAnsi" w:eastAsia="Times New Roman" w:hAnsiTheme="majorHAnsi" w:cstheme="majorHAnsi"/>
                <w:color w:val="000000"/>
                <w:sz w:val="20"/>
                <w:szCs w:val="20"/>
                <w:lang w:eastAsia="pl-PL"/>
              </w:rPr>
            </w:pPr>
          </w:p>
        </w:tc>
        <w:tc>
          <w:tcPr>
            <w:tcW w:w="26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71283036" w14:textId="77777777" w:rsidR="00EA2B5F" w:rsidRPr="00F25EBD" w:rsidRDefault="00EA2B5F" w:rsidP="00C2211E">
            <w:pPr>
              <w:spacing w:after="0" w:line="240" w:lineRule="auto"/>
              <w:rPr>
                <w:rFonts w:asciiTheme="majorHAnsi" w:eastAsia="Times New Roman" w:hAnsiTheme="majorHAnsi" w:cstheme="majorHAnsi"/>
                <w:sz w:val="20"/>
                <w:szCs w:val="20"/>
                <w:lang w:eastAsia="pl-PL"/>
              </w:rPr>
            </w:pPr>
          </w:p>
        </w:tc>
        <w:tc>
          <w:tcPr>
            <w:tcW w:w="26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2DCE8041" w14:textId="77777777" w:rsidR="00EA2B5F" w:rsidRPr="00F25EBD" w:rsidRDefault="00EA2B5F" w:rsidP="00C2211E">
            <w:pPr>
              <w:spacing w:after="0" w:line="240" w:lineRule="auto"/>
              <w:jc w:val="right"/>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1</w:t>
            </w:r>
          </w:p>
        </w:tc>
        <w:tc>
          <w:tcPr>
            <w:tcW w:w="260"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shd w:val="clear" w:color="auto" w:fill="auto"/>
            <w:noWrap/>
            <w:vAlign w:val="bottom"/>
            <w:hideMark/>
          </w:tcPr>
          <w:p w14:paraId="661B022C" w14:textId="77777777" w:rsidR="00EA2B5F" w:rsidRPr="00F25EBD" w:rsidRDefault="00EA2B5F" w:rsidP="00C2211E">
            <w:pPr>
              <w:spacing w:after="0" w:line="240" w:lineRule="auto"/>
              <w:jc w:val="right"/>
              <w:rPr>
                <w:rFonts w:asciiTheme="majorHAnsi" w:eastAsia="Times New Roman" w:hAnsiTheme="majorHAnsi" w:cstheme="majorHAnsi"/>
                <w:color w:val="000000"/>
                <w:sz w:val="20"/>
                <w:szCs w:val="20"/>
                <w:lang w:eastAsia="pl-PL"/>
              </w:rPr>
            </w:pPr>
          </w:p>
        </w:tc>
      </w:tr>
      <w:tr w:rsidR="00EA2B5F" w:rsidRPr="00F25EBD" w14:paraId="1F020FC3" w14:textId="77777777" w:rsidTr="00C2211E">
        <w:trPr>
          <w:trHeight w:val="276"/>
          <w:jc w:val="center"/>
        </w:trPr>
        <w:tc>
          <w:tcPr>
            <w:tcW w:w="3961" w:type="pct"/>
            <w:tcBorders>
              <w:top w:val="single" w:sz="4" w:space="0" w:color="808080" w:themeColor="background1" w:themeShade="80"/>
              <w:left w:val="nil"/>
              <w:bottom w:val="single" w:sz="4" w:space="0" w:color="808080" w:themeColor="background1" w:themeShade="80"/>
              <w:right w:val="nil"/>
            </w:tcBorders>
            <w:shd w:val="clear" w:color="auto" w:fill="auto"/>
            <w:noWrap/>
            <w:vAlign w:val="bottom"/>
            <w:hideMark/>
          </w:tcPr>
          <w:p w14:paraId="6ED92200" w14:textId="77777777" w:rsidR="00EA2B5F" w:rsidRPr="00F25EBD" w:rsidRDefault="00EA2B5F" w:rsidP="00C2211E">
            <w:pPr>
              <w:spacing w:after="0" w:line="240" w:lineRule="auto"/>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operatorzy aparatury medycznej</w:t>
            </w:r>
          </w:p>
        </w:tc>
        <w:tc>
          <w:tcPr>
            <w:tcW w:w="260"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shd w:val="clear" w:color="auto" w:fill="auto"/>
            <w:noWrap/>
            <w:vAlign w:val="bottom"/>
            <w:hideMark/>
          </w:tcPr>
          <w:p w14:paraId="1AFA5748" w14:textId="77777777" w:rsidR="00EA2B5F" w:rsidRPr="00F25EBD" w:rsidRDefault="00EA2B5F" w:rsidP="00C2211E">
            <w:pPr>
              <w:spacing w:after="0" w:line="240" w:lineRule="auto"/>
              <w:rPr>
                <w:rFonts w:asciiTheme="majorHAnsi" w:eastAsia="Times New Roman" w:hAnsiTheme="majorHAnsi" w:cstheme="majorHAnsi"/>
                <w:color w:val="000000"/>
                <w:sz w:val="20"/>
                <w:szCs w:val="20"/>
                <w:lang w:eastAsia="pl-PL"/>
              </w:rPr>
            </w:pPr>
          </w:p>
        </w:tc>
        <w:tc>
          <w:tcPr>
            <w:tcW w:w="26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10F3339C" w14:textId="77777777" w:rsidR="00EA2B5F" w:rsidRPr="00F25EBD" w:rsidRDefault="00EA2B5F" w:rsidP="00C2211E">
            <w:pPr>
              <w:spacing w:after="0" w:line="240" w:lineRule="auto"/>
              <w:jc w:val="right"/>
              <w:rPr>
                <w:rFonts w:asciiTheme="majorHAnsi" w:eastAsia="Times New Roman" w:hAnsiTheme="majorHAnsi" w:cstheme="majorHAnsi"/>
                <w:b/>
                <w:bCs/>
                <w:color w:val="FF0000"/>
                <w:sz w:val="20"/>
                <w:szCs w:val="20"/>
                <w:lang w:eastAsia="pl-PL"/>
              </w:rPr>
            </w:pPr>
            <w:r w:rsidRPr="00F25EBD">
              <w:rPr>
                <w:rFonts w:asciiTheme="majorHAnsi" w:eastAsia="Times New Roman" w:hAnsiTheme="majorHAnsi" w:cstheme="majorHAnsi"/>
                <w:b/>
                <w:bCs/>
                <w:color w:val="FF0000"/>
                <w:sz w:val="20"/>
                <w:szCs w:val="20"/>
                <w:lang w:eastAsia="pl-PL"/>
              </w:rPr>
              <w:t>1</w:t>
            </w:r>
          </w:p>
        </w:tc>
        <w:tc>
          <w:tcPr>
            <w:tcW w:w="26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5D0FA1F7" w14:textId="77777777" w:rsidR="00EA2B5F" w:rsidRPr="00F25EBD" w:rsidRDefault="00EA2B5F" w:rsidP="00C2211E">
            <w:pPr>
              <w:spacing w:after="0" w:line="240" w:lineRule="auto"/>
              <w:jc w:val="right"/>
              <w:rPr>
                <w:rFonts w:asciiTheme="majorHAnsi" w:eastAsia="Times New Roman" w:hAnsiTheme="majorHAnsi" w:cstheme="majorHAnsi"/>
                <w:b/>
                <w:bCs/>
                <w:color w:val="FF0000"/>
                <w:sz w:val="20"/>
                <w:szCs w:val="20"/>
                <w:lang w:eastAsia="pl-PL"/>
              </w:rPr>
            </w:pPr>
          </w:p>
        </w:tc>
        <w:tc>
          <w:tcPr>
            <w:tcW w:w="260"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shd w:val="clear" w:color="auto" w:fill="auto"/>
            <w:noWrap/>
            <w:vAlign w:val="bottom"/>
            <w:hideMark/>
          </w:tcPr>
          <w:p w14:paraId="3BC566B5" w14:textId="77777777" w:rsidR="00EA2B5F" w:rsidRPr="00F25EBD" w:rsidRDefault="00EA2B5F" w:rsidP="00C2211E">
            <w:pPr>
              <w:spacing w:after="0" w:line="240" w:lineRule="auto"/>
              <w:rPr>
                <w:rFonts w:asciiTheme="majorHAnsi" w:eastAsia="Times New Roman" w:hAnsiTheme="majorHAnsi" w:cstheme="majorHAnsi"/>
                <w:sz w:val="20"/>
                <w:szCs w:val="20"/>
                <w:lang w:eastAsia="pl-PL"/>
              </w:rPr>
            </w:pPr>
          </w:p>
        </w:tc>
      </w:tr>
      <w:tr w:rsidR="00EA2B5F" w:rsidRPr="00F25EBD" w14:paraId="52FF16ED" w14:textId="77777777" w:rsidTr="00C2211E">
        <w:trPr>
          <w:trHeight w:val="276"/>
          <w:jc w:val="center"/>
        </w:trPr>
        <w:tc>
          <w:tcPr>
            <w:tcW w:w="3961" w:type="pct"/>
            <w:tcBorders>
              <w:top w:val="single" w:sz="4" w:space="0" w:color="808080" w:themeColor="background1" w:themeShade="80"/>
              <w:left w:val="nil"/>
              <w:bottom w:val="single" w:sz="4" w:space="0" w:color="808080" w:themeColor="background1" w:themeShade="80"/>
              <w:right w:val="nil"/>
            </w:tcBorders>
            <w:shd w:val="clear" w:color="auto" w:fill="auto"/>
            <w:noWrap/>
            <w:vAlign w:val="bottom"/>
            <w:hideMark/>
          </w:tcPr>
          <w:p w14:paraId="2D2375CC" w14:textId="77777777" w:rsidR="00EA2B5F" w:rsidRPr="00F25EBD" w:rsidRDefault="00EA2B5F" w:rsidP="00C2211E">
            <w:pPr>
              <w:spacing w:after="0" w:line="240" w:lineRule="auto"/>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operatorzy i mechanicy sprzętu do robót ziemnych</w:t>
            </w:r>
          </w:p>
        </w:tc>
        <w:tc>
          <w:tcPr>
            <w:tcW w:w="260"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shd w:val="clear" w:color="auto" w:fill="auto"/>
            <w:noWrap/>
            <w:vAlign w:val="bottom"/>
            <w:hideMark/>
          </w:tcPr>
          <w:p w14:paraId="446AD14D" w14:textId="77777777" w:rsidR="00EA2B5F" w:rsidRPr="00F25EBD" w:rsidRDefault="00EA2B5F" w:rsidP="00C2211E">
            <w:pPr>
              <w:spacing w:after="0" w:line="240" w:lineRule="auto"/>
              <w:jc w:val="right"/>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1</w:t>
            </w:r>
          </w:p>
        </w:tc>
        <w:tc>
          <w:tcPr>
            <w:tcW w:w="26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50EC47AB" w14:textId="77777777" w:rsidR="00EA2B5F" w:rsidRPr="00F25EBD" w:rsidRDefault="00EA2B5F" w:rsidP="00C2211E">
            <w:pPr>
              <w:spacing w:after="0" w:line="240" w:lineRule="auto"/>
              <w:jc w:val="right"/>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1</w:t>
            </w:r>
          </w:p>
        </w:tc>
        <w:tc>
          <w:tcPr>
            <w:tcW w:w="26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13865D04" w14:textId="77777777" w:rsidR="00EA2B5F" w:rsidRPr="00F25EBD" w:rsidRDefault="00EA2B5F" w:rsidP="00C2211E">
            <w:pPr>
              <w:spacing w:after="0" w:line="240" w:lineRule="auto"/>
              <w:jc w:val="right"/>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1</w:t>
            </w:r>
          </w:p>
        </w:tc>
        <w:tc>
          <w:tcPr>
            <w:tcW w:w="260"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shd w:val="clear" w:color="auto" w:fill="auto"/>
            <w:noWrap/>
            <w:vAlign w:val="bottom"/>
            <w:hideMark/>
          </w:tcPr>
          <w:p w14:paraId="24AB1987" w14:textId="77777777" w:rsidR="00EA2B5F" w:rsidRPr="00F25EBD" w:rsidRDefault="00EA2B5F" w:rsidP="00C2211E">
            <w:pPr>
              <w:spacing w:after="0" w:line="240" w:lineRule="auto"/>
              <w:jc w:val="right"/>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1</w:t>
            </w:r>
          </w:p>
        </w:tc>
      </w:tr>
      <w:tr w:rsidR="00EA2B5F" w:rsidRPr="00F25EBD" w14:paraId="4FADD83D" w14:textId="77777777" w:rsidTr="00C2211E">
        <w:trPr>
          <w:trHeight w:val="276"/>
          <w:jc w:val="center"/>
        </w:trPr>
        <w:tc>
          <w:tcPr>
            <w:tcW w:w="3961" w:type="pct"/>
            <w:tcBorders>
              <w:top w:val="single" w:sz="4" w:space="0" w:color="808080" w:themeColor="background1" w:themeShade="80"/>
              <w:left w:val="nil"/>
              <w:bottom w:val="single" w:sz="4" w:space="0" w:color="808080" w:themeColor="background1" w:themeShade="80"/>
              <w:right w:val="nil"/>
            </w:tcBorders>
            <w:shd w:val="clear" w:color="auto" w:fill="auto"/>
            <w:noWrap/>
            <w:vAlign w:val="bottom"/>
            <w:hideMark/>
          </w:tcPr>
          <w:p w14:paraId="1F1F557F" w14:textId="77777777" w:rsidR="00EA2B5F" w:rsidRPr="00F25EBD" w:rsidRDefault="00EA2B5F" w:rsidP="00C2211E">
            <w:pPr>
              <w:spacing w:after="0" w:line="240" w:lineRule="auto"/>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operatorzy maszyn do produkcji wyrobów z gumy i tworzyw sztucznych</w:t>
            </w:r>
          </w:p>
        </w:tc>
        <w:tc>
          <w:tcPr>
            <w:tcW w:w="260"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shd w:val="clear" w:color="auto" w:fill="auto"/>
            <w:noWrap/>
            <w:vAlign w:val="bottom"/>
            <w:hideMark/>
          </w:tcPr>
          <w:p w14:paraId="101FA2FC" w14:textId="77777777" w:rsidR="00EA2B5F" w:rsidRPr="00F25EBD" w:rsidRDefault="00EA2B5F" w:rsidP="00C2211E">
            <w:pPr>
              <w:spacing w:after="0" w:line="240" w:lineRule="auto"/>
              <w:jc w:val="right"/>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1</w:t>
            </w:r>
          </w:p>
        </w:tc>
        <w:tc>
          <w:tcPr>
            <w:tcW w:w="26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28BC59B7" w14:textId="77777777" w:rsidR="00EA2B5F" w:rsidRPr="00F25EBD" w:rsidRDefault="00EA2B5F" w:rsidP="00C2211E">
            <w:pPr>
              <w:spacing w:after="0" w:line="240" w:lineRule="auto"/>
              <w:jc w:val="right"/>
              <w:rPr>
                <w:rFonts w:asciiTheme="majorHAnsi" w:eastAsia="Times New Roman" w:hAnsiTheme="majorHAnsi" w:cstheme="majorHAnsi"/>
                <w:color w:val="000000"/>
                <w:sz w:val="20"/>
                <w:szCs w:val="20"/>
                <w:lang w:eastAsia="pl-PL"/>
              </w:rPr>
            </w:pPr>
          </w:p>
        </w:tc>
        <w:tc>
          <w:tcPr>
            <w:tcW w:w="26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5CCA95D9" w14:textId="77777777" w:rsidR="00EA2B5F" w:rsidRPr="00F25EBD" w:rsidRDefault="00EA2B5F" w:rsidP="00C2211E">
            <w:pPr>
              <w:spacing w:after="0" w:line="240" w:lineRule="auto"/>
              <w:rPr>
                <w:rFonts w:asciiTheme="majorHAnsi" w:eastAsia="Times New Roman" w:hAnsiTheme="majorHAnsi" w:cstheme="majorHAnsi"/>
                <w:sz w:val="20"/>
                <w:szCs w:val="20"/>
                <w:lang w:eastAsia="pl-PL"/>
              </w:rPr>
            </w:pPr>
          </w:p>
        </w:tc>
        <w:tc>
          <w:tcPr>
            <w:tcW w:w="260"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shd w:val="clear" w:color="auto" w:fill="auto"/>
            <w:noWrap/>
            <w:vAlign w:val="bottom"/>
            <w:hideMark/>
          </w:tcPr>
          <w:p w14:paraId="62E393E6" w14:textId="77777777" w:rsidR="00EA2B5F" w:rsidRPr="00F25EBD" w:rsidRDefault="00EA2B5F" w:rsidP="00C2211E">
            <w:pPr>
              <w:spacing w:after="0" w:line="240" w:lineRule="auto"/>
              <w:rPr>
                <w:rFonts w:asciiTheme="majorHAnsi" w:eastAsia="Times New Roman" w:hAnsiTheme="majorHAnsi" w:cstheme="majorHAnsi"/>
                <w:sz w:val="20"/>
                <w:szCs w:val="20"/>
                <w:lang w:eastAsia="pl-PL"/>
              </w:rPr>
            </w:pPr>
          </w:p>
        </w:tc>
      </w:tr>
      <w:tr w:rsidR="00EA2B5F" w:rsidRPr="00F25EBD" w14:paraId="37881BC1" w14:textId="77777777" w:rsidTr="00C2211E">
        <w:trPr>
          <w:trHeight w:val="276"/>
          <w:jc w:val="center"/>
        </w:trPr>
        <w:tc>
          <w:tcPr>
            <w:tcW w:w="3961" w:type="pct"/>
            <w:tcBorders>
              <w:top w:val="single" w:sz="4" w:space="0" w:color="808080" w:themeColor="background1" w:themeShade="80"/>
              <w:left w:val="nil"/>
              <w:bottom w:val="single" w:sz="4" w:space="0" w:color="808080" w:themeColor="background1" w:themeShade="80"/>
              <w:right w:val="nil"/>
            </w:tcBorders>
            <w:shd w:val="clear" w:color="auto" w:fill="auto"/>
            <w:noWrap/>
            <w:vAlign w:val="bottom"/>
            <w:hideMark/>
          </w:tcPr>
          <w:p w14:paraId="5B4D7566" w14:textId="77777777" w:rsidR="00EA2B5F" w:rsidRPr="00F25EBD" w:rsidRDefault="00EA2B5F" w:rsidP="00C2211E">
            <w:pPr>
              <w:spacing w:after="0" w:line="240" w:lineRule="auto"/>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operatorzy maszyn rolniczych i ogrodniczych</w:t>
            </w:r>
          </w:p>
        </w:tc>
        <w:tc>
          <w:tcPr>
            <w:tcW w:w="260"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shd w:val="clear" w:color="auto" w:fill="auto"/>
            <w:noWrap/>
            <w:vAlign w:val="bottom"/>
            <w:hideMark/>
          </w:tcPr>
          <w:p w14:paraId="459DB0B5" w14:textId="77777777" w:rsidR="00EA2B5F" w:rsidRPr="00F25EBD" w:rsidRDefault="00EA2B5F" w:rsidP="00C2211E">
            <w:pPr>
              <w:spacing w:after="0" w:line="240" w:lineRule="auto"/>
              <w:rPr>
                <w:rFonts w:asciiTheme="majorHAnsi" w:eastAsia="Times New Roman" w:hAnsiTheme="majorHAnsi" w:cstheme="majorHAnsi"/>
                <w:color w:val="000000"/>
                <w:sz w:val="20"/>
                <w:szCs w:val="20"/>
                <w:lang w:eastAsia="pl-PL"/>
              </w:rPr>
            </w:pPr>
          </w:p>
        </w:tc>
        <w:tc>
          <w:tcPr>
            <w:tcW w:w="26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4D90E3BF" w14:textId="77777777" w:rsidR="00EA2B5F" w:rsidRPr="00F25EBD" w:rsidRDefault="00EA2B5F" w:rsidP="00C2211E">
            <w:pPr>
              <w:spacing w:after="0" w:line="240" w:lineRule="auto"/>
              <w:jc w:val="right"/>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1</w:t>
            </w:r>
          </w:p>
        </w:tc>
        <w:tc>
          <w:tcPr>
            <w:tcW w:w="26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4A7E07FA" w14:textId="77777777" w:rsidR="00EA2B5F" w:rsidRPr="00F25EBD" w:rsidRDefault="00EA2B5F" w:rsidP="00C2211E">
            <w:pPr>
              <w:spacing w:after="0" w:line="240" w:lineRule="auto"/>
              <w:jc w:val="right"/>
              <w:rPr>
                <w:rFonts w:asciiTheme="majorHAnsi" w:eastAsia="Times New Roman" w:hAnsiTheme="majorHAnsi" w:cstheme="majorHAnsi"/>
                <w:color w:val="000000"/>
                <w:sz w:val="20"/>
                <w:szCs w:val="20"/>
                <w:lang w:eastAsia="pl-PL"/>
              </w:rPr>
            </w:pPr>
          </w:p>
        </w:tc>
        <w:tc>
          <w:tcPr>
            <w:tcW w:w="260"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shd w:val="clear" w:color="auto" w:fill="auto"/>
            <w:noWrap/>
            <w:vAlign w:val="bottom"/>
            <w:hideMark/>
          </w:tcPr>
          <w:p w14:paraId="6004E9BF" w14:textId="77777777" w:rsidR="00EA2B5F" w:rsidRPr="00F25EBD" w:rsidRDefault="00EA2B5F" w:rsidP="00C2211E">
            <w:pPr>
              <w:spacing w:after="0" w:line="240" w:lineRule="auto"/>
              <w:rPr>
                <w:rFonts w:asciiTheme="majorHAnsi" w:eastAsia="Times New Roman" w:hAnsiTheme="majorHAnsi" w:cstheme="majorHAnsi"/>
                <w:sz w:val="20"/>
                <w:szCs w:val="20"/>
                <w:lang w:eastAsia="pl-PL"/>
              </w:rPr>
            </w:pPr>
          </w:p>
        </w:tc>
      </w:tr>
      <w:tr w:rsidR="00EA2B5F" w:rsidRPr="00F25EBD" w14:paraId="3F28168E" w14:textId="77777777" w:rsidTr="00C2211E">
        <w:trPr>
          <w:trHeight w:val="276"/>
          <w:jc w:val="center"/>
        </w:trPr>
        <w:tc>
          <w:tcPr>
            <w:tcW w:w="3961" w:type="pct"/>
            <w:tcBorders>
              <w:top w:val="single" w:sz="4" w:space="0" w:color="808080" w:themeColor="background1" w:themeShade="80"/>
              <w:left w:val="nil"/>
              <w:bottom w:val="single" w:sz="4" w:space="0" w:color="808080" w:themeColor="background1" w:themeShade="80"/>
              <w:right w:val="nil"/>
            </w:tcBorders>
            <w:shd w:val="clear" w:color="auto" w:fill="auto"/>
            <w:noWrap/>
            <w:vAlign w:val="bottom"/>
            <w:hideMark/>
          </w:tcPr>
          <w:p w14:paraId="7B9D8D02" w14:textId="77777777" w:rsidR="00EA2B5F" w:rsidRPr="00F25EBD" w:rsidRDefault="00EA2B5F" w:rsidP="00C2211E">
            <w:pPr>
              <w:spacing w:after="0" w:line="240" w:lineRule="auto"/>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operatorzy maszyn włókienniczych</w:t>
            </w:r>
          </w:p>
        </w:tc>
        <w:tc>
          <w:tcPr>
            <w:tcW w:w="260"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shd w:val="clear" w:color="auto" w:fill="auto"/>
            <w:noWrap/>
            <w:vAlign w:val="bottom"/>
            <w:hideMark/>
          </w:tcPr>
          <w:p w14:paraId="66377405" w14:textId="77777777" w:rsidR="00EA2B5F" w:rsidRPr="00F25EBD" w:rsidRDefault="00EA2B5F" w:rsidP="00C2211E">
            <w:pPr>
              <w:spacing w:after="0" w:line="240" w:lineRule="auto"/>
              <w:rPr>
                <w:rFonts w:asciiTheme="majorHAnsi" w:eastAsia="Times New Roman" w:hAnsiTheme="majorHAnsi" w:cstheme="majorHAnsi"/>
                <w:color w:val="000000"/>
                <w:sz w:val="20"/>
                <w:szCs w:val="20"/>
                <w:lang w:eastAsia="pl-PL"/>
              </w:rPr>
            </w:pPr>
          </w:p>
        </w:tc>
        <w:tc>
          <w:tcPr>
            <w:tcW w:w="26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786ACC0A" w14:textId="77777777" w:rsidR="00EA2B5F" w:rsidRPr="00F25EBD" w:rsidRDefault="00EA2B5F" w:rsidP="00C2211E">
            <w:pPr>
              <w:spacing w:after="0" w:line="240" w:lineRule="auto"/>
              <w:rPr>
                <w:rFonts w:asciiTheme="majorHAnsi" w:eastAsia="Times New Roman" w:hAnsiTheme="majorHAnsi" w:cstheme="majorHAnsi"/>
                <w:sz w:val="20"/>
                <w:szCs w:val="20"/>
                <w:lang w:eastAsia="pl-PL"/>
              </w:rPr>
            </w:pPr>
          </w:p>
        </w:tc>
        <w:tc>
          <w:tcPr>
            <w:tcW w:w="26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34228EE0" w14:textId="77777777" w:rsidR="00EA2B5F" w:rsidRPr="00F25EBD" w:rsidRDefault="00EA2B5F" w:rsidP="00C2211E">
            <w:pPr>
              <w:spacing w:after="0" w:line="240" w:lineRule="auto"/>
              <w:rPr>
                <w:rFonts w:asciiTheme="majorHAnsi" w:eastAsia="Times New Roman" w:hAnsiTheme="majorHAnsi" w:cstheme="majorHAnsi"/>
                <w:sz w:val="20"/>
                <w:szCs w:val="20"/>
                <w:lang w:eastAsia="pl-PL"/>
              </w:rPr>
            </w:pPr>
          </w:p>
        </w:tc>
        <w:tc>
          <w:tcPr>
            <w:tcW w:w="260"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shd w:val="clear" w:color="auto" w:fill="auto"/>
            <w:noWrap/>
            <w:vAlign w:val="bottom"/>
            <w:hideMark/>
          </w:tcPr>
          <w:p w14:paraId="2CCFE8F0" w14:textId="77777777" w:rsidR="00EA2B5F" w:rsidRPr="00F25EBD" w:rsidRDefault="00EA2B5F" w:rsidP="00C2211E">
            <w:pPr>
              <w:spacing w:after="0" w:line="240" w:lineRule="auto"/>
              <w:jc w:val="right"/>
              <w:rPr>
                <w:rFonts w:asciiTheme="majorHAnsi" w:eastAsia="Times New Roman" w:hAnsiTheme="majorHAnsi" w:cstheme="majorHAnsi"/>
                <w:b/>
                <w:bCs/>
                <w:color w:val="FF0000"/>
                <w:sz w:val="20"/>
                <w:szCs w:val="20"/>
                <w:lang w:eastAsia="pl-PL"/>
              </w:rPr>
            </w:pPr>
            <w:r w:rsidRPr="00F25EBD">
              <w:rPr>
                <w:rFonts w:asciiTheme="majorHAnsi" w:eastAsia="Times New Roman" w:hAnsiTheme="majorHAnsi" w:cstheme="majorHAnsi"/>
                <w:b/>
                <w:bCs/>
                <w:color w:val="FF0000"/>
                <w:sz w:val="20"/>
                <w:szCs w:val="20"/>
                <w:lang w:eastAsia="pl-PL"/>
              </w:rPr>
              <w:t>1</w:t>
            </w:r>
          </w:p>
        </w:tc>
      </w:tr>
      <w:tr w:rsidR="00EA2B5F" w:rsidRPr="00F25EBD" w14:paraId="220F2493" w14:textId="77777777" w:rsidTr="00C2211E">
        <w:trPr>
          <w:trHeight w:val="276"/>
          <w:jc w:val="center"/>
        </w:trPr>
        <w:tc>
          <w:tcPr>
            <w:tcW w:w="3961" w:type="pct"/>
            <w:tcBorders>
              <w:top w:val="single" w:sz="4" w:space="0" w:color="808080" w:themeColor="background1" w:themeShade="80"/>
              <w:left w:val="nil"/>
              <w:bottom w:val="single" w:sz="4" w:space="0" w:color="808080" w:themeColor="background1" w:themeShade="80"/>
              <w:right w:val="nil"/>
            </w:tcBorders>
            <w:shd w:val="clear" w:color="auto" w:fill="auto"/>
            <w:noWrap/>
            <w:vAlign w:val="bottom"/>
            <w:hideMark/>
          </w:tcPr>
          <w:p w14:paraId="7FF6177B" w14:textId="77777777" w:rsidR="00EA2B5F" w:rsidRPr="00F25EBD" w:rsidRDefault="00EA2B5F" w:rsidP="00C2211E">
            <w:pPr>
              <w:spacing w:after="0" w:line="240" w:lineRule="auto"/>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operatorzy obrabiarek skrawających</w:t>
            </w:r>
          </w:p>
        </w:tc>
        <w:tc>
          <w:tcPr>
            <w:tcW w:w="260"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shd w:val="clear" w:color="auto" w:fill="auto"/>
            <w:noWrap/>
            <w:vAlign w:val="bottom"/>
            <w:hideMark/>
          </w:tcPr>
          <w:p w14:paraId="1EEFB7FB" w14:textId="77777777" w:rsidR="00EA2B5F" w:rsidRPr="00F25EBD" w:rsidRDefault="00EA2B5F" w:rsidP="00C2211E">
            <w:pPr>
              <w:spacing w:after="0" w:line="240" w:lineRule="auto"/>
              <w:jc w:val="right"/>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1</w:t>
            </w:r>
          </w:p>
        </w:tc>
        <w:tc>
          <w:tcPr>
            <w:tcW w:w="26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6D71DA0B" w14:textId="77777777" w:rsidR="00EA2B5F" w:rsidRPr="00F25EBD" w:rsidRDefault="00EA2B5F" w:rsidP="00C2211E">
            <w:pPr>
              <w:spacing w:after="0" w:line="240" w:lineRule="auto"/>
              <w:jc w:val="right"/>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1</w:t>
            </w:r>
          </w:p>
        </w:tc>
        <w:tc>
          <w:tcPr>
            <w:tcW w:w="26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43C6CB3C" w14:textId="77777777" w:rsidR="00EA2B5F" w:rsidRPr="00F25EBD" w:rsidRDefault="00EA2B5F" w:rsidP="00C2211E">
            <w:pPr>
              <w:spacing w:after="0" w:line="240" w:lineRule="auto"/>
              <w:jc w:val="right"/>
              <w:rPr>
                <w:rFonts w:asciiTheme="majorHAnsi" w:eastAsia="Times New Roman" w:hAnsiTheme="majorHAnsi" w:cstheme="majorHAnsi"/>
                <w:color w:val="000000"/>
                <w:sz w:val="20"/>
                <w:szCs w:val="20"/>
                <w:lang w:eastAsia="pl-PL"/>
              </w:rPr>
            </w:pPr>
          </w:p>
        </w:tc>
        <w:tc>
          <w:tcPr>
            <w:tcW w:w="260"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shd w:val="clear" w:color="auto" w:fill="auto"/>
            <w:noWrap/>
            <w:vAlign w:val="bottom"/>
            <w:hideMark/>
          </w:tcPr>
          <w:p w14:paraId="3C6FA4B9" w14:textId="77777777" w:rsidR="00EA2B5F" w:rsidRPr="00F25EBD" w:rsidRDefault="00EA2B5F" w:rsidP="00C2211E">
            <w:pPr>
              <w:spacing w:after="0" w:line="240" w:lineRule="auto"/>
              <w:rPr>
                <w:rFonts w:asciiTheme="majorHAnsi" w:eastAsia="Times New Roman" w:hAnsiTheme="majorHAnsi" w:cstheme="majorHAnsi"/>
                <w:sz w:val="20"/>
                <w:szCs w:val="20"/>
                <w:lang w:eastAsia="pl-PL"/>
              </w:rPr>
            </w:pPr>
          </w:p>
        </w:tc>
      </w:tr>
      <w:tr w:rsidR="00EA2B5F" w:rsidRPr="00F25EBD" w14:paraId="4A96D352" w14:textId="77777777" w:rsidTr="00C2211E">
        <w:trPr>
          <w:trHeight w:val="276"/>
          <w:jc w:val="center"/>
        </w:trPr>
        <w:tc>
          <w:tcPr>
            <w:tcW w:w="3961" w:type="pct"/>
            <w:tcBorders>
              <w:top w:val="single" w:sz="4" w:space="0" w:color="808080" w:themeColor="background1" w:themeShade="80"/>
              <w:left w:val="nil"/>
              <w:bottom w:val="single" w:sz="4" w:space="0" w:color="808080" w:themeColor="background1" w:themeShade="80"/>
              <w:right w:val="nil"/>
            </w:tcBorders>
            <w:shd w:val="clear" w:color="auto" w:fill="auto"/>
            <w:noWrap/>
            <w:vAlign w:val="bottom"/>
            <w:hideMark/>
          </w:tcPr>
          <w:p w14:paraId="39FAED4D" w14:textId="77777777" w:rsidR="00EA2B5F" w:rsidRPr="00F25EBD" w:rsidRDefault="00EA2B5F" w:rsidP="00C2211E">
            <w:pPr>
              <w:spacing w:after="0" w:line="240" w:lineRule="auto"/>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operatorzy urządzeń dźwigowo-transportowych</w:t>
            </w:r>
          </w:p>
        </w:tc>
        <w:tc>
          <w:tcPr>
            <w:tcW w:w="260"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shd w:val="clear" w:color="auto" w:fill="auto"/>
            <w:noWrap/>
            <w:vAlign w:val="bottom"/>
            <w:hideMark/>
          </w:tcPr>
          <w:p w14:paraId="6A6E6AE7" w14:textId="77777777" w:rsidR="00EA2B5F" w:rsidRPr="00F25EBD" w:rsidRDefault="00EA2B5F" w:rsidP="00C2211E">
            <w:pPr>
              <w:spacing w:after="0" w:line="240" w:lineRule="auto"/>
              <w:rPr>
                <w:rFonts w:asciiTheme="majorHAnsi" w:eastAsia="Times New Roman" w:hAnsiTheme="majorHAnsi" w:cstheme="majorHAnsi"/>
                <w:color w:val="000000"/>
                <w:sz w:val="20"/>
                <w:szCs w:val="20"/>
                <w:lang w:eastAsia="pl-PL"/>
              </w:rPr>
            </w:pPr>
          </w:p>
        </w:tc>
        <w:tc>
          <w:tcPr>
            <w:tcW w:w="26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29080825" w14:textId="77777777" w:rsidR="00EA2B5F" w:rsidRPr="00F25EBD" w:rsidRDefault="00EA2B5F" w:rsidP="00C2211E">
            <w:pPr>
              <w:spacing w:after="0" w:line="240" w:lineRule="auto"/>
              <w:jc w:val="right"/>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1</w:t>
            </w:r>
          </w:p>
        </w:tc>
        <w:tc>
          <w:tcPr>
            <w:tcW w:w="26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342D4052" w14:textId="77777777" w:rsidR="00EA2B5F" w:rsidRPr="00F25EBD" w:rsidRDefault="00EA2B5F" w:rsidP="00C2211E">
            <w:pPr>
              <w:spacing w:after="0" w:line="240" w:lineRule="auto"/>
              <w:jc w:val="right"/>
              <w:rPr>
                <w:rFonts w:asciiTheme="majorHAnsi" w:eastAsia="Times New Roman" w:hAnsiTheme="majorHAnsi" w:cstheme="majorHAnsi"/>
                <w:color w:val="000000"/>
                <w:sz w:val="20"/>
                <w:szCs w:val="20"/>
                <w:lang w:eastAsia="pl-PL"/>
              </w:rPr>
            </w:pPr>
          </w:p>
        </w:tc>
        <w:tc>
          <w:tcPr>
            <w:tcW w:w="260"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shd w:val="clear" w:color="auto" w:fill="auto"/>
            <w:noWrap/>
            <w:vAlign w:val="bottom"/>
            <w:hideMark/>
          </w:tcPr>
          <w:p w14:paraId="47094B34" w14:textId="77777777" w:rsidR="00EA2B5F" w:rsidRPr="00F25EBD" w:rsidRDefault="00EA2B5F" w:rsidP="00C2211E">
            <w:pPr>
              <w:spacing w:after="0" w:line="240" w:lineRule="auto"/>
              <w:jc w:val="right"/>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1</w:t>
            </w:r>
          </w:p>
        </w:tc>
      </w:tr>
      <w:tr w:rsidR="00EA2B5F" w:rsidRPr="00F25EBD" w14:paraId="16FDD3C2" w14:textId="77777777" w:rsidTr="00C2211E">
        <w:trPr>
          <w:trHeight w:val="276"/>
          <w:jc w:val="center"/>
        </w:trPr>
        <w:tc>
          <w:tcPr>
            <w:tcW w:w="3961" w:type="pct"/>
            <w:tcBorders>
              <w:top w:val="single" w:sz="4" w:space="0" w:color="808080" w:themeColor="background1" w:themeShade="80"/>
              <w:left w:val="nil"/>
              <w:bottom w:val="single" w:sz="4" w:space="0" w:color="808080" w:themeColor="background1" w:themeShade="80"/>
              <w:right w:val="nil"/>
            </w:tcBorders>
            <w:shd w:val="clear" w:color="auto" w:fill="auto"/>
            <w:noWrap/>
            <w:vAlign w:val="bottom"/>
            <w:hideMark/>
          </w:tcPr>
          <w:p w14:paraId="1735CAEE" w14:textId="77777777" w:rsidR="00EA2B5F" w:rsidRPr="00F25EBD" w:rsidRDefault="00EA2B5F" w:rsidP="00C2211E">
            <w:pPr>
              <w:spacing w:after="0" w:line="240" w:lineRule="auto"/>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opiekunowie osoby starszej lub niepełnosprawnej</w:t>
            </w:r>
          </w:p>
        </w:tc>
        <w:tc>
          <w:tcPr>
            <w:tcW w:w="260"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shd w:val="clear" w:color="auto" w:fill="auto"/>
            <w:noWrap/>
            <w:vAlign w:val="bottom"/>
            <w:hideMark/>
          </w:tcPr>
          <w:p w14:paraId="05B6D3A6" w14:textId="77777777" w:rsidR="00EA2B5F" w:rsidRPr="00F25EBD" w:rsidRDefault="00EA2B5F" w:rsidP="00C2211E">
            <w:pPr>
              <w:spacing w:after="0" w:line="240" w:lineRule="auto"/>
              <w:jc w:val="right"/>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1</w:t>
            </w:r>
          </w:p>
        </w:tc>
        <w:tc>
          <w:tcPr>
            <w:tcW w:w="26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51E229D9" w14:textId="77777777" w:rsidR="00EA2B5F" w:rsidRPr="00F25EBD" w:rsidRDefault="00EA2B5F" w:rsidP="00C2211E">
            <w:pPr>
              <w:spacing w:after="0" w:line="240" w:lineRule="auto"/>
              <w:jc w:val="right"/>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1</w:t>
            </w:r>
          </w:p>
        </w:tc>
        <w:tc>
          <w:tcPr>
            <w:tcW w:w="26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6C6C398E" w14:textId="77777777" w:rsidR="00EA2B5F" w:rsidRPr="00F25EBD" w:rsidRDefault="00EA2B5F" w:rsidP="00C2211E">
            <w:pPr>
              <w:spacing w:after="0" w:line="240" w:lineRule="auto"/>
              <w:jc w:val="right"/>
              <w:rPr>
                <w:rFonts w:asciiTheme="majorHAnsi" w:eastAsia="Times New Roman" w:hAnsiTheme="majorHAnsi" w:cstheme="majorHAnsi"/>
                <w:color w:val="000000"/>
                <w:sz w:val="20"/>
                <w:szCs w:val="20"/>
                <w:lang w:eastAsia="pl-PL"/>
              </w:rPr>
            </w:pPr>
          </w:p>
        </w:tc>
        <w:tc>
          <w:tcPr>
            <w:tcW w:w="260"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shd w:val="clear" w:color="auto" w:fill="auto"/>
            <w:noWrap/>
            <w:vAlign w:val="bottom"/>
            <w:hideMark/>
          </w:tcPr>
          <w:p w14:paraId="0EE8E09E" w14:textId="77777777" w:rsidR="00EA2B5F" w:rsidRPr="00F25EBD" w:rsidRDefault="00EA2B5F" w:rsidP="00C2211E">
            <w:pPr>
              <w:spacing w:after="0" w:line="240" w:lineRule="auto"/>
              <w:rPr>
                <w:rFonts w:asciiTheme="majorHAnsi" w:eastAsia="Times New Roman" w:hAnsiTheme="majorHAnsi" w:cstheme="majorHAnsi"/>
                <w:sz w:val="20"/>
                <w:szCs w:val="20"/>
                <w:lang w:eastAsia="pl-PL"/>
              </w:rPr>
            </w:pPr>
          </w:p>
        </w:tc>
      </w:tr>
      <w:tr w:rsidR="00EA2B5F" w:rsidRPr="00F25EBD" w14:paraId="741E050A" w14:textId="77777777" w:rsidTr="00C2211E">
        <w:trPr>
          <w:trHeight w:val="276"/>
          <w:jc w:val="center"/>
        </w:trPr>
        <w:tc>
          <w:tcPr>
            <w:tcW w:w="3961" w:type="pct"/>
            <w:tcBorders>
              <w:top w:val="single" w:sz="4" w:space="0" w:color="808080" w:themeColor="background1" w:themeShade="80"/>
              <w:left w:val="nil"/>
              <w:bottom w:val="single" w:sz="4" w:space="0" w:color="808080" w:themeColor="background1" w:themeShade="80"/>
              <w:right w:val="nil"/>
            </w:tcBorders>
            <w:shd w:val="clear" w:color="auto" w:fill="auto"/>
            <w:noWrap/>
            <w:vAlign w:val="bottom"/>
            <w:hideMark/>
          </w:tcPr>
          <w:p w14:paraId="22B18275" w14:textId="77777777" w:rsidR="00EA2B5F" w:rsidRPr="00F25EBD" w:rsidRDefault="00EA2B5F" w:rsidP="00C2211E">
            <w:pPr>
              <w:spacing w:after="0" w:line="240" w:lineRule="auto"/>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piekarze</w:t>
            </w:r>
          </w:p>
        </w:tc>
        <w:tc>
          <w:tcPr>
            <w:tcW w:w="260"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shd w:val="clear" w:color="auto" w:fill="auto"/>
            <w:noWrap/>
            <w:vAlign w:val="bottom"/>
            <w:hideMark/>
          </w:tcPr>
          <w:p w14:paraId="0EE69933" w14:textId="77777777" w:rsidR="00EA2B5F" w:rsidRPr="00F25EBD" w:rsidRDefault="00EA2B5F" w:rsidP="00C2211E">
            <w:pPr>
              <w:spacing w:after="0" w:line="240" w:lineRule="auto"/>
              <w:jc w:val="right"/>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1</w:t>
            </w:r>
          </w:p>
        </w:tc>
        <w:tc>
          <w:tcPr>
            <w:tcW w:w="26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3F8FF313" w14:textId="77777777" w:rsidR="00EA2B5F" w:rsidRPr="00F25EBD" w:rsidRDefault="00EA2B5F" w:rsidP="00C2211E">
            <w:pPr>
              <w:spacing w:after="0" w:line="240" w:lineRule="auto"/>
              <w:jc w:val="right"/>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1</w:t>
            </w:r>
          </w:p>
        </w:tc>
        <w:tc>
          <w:tcPr>
            <w:tcW w:w="26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106CE690" w14:textId="77777777" w:rsidR="00EA2B5F" w:rsidRPr="00F25EBD" w:rsidRDefault="00EA2B5F" w:rsidP="00C2211E">
            <w:pPr>
              <w:spacing w:after="0" w:line="240" w:lineRule="auto"/>
              <w:jc w:val="right"/>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1</w:t>
            </w:r>
          </w:p>
        </w:tc>
        <w:tc>
          <w:tcPr>
            <w:tcW w:w="260"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shd w:val="clear" w:color="auto" w:fill="auto"/>
            <w:noWrap/>
            <w:vAlign w:val="bottom"/>
            <w:hideMark/>
          </w:tcPr>
          <w:p w14:paraId="3CD5E0CE" w14:textId="77777777" w:rsidR="00EA2B5F" w:rsidRPr="00F25EBD" w:rsidRDefault="00EA2B5F" w:rsidP="00C2211E">
            <w:pPr>
              <w:spacing w:after="0" w:line="240" w:lineRule="auto"/>
              <w:jc w:val="right"/>
              <w:rPr>
                <w:rFonts w:asciiTheme="majorHAnsi" w:eastAsia="Times New Roman" w:hAnsiTheme="majorHAnsi" w:cstheme="majorHAnsi"/>
                <w:color w:val="000000"/>
                <w:sz w:val="20"/>
                <w:szCs w:val="20"/>
                <w:lang w:eastAsia="pl-PL"/>
              </w:rPr>
            </w:pPr>
          </w:p>
        </w:tc>
      </w:tr>
      <w:tr w:rsidR="00EA2B5F" w:rsidRPr="00F25EBD" w14:paraId="2D7458AC" w14:textId="77777777" w:rsidTr="00C2211E">
        <w:trPr>
          <w:trHeight w:val="276"/>
          <w:jc w:val="center"/>
        </w:trPr>
        <w:tc>
          <w:tcPr>
            <w:tcW w:w="3961" w:type="pct"/>
            <w:tcBorders>
              <w:top w:val="single" w:sz="4" w:space="0" w:color="808080" w:themeColor="background1" w:themeShade="80"/>
              <w:left w:val="nil"/>
              <w:bottom w:val="single" w:sz="4" w:space="0" w:color="808080" w:themeColor="background1" w:themeShade="80"/>
              <w:right w:val="nil"/>
            </w:tcBorders>
            <w:shd w:val="clear" w:color="auto" w:fill="auto"/>
            <w:noWrap/>
            <w:vAlign w:val="bottom"/>
            <w:hideMark/>
          </w:tcPr>
          <w:p w14:paraId="3EB45867" w14:textId="77777777" w:rsidR="00EA2B5F" w:rsidRPr="00F25EBD" w:rsidRDefault="00EA2B5F" w:rsidP="00C2211E">
            <w:pPr>
              <w:spacing w:after="0" w:line="240" w:lineRule="auto"/>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pielęgniarki i położne</w:t>
            </w:r>
          </w:p>
        </w:tc>
        <w:tc>
          <w:tcPr>
            <w:tcW w:w="260"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shd w:val="clear" w:color="auto" w:fill="auto"/>
            <w:noWrap/>
            <w:vAlign w:val="bottom"/>
            <w:hideMark/>
          </w:tcPr>
          <w:p w14:paraId="27B0465B" w14:textId="77777777" w:rsidR="00EA2B5F" w:rsidRPr="00F25EBD" w:rsidRDefault="00EA2B5F" w:rsidP="00C2211E">
            <w:pPr>
              <w:spacing w:after="0" w:line="240" w:lineRule="auto"/>
              <w:jc w:val="right"/>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1</w:t>
            </w:r>
          </w:p>
        </w:tc>
        <w:tc>
          <w:tcPr>
            <w:tcW w:w="26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3087C9DB" w14:textId="77777777" w:rsidR="00EA2B5F" w:rsidRPr="00F25EBD" w:rsidRDefault="00EA2B5F" w:rsidP="00C2211E">
            <w:pPr>
              <w:spacing w:after="0" w:line="240" w:lineRule="auto"/>
              <w:jc w:val="right"/>
              <w:rPr>
                <w:rFonts w:asciiTheme="majorHAnsi" w:eastAsia="Times New Roman" w:hAnsiTheme="majorHAnsi" w:cstheme="majorHAnsi"/>
                <w:b/>
                <w:bCs/>
                <w:color w:val="FF0000"/>
                <w:sz w:val="20"/>
                <w:szCs w:val="20"/>
                <w:lang w:eastAsia="pl-PL"/>
              </w:rPr>
            </w:pPr>
            <w:r w:rsidRPr="00F25EBD">
              <w:rPr>
                <w:rFonts w:asciiTheme="majorHAnsi" w:eastAsia="Times New Roman" w:hAnsiTheme="majorHAnsi" w:cstheme="majorHAnsi"/>
                <w:b/>
                <w:bCs/>
                <w:color w:val="FF0000"/>
                <w:sz w:val="20"/>
                <w:szCs w:val="20"/>
                <w:lang w:eastAsia="pl-PL"/>
              </w:rPr>
              <w:t>1</w:t>
            </w:r>
          </w:p>
        </w:tc>
        <w:tc>
          <w:tcPr>
            <w:tcW w:w="26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6457A442" w14:textId="77777777" w:rsidR="00EA2B5F" w:rsidRPr="00F25EBD" w:rsidRDefault="00EA2B5F" w:rsidP="00C2211E">
            <w:pPr>
              <w:spacing w:after="0" w:line="240" w:lineRule="auto"/>
              <w:jc w:val="right"/>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1</w:t>
            </w:r>
          </w:p>
        </w:tc>
        <w:tc>
          <w:tcPr>
            <w:tcW w:w="260"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shd w:val="clear" w:color="auto" w:fill="auto"/>
            <w:noWrap/>
            <w:vAlign w:val="bottom"/>
            <w:hideMark/>
          </w:tcPr>
          <w:p w14:paraId="11455FAE" w14:textId="77777777" w:rsidR="00EA2B5F" w:rsidRPr="00F25EBD" w:rsidRDefault="00EA2B5F" w:rsidP="00C2211E">
            <w:pPr>
              <w:spacing w:after="0" w:line="240" w:lineRule="auto"/>
              <w:jc w:val="right"/>
              <w:rPr>
                <w:rFonts w:asciiTheme="majorHAnsi" w:eastAsia="Times New Roman" w:hAnsiTheme="majorHAnsi" w:cstheme="majorHAnsi"/>
                <w:b/>
                <w:bCs/>
                <w:color w:val="FF0000"/>
                <w:sz w:val="20"/>
                <w:szCs w:val="20"/>
                <w:lang w:eastAsia="pl-PL"/>
              </w:rPr>
            </w:pPr>
            <w:r w:rsidRPr="00F25EBD">
              <w:rPr>
                <w:rFonts w:asciiTheme="majorHAnsi" w:eastAsia="Times New Roman" w:hAnsiTheme="majorHAnsi" w:cstheme="majorHAnsi"/>
                <w:b/>
                <w:bCs/>
                <w:color w:val="FF0000"/>
                <w:sz w:val="20"/>
                <w:szCs w:val="20"/>
                <w:lang w:eastAsia="pl-PL"/>
              </w:rPr>
              <w:t>1</w:t>
            </w:r>
          </w:p>
        </w:tc>
      </w:tr>
      <w:tr w:rsidR="00EA2B5F" w:rsidRPr="00F25EBD" w14:paraId="48B35953" w14:textId="77777777" w:rsidTr="00C2211E">
        <w:trPr>
          <w:trHeight w:val="276"/>
          <w:jc w:val="center"/>
        </w:trPr>
        <w:tc>
          <w:tcPr>
            <w:tcW w:w="3961" w:type="pct"/>
            <w:tcBorders>
              <w:top w:val="single" w:sz="4" w:space="0" w:color="808080" w:themeColor="background1" w:themeShade="80"/>
              <w:left w:val="nil"/>
              <w:bottom w:val="single" w:sz="4" w:space="0" w:color="808080" w:themeColor="background1" w:themeShade="80"/>
              <w:right w:val="nil"/>
            </w:tcBorders>
            <w:shd w:val="clear" w:color="auto" w:fill="auto"/>
            <w:noWrap/>
            <w:vAlign w:val="bottom"/>
            <w:hideMark/>
          </w:tcPr>
          <w:p w14:paraId="637A9CBE" w14:textId="77777777" w:rsidR="00EA2B5F" w:rsidRPr="00F25EBD" w:rsidRDefault="00EA2B5F" w:rsidP="00C2211E">
            <w:pPr>
              <w:spacing w:after="0" w:line="240" w:lineRule="auto"/>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pomoce kuchenne</w:t>
            </w:r>
          </w:p>
        </w:tc>
        <w:tc>
          <w:tcPr>
            <w:tcW w:w="260"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shd w:val="clear" w:color="auto" w:fill="auto"/>
            <w:noWrap/>
            <w:vAlign w:val="bottom"/>
            <w:hideMark/>
          </w:tcPr>
          <w:p w14:paraId="71DC1231" w14:textId="77777777" w:rsidR="00EA2B5F" w:rsidRPr="00F25EBD" w:rsidRDefault="00EA2B5F" w:rsidP="00C2211E">
            <w:pPr>
              <w:spacing w:after="0" w:line="240" w:lineRule="auto"/>
              <w:jc w:val="right"/>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1</w:t>
            </w:r>
          </w:p>
        </w:tc>
        <w:tc>
          <w:tcPr>
            <w:tcW w:w="26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22B2D498" w14:textId="77777777" w:rsidR="00EA2B5F" w:rsidRPr="00F25EBD" w:rsidRDefault="00EA2B5F" w:rsidP="00C2211E">
            <w:pPr>
              <w:spacing w:after="0" w:line="240" w:lineRule="auto"/>
              <w:jc w:val="right"/>
              <w:rPr>
                <w:rFonts w:asciiTheme="majorHAnsi" w:eastAsia="Times New Roman" w:hAnsiTheme="majorHAnsi" w:cstheme="majorHAnsi"/>
                <w:color w:val="000000"/>
                <w:sz w:val="20"/>
                <w:szCs w:val="20"/>
                <w:lang w:eastAsia="pl-PL"/>
              </w:rPr>
            </w:pPr>
          </w:p>
        </w:tc>
        <w:tc>
          <w:tcPr>
            <w:tcW w:w="26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4192892F" w14:textId="77777777" w:rsidR="00EA2B5F" w:rsidRPr="00F25EBD" w:rsidRDefault="00EA2B5F" w:rsidP="00C2211E">
            <w:pPr>
              <w:spacing w:after="0" w:line="240" w:lineRule="auto"/>
              <w:rPr>
                <w:rFonts w:asciiTheme="majorHAnsi" w:eastAsia="Times New Roman" w:hAnsiTheme="majorHAnsi" w:cstheme="majorHAnsi"/>
                <w:sz w:val="20"/>
                <w:szCs w:val="20"/>
                <w:lang w:eastAsia="pl-PL"/>
              </w:rPr>
            </w:pPr>
          </w:p>
        </w:tc>
        <w:tc>
          <w:tcPr>
            <w:tcW w:w="260"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shd w:val="clear" w:color="auto" w:fill="auto"/>
            <w:noWrap/>
            <w:vAlign w:val="bottom"/>
            <w:hideMark/>
          </w:tcPr>
          <w:p w14:paraId="2DA5B23B" w14:textId="77777777" w:rsidR="00EA2B5F" w:rsidRPr="00F25EBD" w:rsidRDefault="00EA2B5F" w:rsidP="00C2211E">
            <w:pPr>
              <w:spacing w:after="0" w:line="240" w:lineRule="auto"/>
              <w:rPr>
                <w:rFonts w:asciiTheme="majorHAnsi" w:eastAsia="Times New Roman" w:hAnsiTheme="majorHAnsi" w:cstheme="majorHAnsi"/>
                <w:sz w:val="20"/>
                <w:szCs w:val="20"/>
                <w:lang w:eastAsia="pl-PL"/>
              </w:rPr>
            </w:pPr>
          </w:p>
        </w:tc>
      </w:tr>
      <w:tr w:rsidR="00EA2B5F" w:rsidRPr="00F25EBD" w14:paraId="32C24E11" w14:textId="77777777" w:rsidTr="00C2211E">
        <w:trPr>
          <w:trHeight w:val="276"/>
          <w:jc w:val="center"/>
        </w:trPr>
        <w:tc>
          <w:tcPr>
            <w:tcW w:w="3961" w:type="pct"/>
            <w:tcBorders>
              <w:top w:val="single" w:sz="4" w:space="0" w:color="808080" w:themeColor="background1" w:themeShade="80"/>
              <w:left w:val="nil"/>
              <w:bottom w:val="single" w:sz="4" w:space="0" w:color="808080" w:themeColor="background1" w:themeShade="80"/>
              <w:right w:val="nil"/>
            </w:tcBorders>
            <w:shd w:val="clear" w:color="auto" w:fill="auto"/>
            <w:noWrap/>
            <w:vAlign w:val="bottom"/>
            <w:hideMark/>
          </w:tcPr>
          <w:p w14:paraId="2376A177" w14:textId="77777777" w:rsidR="00EA2B5F" w:rsidRPr="00F25EBD" w:rsidRDefault="00EA2B5F" w:rsidP="00C2211E">
            <w:pPr>
              <w:spacing w:after="0" w:line="240" w:lineRule="auto"/>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pracownicy ds. budownictwa drogowego</w:t>
            </w:r>
          </w:p>
        </w:tc>
        <w:tc>
          <w:tcPr>
            <w:tcW w:w="260"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shd w:val="clear" w:color="auto" w:fill="auto"/>
            <w:noWrap/>
            <w:vAlign w:val="bottom"/>
            <w:hideMark/>
          </w:tcPr>
          <w:p w14:paraId="191D23AE" w14:textId="77777777" w:rsidR="00EA2B5F" w:rsidRPr="00F25EBD" w:rsidRDefault="00EA2B5F" w:rsidP="00C2211E">
            <w:pPr>
              <w:spacing w:after="0" w:line="240" w:lineRule="auto"/>
              <w:jc w:val="right"/>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1</w:t>
            </w:r>
          </w:p>
        </w:tc>
        <w:tc>
          <w:tcPr>
            <w:tcW w:w="26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0DEE8EB3" w14:textId="77777777" w:rsidR="00EA2B5F" w:rsidRPr="00F25EBD" w:rsidRDefault="00EA2B5F" w:rsidP="00C2211E">
            <w:pPr>
              <w:spacing w:after="0" w:line="240" w:lineRule="auto"/>
              <w:jc w:val="right"/>
              <w:rPr>
                <w:rFonts w:asciiTheme="majorHAnsi" w:eastAsia="Times New Roman" w:hAnsiTheme="majorHAnsi" w:cstheme="majorHAnsi"/>
                <w:color w:val="000000"/>
                <w:sz w:val="20"/>
                <w:szCs w:val="20"/>
                <w:lang w:eastAsia="pl-PL"/>
              </w:rPr>
            </w:pPr>
          </w:p>
        </w:tc>
        <w:tc>
          <w:tcPr>
            <w:tcW w:w="26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13E51D41" w14:textId="77777777" w:rsidR="00EA2B5F" w:rsidRPr="00F25EBD" w:rsidRDefault="00EA2B5F" w:rsidP="00C2211E">
            <w:pPr>
              <w:spacing w:after="0" w:line="240" w:lineRule="auto"/>
              <w:rPr>
                <w:rFonts w:asciiTheme="majorHAnsi" w:eastAsia="Times New Roman" w:hAnsiTheme="majorHAnsi" w:cstheme="majorHAnsi"/>
                <w:sz w:val="20"/>
                <w:szCs w:val="20"/>
                <w:lang w:eastAsia="pl-PL"/>
              </w:rPr>
            </w:pPr>
          </w:p>
        </w:tc>
        <w:tc>
          <w:tcPr>
            <w:tcW w:w="260"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shd w:val="clear" w:color="auto" w:fill="auto"/>
            <w:noWrap/>
            <w:vAlign w:val="bottom"/>
            <w:hideMark/>
          </w:tcPr>
          <w:p w14:paraId="57A0113E" w14:textId="77777777" w:rsidR="00EA2B5F" w:rsidRPr="00F25EBD" w:rsidRDefault="00EA2B5F" w:rsidP="00C2211E">
            <w:pPr>
              <w:spacing w:after="0" w:line="240" w:lineRule="auto"/>
              <w:rPr>
                <w:rFonts w:asciiTheme="majorHAnsi" w:eastAsia="Times New Roman" w:hAnsiTheme="majorHAnsi" w:cstheme="majorHAnsi"/>
                <w:sz w:val="20"/>
                <w:szCs w:val="20"/>
                <w:lang w:eastAsia="pl-PL"/>
              </w:rPr>
            </w:pPr>
          </w:p>
        </w:tc>
      </w:tr>
      <w:tr w:rsidR="00EA2B5F" w:rsidRPr="00F25EBD" w14:paraId="3CAB6367" w14:textId="77777777" w:rsidTr="00C2211E">
        <w:trPr>
          <w:trHeight w:val="276"/>
          <w:jc w:val="center"/>
        </w:trPr>
        <w:tc>
          <w:tcPr>
            <w:tcW w:w="3961" w:type="pct"/>
            <w:tcBorders>
              <w:top w:val="single" w:sz="4" w:space="0" w:color="808080" w:themeColor="background1" w:themeShade="80"/>
              <w:left w:val="nil"/>
              <w:bottom w:val="single" w:sz="4" w:space="0" w:color="808080" w:themeColor="background1" w:themeShade="80"/>
              <w:right w:val="nil"/>
            </w:tcBorders>
            <w:shd w:val="clear" w:color="auto" w:fill="auto"/>
            <w:noWrap/>
            <w:vAlign w:val="bottom"/>
            <w:hideMark/>
          </w:tcPr>
          <w:p w14:paraId="6339B425" w14:textId="77777777" w:rsidR="00EA2B5F" w:rsidRPr="00F25EBD" w:rsidRDefault="00EA2B5F" w:rsidP="00C2211E">
            <w:pPr>
              <w:spacing w:after="0" w:line="240" w:lineRule="auto"/>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pracownicy ds. rachunkowości i księgowości</w:t>
            </w:r>
          </w:p>
        </w:tc>
        <w:tc>
          <w:tcPr>
            <w:tcW w:w="260"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shd w:val="clear" w:color="auto" w:fill="auto"/>
            <w:noWrap/>
            <w:vAlign w:val="bottom"/>
            <w:hideMark/>
          </w:tcPr>
          <w:p w14:paraId="37C0E4B4" w14:textId="77777777" w:rsidR="00EA2B5F" w:rsidRPr="00F25EBD" w:rsidRDefault="00EA2B5F" w:rsidP="00C2211E">
            <w:pPr>
              <w:spacing w:after="0" w:line="240" w:lineRule="auto"/>
              <w:jc w:val="right"/>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1</w:t>
            </w:r>
          </w:p>
        </w:tc>
        <w:tc>
          <w:tcPr>
            <w:tcW w:w="26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7E12B17E" w14:textId="77777777" w:rsidR="00EA2B5F" w:rsidRPr="00F25EBD" w:rsidRDefault="00EA2B5F" w:rsidP="00C2211E">
            <w:pPr>
              <w:spacing w:after="0" w:line="240" w:lineRule="auto"/>
              <w:jc w:val="right"/>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1</w:t>
            </w:r>
          </w:p>
        </w:tc>
        <w:tc>
          <w:tcPr>
            <w:tcW w:w="26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2E302264" w14:textId="77777777" w:rsidR="00EA2B5F" w:rsidRPr="00F25EBD" w:rsidRDefault="00EA2B5F" w:rsidP="00C2211E">
            <w:pPr>
              <w:spacing w:after="0" w:line="240" w:lineRule="auto"/>
              <w:jc w:val="right"/>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1</w:t>
            </w:r>
          </w:p>
        </w:tc>
        <w:tc>
          <w:tcPr>
            <w:tcW w:w="260"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shd w:val="clear" w:color="auto" w:fill="auto"/>
            <w:noWrap/>
            <w:vAlign w:val="bottom"/>
            <w:hideMark/>
          </w:tcPr>
          <w:p w14:paraId="07A4144C" w14:textId="77777777" w:rsidR="00EA2B5F" w:rsidRPr="00F25EBD" w:rsidRDefault="00EA2B5F" w:rsidP="00C2211E">
            <w:pPr>
              <w:spacing w:after="0" w:line="240" w:lineRule="auto"/>
              <w:jc w:val="right"/>
              <w:rPr>
                <w:rFonts w:asciiTheme="majorHAnsi" w:eastAsia="Times New Roman" w:hAnsiTheme="majorHAnsi" w:cstheme="majorHAnsi"/>
                <w:color w:val="000000"/>
                <w:sz w:val="20"/>
                <w:szCs w:val="20"/>
                <w:lang w:eastAsia="pl-PL"/>
              </w:rPr>
            </w:pPr>
          </w:p>
        </w:tc>
      </w:tr>
      <w:tr w:rsidR="00EA2B5F" w:rsidRPr="00F25EBD" w14:paraId="0B03DE5C" w14:textId="77777777" w:rsidTr="00C2211E">
        <w:trPr>
          <w:trHeight w:val="276"/>
          <w:jc w:val="center"/>
        </w:trPr>
        <w:tc>
          <w:tcPr>
            <w:tcW w:w="3961" w:type="pct"/>
            <w:tcBorders>
              <w:top w:val="single" w:sz="4" w:space="0" w:color="808080" w:themeColor="background1" w:themeShade="80"/>
              <w:left w:val="nil"/>
              <w:bottom w:val="single" w:sz="4" w:space="0" w:color="808080" w:themeColor="background1" w:themeShade="80"/>
              <w:right w:val="nil"/>
            </w:tcBorders>
            <w:shd w:val="clear" w:color="auto" w:fill="auto"/>
            <w:noWrap/>
            <w:vAlign w:val="bottom"/>
            <w:hideMark/>
          </w:tcPr>
          <w:p w14:paraId="16113E50" w14:textId="77777777" w:rsidR="00EA2B5F" w:rsidRPr="00F25EBD" w:rsidRDefault="00EA2B5F" w:rsidP="00C2211E">
            <w:pPr>
              <w:spacing w:after="0" w:line="240" w:lineRule="auto"/>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pracownicy poligraficzni</w:t>
            </w:r>
          </w:p>
        </w:tc>
        <w:tc>
          <w:tcPr>
            <w:tcW w:w="260"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shd w:val="clear" w:color="auto" w:fill="auto"/>
            <w:noWrap/>
            <w:vAlign w:val="bottom"/>
            <w:hideMark/>
          </w:tcPr>
          <w:p w14:paraId="2E903903" w14:textId="77777777" w:rsidR="00EA2B5F" w:rsidRPr="00F25EBD" w:rsidRDefault="00EA2B5F" w:rsidP="00C2211E">
            <w:pPr>
              <w:spacing w:after="0" w:line="240" w:lineRule="auto"/>
              <w:jc w:val="right"/>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1</w:t>
            </w:r>
          </w:p>
        </w:tc>
        <w:tc>
          <w:tcPr>
            <w:tcW w:w="26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6DE7F989" w14:textId="77777777" w:rsidR="00EA2B5F" w:rsidRPr="00F25EBD" w:rsidRDefault="00EA2B5F" w:rsidP="00C2211E">
            <w:pPr>
              <w:spacing w:after="0" w:line="240" w:lineRule="auto"/>
              <w:jc w:val="right"/>
              <w:rPr>
                <w:rFonts w:asciiTheme="majorHAnsi" w:eastAsia="Times New Roman" w:hAnsiTheme="majorHAnsi" w:cstheme="majorHAnsi"/>
                <w:color w:val="000000"/>
                <w:sz w:val="20"/>
                <w:szCs w:val="20"/>
                <w:lang w:eastAsia="pl-PL"/>
              </w:rPr>
            </w:pPr>
          </w:p>
        </w:tc>
        <w:tc>
          <w:tcPr>
            <w:tcW w:w="26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775CE79D" w14:textId="77777777" w:rsidR="00EA2B5F" w:rsidRPr="00F25EBD" w:rsidRDefault="00EA2B5F" w:rsidP="00C2211E">
            <w:pPr>
              <w:spacing w:after="0" w:line="240" w:lineRule="auto"/>
              <w:rPr>
                <w:rFonts w:asciiTheme="majorHAnsi" w:eastAsia="Times New Roman" w:hAnsiTheme="majorHAnsi" w:cstheme="majorHAnsi"/>
                <w:sz w:val="20"/>
                <w:szCs w:val="20"/>
                <w:lang w:eastAsia="pl-PL"/>
              </w:rPr>
            </w:pPr>
          </w:p>
        </w:tc>
        <w:tc>
          <w:tcPr>
            <w:tcW w:w="260"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shd w:val="clear" w:color="auto" w:fill="auto"/>
            <w:noWrap/>
            <w:vAlign w:val="bottom"/>
            <w:hideMark/>
          </w:tcPr>
          <w:p w14:paraId="422E7323" w14:textId="77777777" w:rsidR="00EA2B5F" w:rsidRPr="00F25EBD" w:rsidRDefault="00EA2B5F" w:rsidP="00C2211E">
            <w:pPr>
              <w:spacing w:after="0" w:line="240" w:lineRule="auto"/>
              <w:rPr>
                <w:rFonts w:asciiTheme="majorHAnsi" w:eastAsia="Times New Roman" w:hAnsiTheme="majorHAnsi" w:cstheme="majorHAnsi"/>
                <w:sz w:val="20"/>
                <w:szCs w:val="20"/>
                <w:lang w:eastAsia="pl-PL"/>
              </w:rPr>
            </w:pPr>
          </w:p>
        </w:tc>
      </w:tr>
      <w:tr w:rsidR="00EA2B5F" w:rsidRPr="00F25EBD" w14:paraId="00513AA5" w14:textId="77777777" w:rsidTr="00C2211E">
        <w:trPr>
          <w:trHeight w:val="276"/>
          <w:jc w:val="center"/>
        </w:trPr>
        <w:tc>
          <w:tcPr>
            <w:tcW w:w="3961" w:type="pct"/>
            <w:tcBorders>
              <w:top w:val="single" w:sz="4" w:space="0" w:color="808080" w:themeColor="background1" w:themeShade="80"/>
              <w:left w:val="nil"/>
              <w:bottom w:val="single" w:sz="4" w:space="0" w:color="808080" w:themeColor="background1" w:themeShade="80"/>
              <w:right w:val="nil"/>
            </w:tcBorders>
            <w:shd w:val="clear" w:color="auto" w:fill="auto"/>
            <w:noWrap/>
            <w:vAlign w:val="bottom"/>
            <w:hideMark/>
          </w:tcPr>
          <w:p w14:paraId="2E761E54" w14:textId="77777777" w:rsidR="00EA2B5F" w:rsidRPr="00F25EBD" w:rsidRDefault="00EA2B5F" w:rsidP="00C2211E">
            <w:pPr>
              <w:spacing w:after="0" w:line="240" w:lineRule="auto"/>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pracownicy robót wykończeniowych w budownictwie</w:t>
            </w:r>
          </w:p>
        </w:tc>
        <w:tc>
          <w:tcPr>
            <w:tcW w:w="260"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shd w:val="clear" w:color="auto" w:fill="auto"/>
            <w:noWrap/>
            <w:vAlign w:val="bottom"/>
            <w:hideMark/>
          </w:tcPr>
          <w:p w14:paraId="04764B1F" w14:textId="77777777" w:rsidR="00EA2B5F" w:rsidRPr="00F25EBD" w:rsidRDefault="00EA2B5F" w:rsidP="00C2211E">
            <w:pPr>
              <w:spacing w:after="0" w:line="240" w:lineRule="auto"/>
              <w:jc w:val="right"/>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1</w:t>
            </w:r>
          </w:p>
        </w:tc>
        <w:tc>
          <w:tcPr>
            <w:tcW w:w="26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492C8621" w14:textId="77777777" w:rsidR="00EA2B5F" w:rsidRPr="00F25EBD" w:rsidRDefault="00EA2B5F" w:rsidP="00C2211E">
            <w:pPr>
              <w:spacing w:after="0" w:line="240" w:lineRule="auto"/>
              <w:jc w:val="right"/>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1</w:t>
            </w:r>
          </w:p>
        </w:tc>
        <w:tc>
          <w:tcPr>
            <w:tcW w:w="26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4C227DB9" w14:textId="77777777" w:rsidR="00EA2B5F" w:rsidRPr="00F25EBD" w:rsidRDefault="00EA2B5F" w:rsidP="00C2211E">
            <w:pPr>
              <w:spacing w:after="0" w:line="240" w:lineRule="auto"/>
              <w:jc w:val="right"/>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1</w:t>
            </w:r>
          </w:p>
        </w:tc>
        <w:tc>
          <w:tcPr>
            <w:tcW w:w="260"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shd w:val="clear" w:color="auto" w:fill="auto"/>
            <w:noWrap/>
            <w:vAlign w:val="bottom"/>
            <w:hideMark/>
          </w:tcPr>
          <w:p w14:paraId="623E04F6" w14:textId="77777777" w:rsidR="00EA2B5F" w:rsidRPr="00F25EBD" w:rsidRDefault="00EA2B5F" w:rsidP="00C2211E">
            <w:pPr>
              <w:spacing w:after="0" w:line="240" w:lineRule="auto"/>
              <w:jc w:val="right"/>
              <w:rPr>
                <w:rFonts w:asciiTheme="majorHAnsi" w:eastAsia="Times New Roman" w:hAnsiTheme="majorHAnsi" w:cstheme="majorHAnsi"/>
                <w:color w:val="000000"/>
                <w:sz w:val="20"/>
                <w:szCs w:val="20"/>
                <w:lang w:eastAsia="pl-PL"/>
              </w:rPr>
            </w:pPr>
          </w:p>
        </w:tc>
      </w:tr>
      <w:tr w:rsidR="00EA2B5F" w:rsidRPr="00F25EBD" w14:paraId="595322A2" w14:textId="77777777" w:rsidTr="00C2211E">
        <w:trPr>
          <w:trHeight w:val="276"/>
          <w:jc w:val="center"/>
        </w:trPr>
        <w:tc>
          <w:tcPr>
            <w:tcW w:w="3961" w:type="pct"/>
            <w:tcBorders>
              <w:top w:val="single" w:sz="4" w:space="0" w:color="808080" w:themeColor="background1" w:themeShade="80"/>
              <w:left w:val="nil"/>
              <w:bottom w:val="single" w:sz="4" w:space="0" w:color="808080" w:themeColor="background1" w:themeShade="80"/>
              <w:right w:val="nil"/>
            </w:tcBorders>
            <w:shd w:val="clear" w:color="auto" w:fill="auto"/>
            <w:noWrap/>
            <w:vAlign w:val="bottom"/>
            <w:hideMark/>
          </w:tcPr>
          <w:p w14:paraId="47438749" w14:textId="77777777" w:rsidR="00EA2B5F" w:rsidRPr="00F25EBD" w:rsidRDefault="00EA2B5F" w:rsidP="00C2211E">
            <w:pPr>
              <w:spacing w:after="0" w:line="240" w:lineRule="auto"/>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pracownicy socjalni</w:t>
            </w:r>
          </w:p>
        </w:tc>
        <w:tc>
          <w:tcPr>
            <w:tcW w:w="260"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shd w:val="clear" w:color="auto" w:fill="auto"/>
            <w:noWrap/>
            <w:vAlign w:val="bottom"/>
            <w:hideMark/>
          </w:tcPr>
          <w:p w14:paraId="04A9CFF8" w14:textId="77777777" w:rsidR="00EA2B5F" w:rsidRPr="00F25EBD" w:rsidRDefault="00EA2B5F" w:rsidP="00C2211E">
            <w:pPr>
              <w:spacing w:after="0" w:line="240" w:lineRule="auto"/>
              <w:jc w:val="right"/>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1</w:t>
            </w:r>
          </w:p>
        </w:tc>
        <w:tc>
          <w:tcPr>
            <w:tcW w:w="26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019C13CC" w14:textId="77777777" w:rsidR="00EA2B5F" w:rsidRPr="00F25EBD" w:rsidRDefault="00EA2B5F" w:rsidP="00C2211E">
            <w:pPr>
              <w:spacing w:after="0" w:line="240" w:lineRule="auto"/>
              <w:jc w:val="right"/>
              <w:rPr>
                <w:rFonts w:asciiTheme="majorHAnsi" w:eastAsia="Times New Roman" w:hAnsiTheme="majorHAnsi" w:cstheme="majorHAnsi"/>
                <w:color w:val="000000"/>
                <w:sz w:val="20"/>
                <w:szCs w:val="20"/>
                <w:lang w:eastAsia="pl-PL"/>
              </w:rPr>
            </w:pPr>
          </w:p>
        </w:tc>
        <w:tc>
          <w:tcPr>
            <w:tcW w:w="26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5BB01D26" w14:textId="77777777" w:rsidR="00EA2B5F" w:rsidRPr="00F25EBD" w:rsidRDefault="00EA2B5F" w:rsidP="00C2211E">
            <w:pPr>
              <w:spacing w:after="0" w:line="240" w:lineRule="auto"/>
              <w:rPr>
                <w:rFonts w:asciiTheme="majorHAnsi" w:eastAsia="Times New Roman" w:hAnsiTheme="majorHAnsi" w:cstheme="majorHAnsi"/>
                <w:sz w:val="20"/>
                <w:szCs w:val="20"/>
                <w:lang w:eastAsia="pl-PL"/>
              </w:rPr>
            </w:pPr>
          </w:p>
        </w:tc>
        <w:tc>
          <w:tcPr>
            <w:tcW w:w="260"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shd w:val="clear" w:color="auto" w:fill="auto"/>
            <w:noWrap/>
            <w:vAlign w:val="bottom"/>
            <w:hideMark/>
          </w:tcPr>
          <w:p w14:paraId="0E5B22CF" w14:textId="77777777" w:rsidR="00EA2B5F" w:rsidRPr="00F25EBD" w:rsidRDefault="00EA2B5F" w:rsidP="00C2211E">
            <w:pPr>
              <w:spacing w:after="0" w:line="240" w:lineRule="auto"/>
              <w:rPr>
                <w:rFonts w:asciiTheme="majorHAnsi" w:eastAsia="Times New Roman" w:hAnsiTheme="majorHAnsi" w:cstheme="majorHAnsi"/>
                <w:sz w:val="20"/>
                <w:szCs w:val="20"/>
                <w:lang w:eastAsia="pl-PL"/>
              </w:rPr>
            </w:pPr>
          </w:p>
        </w:tc>
      </w:tr>
      <w:tr w:rsidR="00EA2B5F" w:rsidRPr="00F25EBD" w14:paraId="5C414C0A" w14:textId="77777777" w:rsidTr="00C2211E">
        <w:trPr>
          <w:trHeight w:val="276"/>
          <w:jc w:val="center"/>
        </w:trPr>
        <w:tc>
          <w:tcPr>
            <w:tcW w:w="3961" w:type="pct"/>
            <w:tcBorders>
              <w:top w:val="single" w:sz="4" w:space="0" w:color="808080" w:themeColor="background1" w:themeShade="80"/>
              <w:left w:val="nil"/>
              <w:bottom w:val="single" w:sz="4" w:space="0" w:color="808080" w:themeColor="background1" w:themeShade="80"/>
              <w:right w:val="nil"/>
            </w:tcBorders>
            <w:shd w:val="clear" w:color="auto" w:fill="auto"/>
            <w:noWrap/>
            <w:vAlign w:val="bottom"/>
            <w:hideMark/>
          </w:tcPr>
          <w:p w14:paraId="65648CF9" w14:textId="77777777" w:rsidR="00EA2B5F" w:rsidRPr="00F25EBD" w:rsidRDefault="00EA2B5F" w:rsidP="00C2211E">
            <w:pPr>
              <w:spacing w:after="0" w:line="240" w:lineRule="auto"/>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projektanci i administratorzy baz danych, programiści</w:t>
            </w:r>
          </w:p>
        </w:tc>
        <w:tc>
          <w:tcPr>
            <w:tcW w:w="260"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shd w:val="clear" w:color="auto" w:fill="auto"/>
            <w:noWrap/>
            <w:vAlign w:val="bottom"/>
            <w:hideMark/>
          </w:tcPr>
          <w:p w14:paraId="5D810A6A" w14:textId="77777777" w:rsidR="00EA2B5F" w:rsidRPr="00F25EBD" w:rsidRDefault="00EA2B5F" w:rsidP="00C2211E">
            <w:pPr>
              <w:spacing w:after="0" w:line="240" w:lineRule="auto"/>
              <w:rPr>
                <w:rFonts w:asciiTheme="majorHAnsi" w:eastAsia="Times New Roman" w:hAnsiTheme="majorHAnsi" w:cstheme="majorHAnsi"/>
                <w:color w:val="000000"/>
                <w:sz w:val="20"/>
                <w:szCs w:val="20"/>
                <w:lang w:eastAsia="pl-PL"/>
              </w:rPr>
            </w:pPr>
          </w:p>
        </w:tc>
        <w:tc>
          <w:tcPr>
            <w:tcW w:w="26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3A797C2B" w14:textId="77777777" w:rsidR="00EA2B5F" w:rsidRPr="00F25EBD" w:rsidRDefault="00EA2B5F" w:rsidP="00C2211E">
            <w:pPr>
              <w:spacing w:after="0" w:line="240" w:lineRule="auto"/>
              <w:rPr>
                <w:rFonts w:asciiTheme="majorHAnsi" w:eastAsia="Times New Roman" w:hAnsiTheme="majorHAnsi" w:cstheme="majorHAnsi"/>
                <w:sz w:val="20"/>
                <w:szCs w:val="20"/>
                <w:lang w:eastAsia="pl-PL"/>
              </w:rPr>
            </w:pPr>
          </w:p>
        </w:tc>
        <w:tc>
          <w:tcPr>
            <w:tcW w:w="26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619D5A88" w14:textId="77777777" w:rsidR="00EA2B5F" w:rsidRPr="00F25EBD" w:rsidRDefault="00EA2B5F" w:rsidP="00C2211E">
            <w:pPr>
              <w:spacing w:after="0" w:line="240" w:lineRule="auto"/>
              <w:jc w:val="right"/>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1</w:t>
            </w:r>
          </w:p>
        </w:tc>
        <w:tc>
          <w:tcPr>
            <w:tcW w:w="260"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shd w:val="clear" w:color="auto" w:fill="auto"/>
            <w:noWrap/>
            <w:vAlign w:val="bottom"/>
            <w:hideMark/>
          </w:tcPr>
          <w:p w14:paraId="6CA6F63C" w14:textId="77777777" w:rsidR="00EA2B5F" w:rsidRPr="00F25EBD" w:rsidRDefault="00EA2B5F" w:rsidP="00C2211E">
            <w:pPr>
              <w:spacing w:after="0" w:line="240" w:lineRule="auto"/>
              <w:jc w:val="right"/>
              <w:rPr>
                <w:rFonts w:asciiTheme="majorHAnsi" w:eastAsia="Times New Roman" w:hAnsiTheme="majorHAnsi" w:cstheme="majorHAnsi"/>
                <w:color w:val="000000"/>
                <w:sz w:val="20"/>
                <w:szCs w:val="20"/>
                <w:lang w:eastAsia="pl-PL"/>
              </w:rPr>
            </w:pPr>
          </w:p>
        </w:tc>
      </w:tr>
      <w:tr w:rsidR="00EA2B5F" w:rsidRPr="00F25EBD" w14:paraId="3D7DA929" w14:textId="77777777" w:rsidTr="00C2211E">
        <w:trPr>
          <w:trHeight w:val="276"/>
          <w:jc w:val="center"/>
        </w:trPr>
        <w:tc>
          <w:tcPr>
            <w:tcW w:w="3961" w:type="pct"/>
            <w:tcBorders>
              <w:top w:val="single" w:sz="4" w:space="0" w:color="808080" w:themeColor="background1" w:themeShade="80"/>
              <w:left w:val="nil"/>
              <w:bottom w:val="single" w:sz="4" w:space="0" w:color="808080" w:themeColor="background1" w:themeShade="80"/>
              <w:right w:val="nil"/>
            </w:tcBorders>
            <w:shd w:val="clear" w:color="auto" w:fill="auto"/>
            <w:noWrap/>
            <w:vAlign w:val="bottom"/>
            <w:hideMark/>
          </w:tcPr>
          <w:p w14:paraId="500EF95E" w14:textId="77777777" w:rsidR="00EA2B5F" w:rsidRPr="00F25EBD" w:rsidRDefault="00EA2B5F" w:rsidP="00C2211E">
            <w:pPr>
              <w:spacing w:after="0" w:line="240" w:lineRule="auto"/>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projektanci wzornictwa przemysłowego i operatorzy CAD</w:t>
            </w:r>
          </w:p>
        </w:tc>
        <w:tc>
          <w:tcPr>
            <w:tcW w:w="260"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shd w:val="clear" w:color="auto" w:fill="auto"/>
            <w:noWrap/>
            <w:vAlign w:val="bottom"/>
            <w:hideMark/>
          </w:tcPr>
          <w:p w14:paraId="69816DE7" w14:textId="77777777" w:rsidR="00EA2B5F" w:rsidRPr="00F25EBD" w:rsidRDefault="00EA2B5F" w:rsidP="00C2211E">
            <w:pPr>
              <w:spacing w:after="0" w:line="240" w:lineRule="auto"/>
              <w:rPr>
                <w:rFonts w:asciiTheme="majorHAnsi" w:eastAsia="Times New Roman" w:hAnsiTheme="majorHAnsi" w:cstheme="majorHAnsi"/>
                <w:color w:val="000000"/>
                <w:sz w:val="20"/>
                <w:szCs w:val="20"/>
                <w:lang w:eastAsia="pl-PL"/>
              </w:rPr>
            </w:pPr>
          </w:p>
        </w:tc>
        <w:tc>
          <w:tcPr>
            <w:tcW w:w="26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25622032" w14:textId="77777777" w:rsidR="00EA2B5F" w:rsidRPr="00F25EBD" w:rsidRDefault="00EA2B5F" w:rsidP="00C2211E">
            <w:pPr>
              <w:spacing w:after="0" w:line="240" w:lineRule="auto"/>
              <w:jc w:val="right"/>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1</w:t>
            </w:r>
          </w:p>
        </w:tc>
        <w:tc>
          <w:tcPr>
            <w:tcW w:w="26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4079D982" w14:textId="77777777" w:rsidR="00EA2B5F" w:rsidRPr="00F25EBD" w:rsidRDefault="00EA2B5F" w:rsidP="00C2211E">
            <w:pPr>
              <w:spacing w:after="0" w:line="240" w:lineRule="auto"/>
              <w:jc w:val="right"/>
              <w:rPr>
                <w:rFonts w:asciiTheme="majorHAnsi" w:eastAsia="Times New Roman" w:hAnsiTheme="majorHAnsi" w:cstheme="majorHAnsi"/>
                <w:color w:val="000000"/>
                <w:sz w:val="20"/>
                <w:szCs w:val="20"/>
                <w:lang w:eastAsia="pl-PL"/>
              </w:rPr>
            </w:pPr>
          </w:p>
        </w:tc>
        <w:tc>
          <w:tcPr>
            <w:tcW w:w="260"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shd w:val="clear" w:color="auto" w:fill="auto"/>
            <w:noWrap/>
            <w:vAlign w:val="bottom"/>
            <w:hideMark/>
          </w:tcPr>
          <w:p w14:paraId="1D9A24AC" w14:textId="77777777" w:rsidR="00EA2B5F" w:rsidRPr="00F25EBD" w:rsidRDefault="00EA2B5F" w:rsidP="00C2211E">
            <w:pPr>
              <w:spacing w:after="0" w:line="240" w:lineRule="auto"/>
              <w:rPr>
                <w:rFonts w:asciiTheme="majorHAnsi" w:eastAsia="Times New Roman" w:hAnsiTheme="majorHAnsi" w:cstheme="majorHAnsi"/>
                <w:sz w:val="20"/>
                <w:szCs w:val="20"/>
                <w:lang w:eastAsia="pl-PL"/>
              </w:rPr>
            </w:pPr>
          </w:p>
        </w:tc>
      </w:tr>
      <w:tr w:rsidR="00EA2B5F" w:rsidRPr="00F25EBD" w14:paraId="7FA83D55" w14:textId="77777777" w:rsidTr="00C2211E">
        <w:trPr>
          <w:trHeight w:val="276"/>
          <w:jc w:val="center"/>
        </w:trPr>
        <w:tc>
          <w:tcPr>
            <w:tcW w:w="3961" w:type="pct"/>
            <w:tcBorders>
              <w:top w:val="single" w:sz="4" w:space="0" w:color="808080" w:themeColor="background1" w:themeShade="80"/>
              <w:left w:val="nil"/>
              <w:bottom w:val="single" w:sz="4" w:space="0" w:color="808080" w:themeColor="background1" w:themeShade="80"/>
              <w:right w:val="nil"/>
            </w:tcBorders>
            <w:shd w:val="clear" w:color="auto" w:fill="auto"/>
            <w:noWrap/>
            <w:vAlign w:val="bottom"/>
            <w:hideMark/>
          </w:tcPr>
          <w:p w14:paraId="18CF5919" w14:textId="77777777" w:rsidR="00EA2B5F" w:rsidRPr="00F25EBD" w:rsidRDefault="00EA2B5F" w:rsidP="00C2211E">
            <w:pPr>
              <w:spacing w:after="0" w:line="240" w:lineRule="auto"/>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psycholodzy i psychoterapeuci</w:t>
            </w:r>
          </w:p>
        </w:tc>
        <w:tc>
          <w:tcPr>
            <w:tcW w:w="260"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shd w:val="clear" w:color="auto" w:fill="auto"/>
            <w:noWrap/>
            <w:vAlign w:val="bottom"/>
            <w:hideMark/>
          </w:tcPr>
          <w:p w14:paraId="6599C755" w14:textId="77777777" w:rsidR="00EA2B5F" w:rsidRPr="00F25EBD" w:rsidRDefault="00EA2B5F" w:rsidP="00C2211E">
            <w:pPr>
              <w:spacing w:after="0" w:line="240" w:lineRule="auto"/>
              <w:rPr>
                <w:rFonts w:asciiTheme="majorHAnsi" w:eastAsia="Times New Roman" w:hAnsiTheme="majorHAnsi" w:cstheme="majorHAnsi"/>
                <w:color w:val="000000"/>
                <w:sz w:val="20"/>
                <w:szCs w:val="20"/>
                <w:lang w:eastAsia="pl-PL"/>
              </w:rPr>
            </w:pPr>
          </w:p>
        </w:tc>
        <w:tc>
          <w:tcPr>
            <w:tcW w:w="26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5780EB02" w14:textId="77777777" w:rsidR="00EA2B5F" w:rsidRPr="00F25EBD" w:rsidRDefault="00EA2B5F" w:rsidP="00C2211E">
            <w:pPr>
              <w:spacing w:after="0" w:line="240" w:lineRule="auto"/>
              <w:rPr>
                <w:rFonts w:asciiTheme="majorHAnsi" w:eastAsia="Times New Roman" w:hAnsiTheme="majorHAnsi" w:cstheme="majorHAnsi"/>
                <w:sz w:val="20"/>
                <w:szCs w:val="20"/>
                <w:lang w:eastAsia="pl-PL"/>
              </w:rPr>
            </w:pPr>
          </w:p>
        </w:tc>
        <w:tc>
          <w:tcPr>
            <w:tcW w:w="26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07C4917C" w14:textId="77777777" w:rsidR="00EA2B5F" w:rsidRPr="00F25EBD" w:rsidRDefault="00EA2B5F" w:rsidP="00C2211E">
            <w:pPr>
              <w:spacing w:after="0" w:line="240" w:lineRule="auto"/>
              <w:jc w:val="right"/>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1</w:t>
            </w:r>
          </w:p>
        </w:tc>
        <w:tc>
          <w:tcPr>
            <w:tcW w:w="260"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shd w:val="clear" w:color="auto" w:fill="auto"/>
            <w:noWrap/>
            <w:vAlign w:val="bottom"/>
            <w:hideMark/>
          </w:tcPr>
          <w:p w14:paraId="1B0DE8CA" w14:textId="77777777" w:rsidR="00EA2B5F" w:rsidRPr="00F25EBD" w:rsidRDefault="00EA2B5F" w:rsidP="00C2211E">
            <w:pPr>
              <w:spacing w:after="0" w:line="240" w:lineRule="auto"/>
              <w:jc w:val="right"/>
              <w:rPr>
                <w:rFonts w:asciiTheme="majorHAnsi" w:eastAsia="Times New Roman" w:hAnsiTheme="majorHAnsi" w:cstheme="majorHAnsi"/>
                <w:color w:val="000000"/>
                <w:sz w:val="20"/>
                <w:szCs w:val="20"/>
                <w:lang w:eastAsia="pl-PL"/>
              </w:rPr>
            </w:pPr>
          </w:p>
        </w:tc>
      </w:tr>
      <w:tr w:rsidR="00EA2B5F" w:rsidRPr="00F25EBD" w14:paraId="4B63BDDC" w14:textId="77777777" w:rsidTr="00C2211E">
        <w:trPr>
          <w:trHeight w:val="276"/>
          <w:jc w:val="center"/>
        </w:trPr>
        <w:tc>
          <w:tcPr>
            <w:tcW w:w="3961" w:type="pct"/>
            <w:tcBorders>
              <w:top w:val="single" w:sz="4" w:space="0" w:color="808080" w:themeColor="background1" w:themeShade="80"/>
              <w:left w:val="nil"/>
              <w:bottom w:val="single" w:sz="4" w:space="0" w:color="808080" w:themeColor="background1" w:themeShade="80"/>
              <w:right w:val="nil"/>
            </w:tcBorders>
            <w:shd w:val="clear" w:color="auto" w:fill="auto"/>
            <w:noWrap/>
            <w:vAlign w:val="bottom"/>
            <w:hideMark/>
          </w:tcPr>
          <w:p w14:paraId="7445EFAB" w14:textId="77777777" w:rsidR="00EA2B5F" w:rsidRPr="00F25EBD" w:rsidRDefault="00EA2B5F" w:rsidP="00C2211E">
            <w:pPr>
              <w:spacing w:after="0" w:line="240" w:lineRule="auto"/>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ratownicy medyczni</w:t>
            </w:r>
          </w:p>
        </w:tc>
        <w:tc>
          <w:tcPr>
            <w:tcW w:w="260"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shd w:val="clear" w:color="auto" w:fill="auto"/>
            <w:noWrap/>
            <w:vAlign w:val="bottom"/>
            <w:hideMark/>
          </w:tcPr>
          <w:p w14:paraId="3A0874D3" w14:textId="77777777" w:rsidR="00EA2B5F" w:rsidRPr="00F25EBD" w:rsidRDefault="00EA2B5F" w:rsidP="00C2211E">
            <w:pPr>
              <w:spacing w:after="0" w:line="240" w:lineRule="auto"/>
              <w:rPr>
                <w:rFonts w:asciiTheme="majorHAnsi" w:eastAsia="Times New Roman" w:hAnsiTheme="majorHAnsi" w:cstheme="majorHAnsi"/>
                <w:color w:val="000000"/>
                <w:sz w:val="20"/>
                <w:szCs w:val="20"/>
                <w:lang w:eastAsia="pl-PL"/>
              </w:rPr>
            </w:pPr>
          </w:p>
        </w:tc>
        <w:tc>
          <w:tcPr>
            <w:tcW w:w="26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7176864F" w14:textId="77777777" w:rsidR="00EA2B5F" w:rsidRPr="00F25EBD" w:rsidRDefault="00EA2B5F" w:rsidP="00C2211E">
            <w:pPr>
              <w:spacing w:after="0" w:line="240" w:lineRule="auto"/>
              <w:jc w:val="right"/>
              <w:rPr>
                <w:rFonts w:asciiTheme="majorHAnsi" w:eastAsia="Times New Roman" w:hAnsiTheme="majorHAnsi" w:cstheme="majorHAnsi"/>
                <w:b/>
                <w:bCs/>
                <w:color w:val="FF0000"/>
                <w:sz w:val="20"/>
                <w:szCs w:val="20"/>
                <w:lang w:eastAsia="pl-PL"/>
              </w:rPr>
            </w:pPr>
            <w:r w:rsidRPr="00F25EBD">
              <w:rPr>
                <w:rFonts w:asciiTheme="majorHAnsi" w:eastAsia="Times New Roman" w:hAnsiTheme="majorHAnsi" w:cstheme="majorHAnsi"/>
                <w:b/>
                <w:bCs/>
                <w:color w:val="FF0000"/>
                <w:sz w:val="20"/>
                <w:szCs w:val="20"/>
                <w:lang w:eastAsia="pl-PL"/>
              </w:rPr>
              <w:t>1</w:t>
            </w:r>
          </w:p>
        </w:tc>
        <w:tc>
          <w:tcPr>
            <w:tcW w:w="26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6B0B85B9" w14:textId="77777777" w:rsidR="00EA2B5F" w:rsidRPr="00F25EBD" w:rsidRDefault="00EA2B5F" w:rsidP="00C2211E">
            <w:pPr>
              <w:spacing w:after="0" w:line="240" w:lineRule="auto"/>
              <w:jc w:val="right"/>
              <w:rPr>
                <w:rFonts w:asciiTheme="majorHAnsi" w:eastAsia="Times New Roman" w:hAnsiTheme="majorHAnsi" w:cstheme="majorHAnsi"/>
                <w:b/>
                <w:bCs/>
                <w:color w:val="FF0000"/>
                <w:sz w:val="20"/>
                <w:szCs w:val="20"/>
                <w:lang w:eastAsia="pl-PL"/>
              </w:rPr>
            </w:pPr>
          </w:p>
        </w:tc>
        <w:tc>
          <w:tcPr>
            <w:tcW w:w="260"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shd w:val="clear" w:color="auto" w:fill="auto"/>
            <w:noWrap/>
            <w:vAlign w:val="bottom"/>
            <w:hideMark/>
          </w:tcPr>
          <w:p w14:paraId="34160251" w14:textId="77777777" w:rsidR="00EA2B5F" w:rsidRPr="00F25EBD" w:rsidRDefault="00EA2B5F" w:rsidP="00C2211E">
            <w:pPr>
              <w:spacing w:after="0" w:line="240" w:lineRule="auto"/>
              <w:rPr>
                <w:rFonts w:asciiTheme="majorHAnsi" w:eastAsia="Times New Roman" w:hAnsiTheme="majorHAnsi" w:cstheme="majorHAnsi"/>
                <w:sz w:val="20"/>
                <w:szCs w:val="20"/>
                <w:lang w:eastAsia="pl-PL"/>
              </w:rPr>
            </w:pPr>
          </w:p>
        </w:tc>
      </w:tr>
      <w:tr w:rsidR="00EA2B5F" w:rsidRPr="00F25EBD" w14:paraId="42ED3BA1" w14:textId="77777777" w:rsidTr="00C2211E">
        <w:trPr>
          <w:trHeight w:val="276"/>
          <w:jc w:val="center"/>
        </w:trPr>
        <w:tc>
          <w:tcPr>
            <w:tcW w:w="3961" w:type="pct"/>
            <w:tcBorders>
              <w:top w:val="single" w:sz="4" w:space="0" w:color="808080" w:themeColor="background1" w:themeShade="80"/>
              <w:left w:val="nil"/>
              <w:bottom w:val="single" w:sz="4" w:space="0" w:color="808080" w:themeColor="background1" w:themeShade="80"/>
              <w:right w:val="nil"/>
            </w:tcBorders>
            <w:shd w:val="clear" w:color="auto" w:fill="auto"/>
            <w:noWrap/>
            <w:vAlign w:val="bottom"/>
            <w:hideMark/>
          </w:tcPr>
          <w:p w14:paraId="4C7771FE" w14:textId="77777777" w:rsidR="00EA2B5F" w:rsidRPr="00F25EBD" w:rsidRDefault="00EA2B5F" w:rsidP="00C2211E">
            <w:pPr>
              <w:spacing w:after="0" w:line="240" w:lineRule="auto"/>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robotnicy budowlani</w:t>
            </w:r>
          </w:p>
        </w:tc>
        <w:tc>
          <w:tcPr>
            <w:tcW w:w="260"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shd w:val="clear" w:color="auto" w:fill="auto"/>
            <w:noWrap/>
            <w:vAlign w:val="bottom"/>
            <w:hideMark/>
          </w:tcPr>
          <w:p w14:paraId="1D5D0BA5" w14:textId="77777777" w:rsidR="00EA2B5F" w:rsidRPr="00F25EBD" w:rsidRDefault="00EA2B5F" w:rsidP="00C2211E">
            <w:pPr>
              <w:spacing w:after="0" w:line="240" w:lineRule="auto"/>
              <w:jc w:val="right"/>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1</w:t>
            </w:r>
          </w:p>
        </w:tc>
        <w:tc>
          <w:tcPr>
            <w:tcW w:w="26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159481C6" w14:textId="77777777" w:rsidR="00EA2B5F" w:rsidRPr="00F25EBD" w:rsidRDefault="00EA2B5F" w:rsidP="00C2211E">
            <w:pPr>
              <w:spacing w:after="0" w:line="240" w:lineRule="auto"/>
              <w:jc w:val="right"/>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1</w:t>
            </w:r>
          </w:p>
        </w:tc>
        <w:tc>
          <w:tcPr>
            <w:tcW w:w="26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7D4351AF" w14:textId="77777777" w:rsidR="00EA2B5F" w:rsidRPr="00F25EBD" w:rsidRDefault="00EA2B5F" w:rsidP="00C2211E">
            <w:pPr>
              <w:spacing w:after="0" w:line="240" w:lineRule="auto"/>
              <w:jc w:val="right"/>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1</w:t>
            </w:r>
          </w:p>
        </w:tc>
        <w:tc>
          <w:tcPr>
            <w:tcW w:w="260"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shd w:val="clear" w:color="auto" w:fill="auto"/>
            <w:noWrap/>
            <w:vAlign w:val="bottom"/>
            <w:hideMark/>
          </w:tcPr>
          <w:p w14:paraId="1AA18EBA" w14:textId="77777777" w:rsidR="00EA2B5F" w:rsidRPr="00F25EBD" w:rsidRDefault="00EA2B5F" w:rsidP="00C2211E">
            <w:pPr>
              <w:spacing w:after="0" w:line="240" w:lineRule="auto"/>
              <w:jc w:val="right"/>
              <w:rPr>
                <w:rFonts w:asciiTheme="majorHAnsi" w:eastAsia="Times New Roman" w:hAnsiTheme="majorHAnsi" w:cstheme="majorHAnsi"/>
                <w:color w:val="000000"/>
                <w:sz w:val="20"/>
                <w:szCs w:val="20"/>
                <w:lang w:eastAsia="pl-PL"/>
              </w:rPr>
            </w:pPr>
          </w:p>
        </w:tc>
      </w:tr>
      <w:tr w:rsidR="00EA2B5F" w:rsidRPr="00F25EBD" w14:paraId="05ABF0BA" w14:textId="77777777" w:rsidTr="00C2211E">
        <w:trPr>
          <w:trHeight w:val="276"/>
          <w:jc w:val="center"/>
        </w:trPr>
        <w:tc>
          <w:tcPr>
            <w:tcW w:w="3961" w:type="pct"/>
            <w:tcBorders>
              <w:top w:val="single" w:sz="4" w:space="0" w:color="808080" w:themeColor="background1" w:themeShade="80"/>
              <w:left w:val="nil"/>
              <w:bottom w:val="single" w:sz="4" w:space="0" w:color="808080" w:themeColor="background1" w:themeShade="80"/>
              <w:right w:val="nil"/>
            </w:tcBorders>
            <w:shd w:val="clear" w:color="auto" w:fill="auto"/>
            <w:noWrap/>
            <w:vAlign w:val="bottom"/>
            <w:hideMark/>
          </w:tcPr>
          <w:p w14:paraId="221562F6" w14:textId="77777777" w:rsidR="00EA2B5F" w:rsidRPr="00F25EBD" w:rsidRDefault="00EA2B5F" w:rsidP="00C2211E">
            <w:pPr>
              <w:spacing w:after="0" w:line="240" w:lineRule="auto"/>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robotnicy leśni</w:t>
            </w:r>
          </w:p>
        </w:tc>
        <w:tc>
          <w:tcPr>
            <w:tcW w:w="260"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shd w:val="clear" w:color="auto" w:fill="auto"/>
            <w:noWrap/>
            <w:vAlign w:val="bottom"/>
            <w:hideMark/>
          </w:tcPr>
          <w:p w14:paraId="2982382F" w14:textId="77777777" w:rsidR="00EA2B5F" w:rsidRPr="00F25EBD" w:rsidRDefault="00EA2B5F" w:rsidP="00C2211E">
            <w:pPr>
              <w:spacing w:after="0" w:line="240" w:lineRule="auto"/>
              <w:rPr>
                <w:rFonts w:asciiTheme="majorHAnsi" w:eastAsia="Times New Roman" w:hAnsiTheme="majorHAnsi" w:cstheme="majorHAnsi"/>
                <w:color w:val="000000"/>
                <w:sz w:val="20"/>
                <w:szCs w:val="20"/>
                <w:lang w:eastAsia="pl-PL"/>
              </w:rPr>
            </w:pPr>
          </w:p>
        </w:tc>
        <w:tc>
          <w:tcPr>
            <w:tcW w:w="26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03B21B20" w14:textId="77777777" w:rsidR="00EA2B5F" w:rsidRPr="00F25EBD" w:rsidRDefault="00EA2B5F" w:rsidP="00C2211E">
            <w:pPr>
              <w:spacing w:after="0" w:line="240" w:lineRule="auto"/>
              <w:jc w:val="right"/>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1</w:t>
            </w:r>
          </w:p>
        </w:tc>
        <w:tc>
          <w:tcPr>
            <w:tcW w:w="26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62C74901" w14:textId="77777777" w:rsidR="00EA2B5F" w:rsidRPr="00F25EBD" w:rsidRDefault="00EA2B5F" w:rsidP="00C2211E">
            <w:pPr>
              <w:spacing w:after="0" w:line="240" w:lineRule="auto"/>
              <w:jc w:val="right"/>
              <w:rPr>
                <w:rFonts w:asciiTheme="majorHAnsi" w:eastAsia="Times New Roman" w:hAnsiTheme="majorHAnsi" w:cstheme="majorHAnsi"/>
                <w:color w:val="000000"/>
                <w:sz w:val="20"/>
                <w:szCs w:val="20"/>
                <w:lang w:eastAsia="pl-PL"/>
              </w:rPr>
            </w:pPr>
          </w:p>
        </w:tc>
        <w:tc>
          <w:tcPr>
            <w:tcW w:w="260"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shd w:val="clear" w:color="auto" w:fill="auto"/>
            <w:noWrap/>
            <w:vAlign w:val="bottom"/>
            <w:hideMark/>
          </w:tcPr>
          <w:p w14:paraId="124895EA" w14:textId="77777777" w:rsidR="00EA2B5F" w:rsidRPr="00F25EBD" w:rsidRDefault="00EA2B5F" w:rsidP="00C2211E">
            <w:pPr>
              <w:spacing w:after="0" w:line="240" w:lineRule="auto"/>
              <w:rPr>
                <w:rFonts w:asciiTheme="majorHAnsi" w:eastAsia="Times New Roman" w:hAnsiTheme="majorHAnsi" w:cstheme="majorHAnsi"/>
                <w:sz w:val="20"/>
                <w:szCs w:val="20"/>
                <w:lang w:eastAsia="pl-PL"/>
              </w:rPr>
            </w:pPr>
          </w:p>
        </w:tc>
      </w:tr>
      <w:tr w:rsidR="00EA2B5F" w:rsidRPr="00F25EBD" w14:paraId="68329C4D" w14:textId="77777777" w:rsidTr="00C2211E">
        <w:trPr>
          <w:trHeight w:val="276"/>
          <w:jc w:val="center"/>
        </w:trPr>
        <w:tc>
          <w:tcPr>
            <w:tcW w:w="3961" w:type="pct"/>
            <w:tcBorders>
              <w:top w:val="single" w:sz="4" w:space="0" w:color="808080" w:themeColor="background1" w:themeShade="80"/>
              <w:left w:val="nil"/>
              <w:bottom w:val="single" w:sz="4" w:space="0" w:color="808080" w:themeColor="background1" w:themeShade="80"/>
              <w:right w:val="nil"/>
            </w:tcBorders>
            <w:shd w:val="clear" w:color="auto" w:fill="auto"/>
            <w:noWrap/>
            <w:vAlign w:val="bottom"/>
            <w:hideMark/>
          </w:tcPr>
          <w:p w14:paraId="303EC452" w14:textId="77777777" w:rsidR="00EA2B5F" w:rsidRPr="00F25EBD" w:rsidRDefault="00EA2B5F" w:rsidP="00C2211E">
            <w:pPr>
              <w:spacing w:after="0" w:line="240" w:lineRule="auto"/>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robotnicy obróbki drewna i stolarze</w:t>
            </w:r>
          </w:p>
        </w:tc>
        <w:tc>
          <w:tcPr>
            <w:tcW w:w="260"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shd w:val="clear" w:color="auto" w:fill="auto"/>
            <w:noWrap/>
            <w:vAlign w:val="bottom"/>
            <w:hideMark/>
          </w:tcPr>
          <w:p w14:paraId="72FE52D4" w14:textId="77777777" w:rsidR="00EA2B5F" w:rsidRPr="00F25EBD" w:rsidRDefault="00EA2B5F" w:rsidP="00C2211E">
            <w:pPr>
              <w:spacing w:after="0" w:line="240" w:lineRule="auto"/>
              <w:jc w:val="right"/>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1</w:t>
            </w:r>
          </w:p>
        </w:tc>
        <w:tc>
          <w:tcPr>
            <w:tcW w:w="26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21BC9570" w14:textId="77777777" w:rsidR="00EA2B5F" w:rsidRPr="00F25EBD" w:rsidRDefault="00EA2B5F" w:rsidP="00C2211E">
            <w:pPr>
              <w:spacing w:after="0" w:line="240" w:lineRule="auto"/>
              <w:jc w:val="right"/>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1</w:t>
            </w:r>
          </w:p>
        </w:tc>
        <w:tc>
          <w:tcPr>
            <w:tcW w:w="26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5ABDBE6E" w14:textId="77777777" w:rsidR="00EA2B5F" w:rsidRPr="00F25EBD" w:rsidRDefault="00EA2B5F" w:rsidP="00C2211E">
            <w:pPr>
              <w:spacing w:after="0" w:line="240" w:lineRule="auto"/>
              <w:jc w:val="right"/>
              <w:rPr>
                <w:rFonts w:asciiTheme="majorHAnsi" w:eastAsia="Times New Roman" w:hAnsiTheme="majorHAnsi" w:cstheme="majorHAnsi"/>
                <w:b/>
                <w:bCs/>
                <w:color w:val="FF0000"/>
                <w:sz w:val="20"/>
                <w:szCs w:val="20"/>
                <w:lang w:eastAsia="pl-PL"/>
              </w:rPr>
            </w:pPr>
            <w:r w:rsidRPr="00F25EBD">
              <w:rPr>
                <w:rFonts w:asciiTheme="majorHAnsi" w:eastAsia="Times New Roman" w:hAnsiTheme="majorHAnsi" w:cstheme="majorHAnsi"/>
                <w:b/>
                <w:bCs/>
                <w:color w:val="FF0000"/>
                <w:sz w:val="20"/>
                <w:szCs w:val="20"/>
                <w:lang w:eastAsia="pl-PL"/>
              </w:rPr>
              <w:t>1</w:t>
            </w:r>
          </w:p>
        </w:tc>
        <w:tc>
          <w:tcPr>
            <w:tcW w:w="260"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shd w:val="clear" w:color="auto" w:fill="auto"/>
            <w:noWrap/>
            <w:vAlign w:val="bottom"/>
            <w:hideMark/>
          </w:tcPr>
          <w:p w14:paraId="3C3F6C82" w14:textId="77777777" w:rsidR="00EA2B5F" w:rsidRPr="00F25EBD" w:rsidRDefault="00EA2B5F" w:rsidP="00C2211E">
            <w:pPr>
              <w:spacing w:after="0" w:line="240" w:lineRule="auto"/>
              <w:jc w:val="right"/>
              <w:rPr>
                <w:rFonts w:asciiTheme="majorHAnsi" w:eastAsia="Times New Roman" w:hAnsiTheme="majorHAnsi" w:cstheme="majorHAnsi"/>
                <w:b/>
                <w:bCs/>
                <w:color w:val="FF0000"/>
                <w:sz w:val="20"/>
                <w:szCs w:val="20"/>
                <w:lang w:eastAsia="pl-PL"/>
              </w:rPr>
            </w:pPr>
          </w:p>
        </w:tc>
      </w:tr>
      <w:tr w:rsidR="00EA2B5F" w:rsidRPr="00F25EBD" w14:paraId="79EAEA46" w14:textId="77777777" w:rsidTr="00C2211E">
        <w:trPr>
          <w:trHeight w:val="276"/>
          <w:jc w:val="center"/>
        </w:trPr>
        <w:tc>
          <w:tcPr>
            <w:tcW w:w="3961" w:type="pct"/>
            <w:tcBorders>
              <w:top w:val="single" w:sz="4" w:space="0" w:color="808080" w:themeColor="background1" w:themeShade="80"/>
              <w:left w:val="nil"/>
              <w:bottom w:val="single" w:sz="4" w:space="0" w:color="808080" w:themeColor="background1" w:themeShade="80"/>
              <w:right w:val="nil"/>
            </w:tcBorders>
            <w:shd w:val="clear" w:color="auto" w:fill="auto"/>
            <w:noWrap/>
            <w:vAlign w:val="bottom"/>
            <w:hideMark/>
          </w:tcPr>
          <w:p w14:paraId="78A33772" w14:textId="77777777" w:rsidR="00EA2B5F" w:rsidRPr="00F25EBD" w:rsidRDefault="00EA2B5F" w:rsidP="00C2211E">
            <w:pPr>
              <w:spacing w:after="0" w:line="240" w:lineRule="auto"/>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samodzielni księgowi</w:t>
            </w:r>
          </w:p>
        </w:tc>
        <w:tc>
          <w:tcPr>
            <w:tcW w:w="260"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shd w:val="clear" w:color="auto" w:fill="auto"/>
            <w:noWrap/>
            <w:vAlign w:val="bottom"/>
            <w:hideMark/>
          </w:tcPr>
          <w:p w14:paraId="28930BD3" w14:textId="77777777" w:rsidR="00EA2B5F" w:rsidRPr="00F25EBD" w:rsidRDefault="00EA2B5F" w:rsidP="00C2211E">
            <w:pPr>
              <w:spacing w:after="0" w:line="240" w:lineRule="auto"/>
              <w:jc w:val="right"/>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1</w:t>
            </w:r>
          </w:p>
        </w:tc>
        <w:tc>
          <w:tcPr>
            <w:tcW w:w="26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2C39576C" w14:textId="77777777" w:rsidR="00EA2B5F" w:rsidRPr="00F25EBD" w:rsidRDefault="00EA2B5F" w:rsidP="00C2211E">
            <w:pPr>
              <w:spacing w:after="0" w:line="240" w:lineRule="auto"/>
              <w:jc w:val="right"/>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1</w:t>
            </w:r>
          </w:p>
        </w:tc>
        <w:tc>
          <w:tcPr>
            <w:tcW w:w="26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2EDBA5CC" w14:textId="77777777" w:rsidR="00EA2B5F" w:rsidRPr="00F25EBD" w:rsidRDefault="00EA2B5F" w:rsidP="00C2211E">
            <w:pPr>
              <w:spacing w:after="0" w:line="240" w:lineRule="auto"/>
              <w:jc w:val="right"/>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1</w:t>
            </w:r>
          </w:p>
        </w:tc>
        <w:tc>
          <w:tcPr>
            <w:tcW w:w="260"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shd w:val="clear" w:color="auto" w:fill="auto"/>
            <w:noWrap/>
            <w:vAlign w:val="bottom"/>
            <w:hideMark/>
          </w:tcPr>
          <w:p w14:paraId="3B745B9A" w14:textId="77777777" w:rsidR="00EA2B5F" w:rsidRPr="00F25EBD" w:rsidRDefault="00EA2B5F" w:rsidP="00C2211E">
            <w:pPr>
              <w:spacing w:after="0" w:line="240" w:lineRule="auto"/>
              <w:jc w:val="right"/>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1</w:t>
            </w:r>
          </w:p>
        </w:tc>
      </w:tr>
      <w:tr w:rsidR="00EA2B5F" w:rsidRPr="00F25EBD" w14:paraId="47317918" w14:textId="77777777" w:rsidTr="00C2211E">
        <w:trPr>
          <w:trHeight w:val="276"/>
          <w:jc w:val="center"/>
        </w:trPr>
        <w:tc>
          <w:tcPr>
            <w:tcW w:w="3961" w:type="pct"/>
            <w:tcBorders>
              <w:top w:val="single" w:sz="4" w:space="0" w:color="808080" w:themeColor="background1" w:themeShade="80"/>
              <w:left w:val="nil"/>
              <w:bottom w:val="single" w:sz="4" w:space="0" w:color="808080" w:themeColor="background1" w:themeShade="80"/>
              <w:right w:val="nil"/>
            </w:tcBorders>
            <w:shd w:val="clear" w:color="auto" w:fill="auto"/>
            <w:noWrap/>
            <w:vAlign w:val="bottom"/>
            <w:hideMark/>
          </w:tcPr>
          <w:p w14:paraId="442A7CA3" w14:textId="77777777" w:rsidR="00EA2B5F" w:rsidRPr="00F25EBD" w:rsidRDefault="00EA2B5F" w:rsidP="00C2211E">
            <w:pPr>
              <w:spacing w:after="0" w:line="240" w:lineRule="auto"/>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spawacze</w:t>
            </w:r>
          </w:p>
        </w:tc>
        <w:tc>
          <w:tcPr>
            <w:tcW w:w="260"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shd w:val="clear" w:color="auto" w:fill="auto"/>
            <w:noWrap/>
            <w:vAlign w:val="bottom"/>
            <w:hideMark/>
          </w:tcPr>
          <w:p w14:paraId="2CFC40C6" w14:textId="77777777" w:rsidR="00EA2B5F" w:rsidRPr="00F25EBD" w:rsidRDefault="00EA2B5F" w:rsidP="00C2211E">
            <w:pPr>
              <w:spacing w:after="0" w:line="240" w:lineRule="auto"/>
              <w:jc w:val="right"/>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1</w:t>
            </w:r>
          </w:p>
        </w:tc>
        <w:tc>
          <w:tcPr>
            <w:tcW w:w="26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644DB150" w14:textId="77777777" w:rsidR="00EA2B5F" w:rsidRPr="00F25EBD" w:rsidRDefault="00EA2B5F" w:rsidP="00C2211E">
            <w:pPr>
              <w:spacing w:after="0" w:line="240" w:lineRule="auto"/>
              <w:jc w:val="right"/>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1</w:t>
            </w:r>
          </w:p>
        </w:tc>
        <w:tc>
          <w:tcPr>
            <w:tcW w:w="26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13982B8C" w14:textId="77777777" w:rsidR="00EA2B5F" w:rsidRPr="00F25EBD" w:rsidRDefault="00EA2B5F" w:rsidP="00C2211E">
            <w:pPr>
              <w:spacing w:after="0" w:line="240" w:lineRule="auto"/>
              <w:jc w:val="right"/>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1</w:t>
            </w:r>
          </w:p>
        </w:tc>
        <w:tc>
          <w:tcPr>
            <w:tcW w:w="260"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shd w:val="clear" w:color="auto" w:fill="auto"/>
            <w:noWrap/>
            <w:vAlign w:val="bottom"/>
            <w:hideMark/>
          </w:tcPr>
          <w:p w14:paraId="4FCB5966" w14:textId="77777777" w:rsidR="00EA2B5F" w:rsidRPr="00F25EBD" w:rsidRDefault="00EA2B5F" w:rsidP="00C2211E">
            <w:pPr>
              <w:spacing w:after="0" w:line="240" w:lineRule="auto"/>
              <w:jc w:val="right"/>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1</w:t>
            </w:r>
          </w:p>
        </w:tc>
      </w:tr>
      <w:tr w:rsidR="00EA2B5F" w:rsidRPr="00F25EBD" w14:paraId="4856D03B" w14:textId="77777777" w:rsidTr="00C2211E">
        <w:trPr>
          <w:trHeight w:val="276"/>
          <w:jc w:val="center"/>
        </w:trPr>
        <w:tc>
          <w:tcPr>
            <w:tcW w:w="3961" w:type="pct"/>
            <w:tcBorders>
              <w:top w:val="single" w:sz="4" w:space="0" w:color="808080" w:themeColor="background1" w:themeShade="80"/>
              <w:left w:val="nil"/>
              <w:bottom w:val="single" w:sz="4" w:space="0" w:color="808080" w:themeColor="background1" w:themeShade="80"/>
              <w:right w:val="nil"/>
            </w:tcBorders>
            <w:shd w:val="clear" w:color="auto" w:fill="auto"/>
            <w:noWrap/>
            <w:vAlign w:val="bottom"/>
            <w:hideMark/>
          </w:tcPr>
          <w:p w14:paraId="4FFF5BCB" w14:textId="77777777" w:rsidR="00EA2B5F" w:rsidRPr="00F25EBD" w:rsidRDefault="00EA2B5F" w:rsidP="00C2211E">
            <w:pPr>
              <w:spacing w:after="0" w:line="240" w:lineRule="auto"/>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specjaliści ds. organizacji produkcji</w:t>
            </w:r>
          </w:p>
        </w:tc>
        <w:tc>
          <w:tcPr>
            <w:tcW w:w="260"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shd w:val="clear" w:color="auto" w:fill="auto"/>
            <w:noWrap/>
            <w:vAlign w:val="bottom"/>
            <w:hideMark/>
          </w:tcPr>
          <w:p w14:paraId="12715EEE" w14:textId="77777777" w:rsidR="00EA2B5F" w:rsidRPr="00F25EBD" w:rsidRDefault="00EA2B5F" w:rsidP="00C2211E">
            <w:pPr>
              <w:spacing w:after="0" w:line="240" w:lineRule="auto"/>
              <w:rPr>
                <w:rFonts w:asciiTheme="majorHAnsi" w:eastAsia="Times New Roman" w:hAnsiTheme="majorHAnsi" w:cstheme="majorHAnsi"/>
                <w:color w:val="000000"/>
                <w:sz w:val="20"/>
                <w:szCs w:val="20"/>
                <w:lang w:eastAsia="pl-PL"/>
              </w:rPr>
            </w:pPr>
          </w:p>
        </w:tc>
        <w:tc>
          <w:tcPr>
            <w:tcW w:w="26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22537E52" w14:textId="77777777" w:rsidR="00EA2B5F" w:rsidRPr="00F25EBD" w:rsidRDefault="00EA2B5F" w:rsidP="00C2211E">
            <w:pPr>
              <w:spacing w:after="0" w:line="240" w:lineRule="auto"/>
              <w:jc w:val="right"/>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1</w:t>
            </w:r>
          </w:p>
        </w:tc>
        <w:tc>
          <w:tcPr>
            <w:tcW w:w="26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7821C98E" w14:textId="77777777" w:rsidR="00EA2B5F" w:rsidRPr="00F25EBD" w:rsidRDefault="00EA2B5F" w:rsidP="00C2211E">
            <w:pPr>
              <w:spacing w:after="0" w:line="240" w:lineRule="auto"/>
              <w:jc w:val="right"/>
              <w:rPr>
                <w:rFonts w:asciiTheme="majorHAnsi" w:eastAsia="Times New Roman" w:hAnsiTheme="majorHAnsi" w:cstheme="majorHAnsi"/>
                <w:color w:val="000000"/>
                <w:sz w:val="20"/>
                <w:szCs w:val="20"/>
                <w:lang w:eastAsia="pl-PL"/>
              </w:rPr>
            </w:pPr>
          </w:p>
        </w:tc>
        <w:tc>
          <w:tcPr>
            <w:tcW w:w="260"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shd w:val="clear" w:color="auto" w:fill="auto"/>
            <w:noWrap/>
            <w:vAlign w:val="bottom"/>
            <w:hideMark/>
          </w:tcPr>
          <w:p w14:paraId="433E4E83" w14:textId="77777777" w:rsidR="00EA2B5F" w:rsidRPr="00F25EBD" w:rsidRDefault="00EA2B5F" w:rsidP="00C2211E">
            <w:pPr>
              <w:spacing w:after="0" w:line="240" w:lineRule="auto"/>
              <w:rPr>
                <w:rFonts w:asciiTheme="majorHAnsi" w:eastAsia="Times New Roman" w:hAnsiTheme="majorHAnsi" w:cstheme="majorHAnsi"/>
                <w:sz w:val="20"/>
                <w:szCs w:val="20"/>
                <w:lang w:eastAsia="pl-PL"/>
              </w:rPr>
            </w:pPr>
          </w:p>
        </w:tc>
      </w:tr>
      <w:tr w:rsidR="00EA2B5F" w:rsidRPr="00F25EBD" w14:paraId="0B50D985" w14:textId="77777777" w:rsidTr="00C2211E">
        <w:trPr>
          <w:trHeight w:val="276"/>
          <w:jc w:val="center"/>
        </w:trPr>
        <w:tc>
          <w:tcPr>
            <w:tcW w:w="3961" w:type="pct"/>
            <w:tcBorders>
              <w:top w:val="single" w:sz="4" w:space="0" w:color="808080" w:themeColor="background1" w:themeShade="80"/>
              <w:left w:val="nil"/>
              <w:bottom w:val="single" w:sz="4" w:space="0" w:color="808080" w:themeColor="background1" w:themeShade="80"/>
              <w:right w:val="nil"/>
            </w:tcBorders>
            <w:shd w:val="clear" w:color="auto" w:fill="auto"/>
            <w:noWrap/>
            <w:vAlign w:val="bottom"/>
            <w:hideMark/>
          </w:tcPr>
          <w:p w14:paraId="457F3CB4" w14:textId="77777777" w:rsidR="00EA2B5F" w:rsidRPr="00F25EBD" w:rsidRDefault="00EA2B5F" w:rsidP="00C2211E">
            <w:pPr>
              <w:spacing w:after="0" w:line="240" w:lineRule="auto"/>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specjaliści elektroniki, automatyki i robotyki</w:t>
            </w:r>
          </w:p>
        </w:tc>
        <w:tc>
          <w:tcPr>
            <w:tcW w:w="260"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shd w:val="clear" w:color="auto" w:fill="auto"/>
            <w:noWrap/>
            <w:vAlign w:val="bottom"/>
            <w:hideMark/>
          </w:tcPr>
          <w:p w14:paraId="3D4893FE" w14:textId="77777777" w:rsidR="00EA2B5F" w:rsidRPr="00F25EBD" w:rsidRDefault="00EA2B5F" w:rsidP="00C2211E">
            <w:pPr>
              <w:spacing w:after="0" w:line="240" w:lineRule="auto"/>
              <w:rPr>
                <w:rFonts w:asciiTheme="majorHAnsi" w:eastAsia="Times New Roman" w:hAnsiTheme="majorHAnsi" w:cstheme="majorHAnsi"/>
                <w:color w:val="000000"/>
                <w:sz w:val="20"/>
                <w:szCs w:val="20"/>
                <w:lang w:eastAsia="pl-PL"/>
              </w:rPr>
            </w:pPr>
          </w:p>
        </w:tc>
        <w:tc>
          <w:tcPr>
            <w:tcW w:w="26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24623F82" w14:textId="77777777" w:rsidR="00EA2B5F" w:rsidRPr="00F25EBD" w:rsidRDefault="00EA2B5F" w:rsidP="00C2211E">
            <w:pPr>
              <w:spacing w:after="0" w:line="240" w:lineRule="auto"/>
              <w:jc w:val="right"/>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1</w:t>
            </w:r>
          </w:p>
        </w:tc>
        <w:tc>
          <w:tcPr>
            <w:tcW w:w="26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682B1599" w14:textId="77777777" w:rsidR="00EA2B5F" w:rsidRPr="00F25EBD" w:rsidRDefault="00EA2B5F" w:rsidP="00C2211E">
            <w:pPr>
              <w:spacing w:after="0" w:line="240" w:lineRule="auto"/>
              <w:jc w:val="right"/>
              <w:rPr>
                <w:rFonts w:asciiTheme="majorHAnsi" w:eastAsia="Times New Roman" w:hAnsiTheme="majorHAnsi" w:cstheme="majorHAnsi"/>
                <w:color w:val="000000"/>
                <w:sz w:val="20"/>
                <w:szCs w:val="20"/>
                <w:lang w:eastAsia="pl-PL"/>
              </w:rPr>
            </w:pPr>
          </w:p>
        </w:tc>
        <w:tc>
          <w:tcPr>
            <w:tcW w:w="260"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shd w:val="clear" w:color="auto" w:fill="auto"/>
            <w:noWrap/>
            <w:vAlign w:val="bottom"/>
            <w:hideMark/>
          </w:tcPr>
          <w:p w14:paraId="57E87156" w14:textId="77777777" w:rsidR="00EA2B5F" w:rsidRPr="00F25EBD" w:rsidRDefault="00EA2B5F" w:rsidP="00C2211E">
            <w:pPr>
              <w:spacing w:after="0" w:line="240" w:lineRule="auto"/>
              <w:rPr>
                <w:rFonts w:asciiTheme="majorHAnsi" w:eastAsia="Times New Roman" w:hAnsiTheme="majorHAnsi" w:cstheme="majorHAnsi"/>
                <w:sz w:val="20"/>
                <w:szCs w:val="20"/>
                <w:lang w:eastAsia="pl-PL"/>
              </w:rPr>
            </w:pPr>
          </w:p>
        </w:tc>
      </w:tr>
      <w:tr w:rsidR="00EA2B5F" w:rsidRPr="00F25EBD" w14:paraId="2E83741E" w14:textId="77777777" w:rsidTr="00C2211E">
        <w:trPr>
          <w:trHeight w:val="276"/>
          <w:jc w:val="center"/>
        </w:trPr>
        <w:tc>
          <w:tcPr>
            <w:tcW w:w="3961" w:type="pct"/>
            <w:tcBorders>
              <w:top w:val="single" w:sz="4" w:space="0" w:color="808080" w:themeColor="background1" w:themeShade="80"/>
              <w:left w:val="nil"/>
              <w:bottom w:val="single" w:sz="4" w:space="0" w:color="808080" w:themeColor="background1" w:themeShade="80"/>
              <w:right w:val="nil"/>
            </w:tcBorders>
            <w:shd w:val="clear" w:color="auto" w:fill="auto"/>
            <w:noWrap/>
            <w:vAlign w:val="bottom"/>
            <w:hideMark/>
          </w:tcPr>
          <w:p w14:paraId="37B57EA9" w14:textId="77777777" w:rsidR="00EA2B5F" w:rsidRPr="00F25EBD" w:rsidRDefault="00EA2B5F" w:rsidP="00C2211E">
            <w:pPr>
              <w:spacing w:after="0" w:line="240" w:lineRule="auto"/>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szefowie kuchni</w:t>
            </w:r>
          </w:p>
        </w:tc>
        <w:tc>
          <w:tcPr>
            <w:tcW w:w="260"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shd w:val="clear" w:color="auto" w:fill="auto"/>
            <w:noWrap/>
            <w:vAlign w:val="bottom"/>
            <w:hideMark/>
          </w:tcPr>
          <w:p w14:paraId="48C8EDD7" w14:textId="77777777" w:rsidR="00EA2B5F" w:rsidRPr="00F25EBD" w:rsidRDefault="00EA2B5F" w:rsidP="00C2211E">
            <w:pPr>
              <w:spacing w:after="0" w:line="240" w:lineRule="auto"/>
              <w:rPr>
                <w:rFonts w:asciiTheme="majorHAnsi" w:eastAsia="Times New Roman" w:hAnsiTheme="majorHAnsi" w:cstheme="majorHAnsi"/>
                <w:color w:val="000000"/>
                <w:sz w:val="20"/>
                <w:szCs w:val="20"/>
                <w:lang w:eastAsia="pl-PL"/>
              </w:rPr>
            </w:pPr>
          </w:p>
        </w:tc>
        <w:tc>
          <w:tcPr>
            <w:tcW w:w="26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5F591FC7" w14:textId="77777777" w:rsidR="00EA2B5F" w:rsidRPr="00F25EBD" w:rsidRDefault="00EA2B5F" w:rsidP="00C2211E">
            <w:pPr>
              <w:spacing w:after="0" w:line="240" w:lineRule="auto"/>
              <w:jc w:val="right"/>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1</w:t>
            </w:r>
          </w:p>
        </w:tc>
        <w:tc>
          <w:tcPr>
            <w:tcW w:w="26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79250ADA" w14:textId="77777777" w:rsidR="00EA2B5F" w:rsidRPr="00F25EBD" w:rsidRDefault="00EA2B5F" w:rsidP="00C2211E">
            <w:pPr>
              <w:spacing w:after="0" w:line="240" w:lineRule="auto"/>
              <w:jc w:val="right"/>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1</w:t>
            </w:r>
          </w:p>
        </w:tc>
        <w:tc>
          <w:tcPr>
            <w:tcW w:w="260"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shd w:val="clear" w:color="auto" w:fill="auto"/>
            <w:noWrap/>
            <w:vAlign w:val="bottom"/>
            <w:hideMark/>
          </w:tcPr>
          <w:p w14:paraId="1D1E4D2D" w14:textId="77777777" w:rsidR="00EA2B5F" w:rsidRPr="00F25EBD" w:rsidRDefault="00EA2B5F" w:rsidP="00C2211E">
            <w:pPr>
              <w:spacing w:after="0" w:line="240" w:lineRule="auto"/>
              <w:jc w:val="right"/>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1</w:t>
            </w:r>
          </w:p>
        </w:tc>
      </w:tr>
      <w:tr w:rsidR="00EA2B5F" w:rsidRPr="00F25EBD" w14:paraId="3F22D9E0" w14:textId="77777777" w:rsidTr="00C2211E">
        <w:trPr>
          <w:trHeight w:val="276"/>
          <w:jc w:val="center"/>
        </w:trPr>
        <w:tc>
          <w:tcPr>
            <w:tcW w:w="3961" w:type="pct"/>
            <w:tcBorders>
              <w:top w:val="single" w:sz="4" w:space="0" w:color="808080" w:themeColor="background1" w:themeShade="80"/>
              <w:left w:val="nil"/>
              <w:bottom w:val="single" w:sz="4" w:space="0" w:color="808080" w:themeColor="background1" w:themeShade="80"/>
              <w:right w:val="nil"/>
            </w:tcBorders>
            <w:shd w:val="clear" w:color="auto" w:fill="auto"/>
            <w:noWrap/>
            <w:vAlign w:val="bottom"/>
            <w:hideMark/>
          </w:tcPr>
          <w:p w14:paraId="040A624B" w14:textId="77777777" w:rsidR="00EA2B5F" w:rsidRPr="00F25EBD" w:rsidRDefault="00EA2B5F" w:rsidP="00C2211E">
            <w:pPr>
              <w:spacing w:after="0" w:line="240" w:lineRule="auto"/>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ślusarze</w:t>
            </w:r>
          </w:p>
        </w:tc>
        <w:tc>
          <w:tcPr>
            <w:tcW w:w="260"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shd w:val="clear" w:color="auto" w:fill="auto"/>
            <w:noWrap/>
            <w:vAlign w:val="bottom"/>
            <w:hideMark/>
          </w:tcPr>
          <w:p w14:paraId="1D697DFD" w14:textId="77777777" w:rsidR="00EA2B5F" w:rsidRPr="00F25EBD" w:rsidRDefault="00EA2B5F" w:rsidP="00C2211E">
            <w:pPr>
              <w:spacing w:after="0" w:line="240" w:lineRule="auto"/>
              <w:jc w:val="right"/>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1</w:t>
            </w:r>
          </w:p>
        </w:tc>
        <w:tc>
          <w:tcPr>
            <w:tcW w:w="26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731302DD" w14:textId="77777777" w:rsidR="00EA2B5F" w:rsidRPr="00F25EBD" w:rsidRDefault="00EA2B5F" w:rsidP="00C2211E">
            <w:pPr>
              <w:spacing w:after="0" w:line="240" w:lineRule="auto"/>
              <w:jc w:val="right"/>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1</w:t>
            </w:r>
          </w:p>
        </w:tc>
        <w:tc>
          <w:tcPr>
            <w:tcW w:w="26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3B61BBB7" w14:textId="77777777" w:rsidR="00EA2B5F" w:rsidRPr="00F25EBD" w:rsidRDefault="00EA2B5F" w:rsidP="00C2211E">
            <w:pPr>
              <w:spacing w:after="0" w:line="240" w:lineRule="auto"/>
              <w:jc w:val="right"/>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1</w:t>
            </w:r>
          </w:p>
        </w:tc>
        <w:tc>
          <w:tcPr>
            <w:tcW w:w="260"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shd w:val="clear" w:color="auto" w:fill="auto"/>
            <w:noWrap/>
            <w:vAlign w:val="bottom"/>
            <w:hideMark/>
          </w:tcPr>
          <w:p w14:paraId="2F6B36D2" w14:textId="77777777" w:rsidR="00EA2B5F" w:rsidRPr="00F25EBD" w:rsidRDefault="00EA2B5F" w:rsidP="00C2211E">
            <w:pPr>
              <w:spacing w:after="0" w:line="240" w:lineRule="auto"/>
              <w:jc w:val="right"/>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1</w:t>
            </w:r>
          </w:p>
        </w:tc>
      </w:tr>
      <w:tr w:rsidR="00EA2B5F" w:rsidRPr="00F25EBD" w14:paraId="7B69690E" w14:textId="77777777" w:rsidTr="00C2211E">
        <w:trPr>
          <w:trHeight w:val="276"/>
          <w:jc w:val="center"/>
        </w:trPr>
        <w:tc>
          <w:tcPr>
            <w:tcW w:w="3961" w:type="pct"/>
            <w:tcBorders>
              <w:top w:val="single" w:sz="4" w:space="0" w:color="808080" w:themeColor="background1" w:themeShade="80"/>
              <w:left w:val="nil"/>
              <w:bottom w:val="single" w:sz="4" w:space="0" w:color="808080" w:themeColor="background1" w:themeShade="80"/>
              <w:right w:val="nil"/>
            </w:tcBorders>
            <w:shd w:val="clear" w:color="auto" w:fill="auto"/>
            <w:noWrap/>
            <w:vAlign w:val="bottom"/>
            <w:hideMark/>
          </w:tcPr>
          <w:p w14:paraId="370D3A12" w14:textId="77777777" w:rsidR="00EA2B5F" w:rsidRPr="00F25EBD" w:rsidRDefault="00EA2B5F" w:rsidP="00C2211E">
            <w:pPr>
              <w:spacing w:after="0" w:line="240" w:lineRule="auto"/>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tapicerzy</w:t>
            </w:r>
          </w:p>
        </w:tc>
        <w:tc>
          <w:tcPr>
            <w:tcW w:w="260"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shd w:val="clear" w:color="auto" w:fill="auto"/>
            <w:noWrap/>
            <w:vAlign w:val="bottom"/>
            <w:hideMark/>
          </w:tcPr>
          <w:p w14:paraId="11799A43" w14:textId="77777777" w:rsidR="00EA2B5F" w:rsidRPr="00F25EBD" w:rsidRDefault="00EA2B5F" w:rsidP="00C2211E">
            <w:pPr>
              <w:spacing w:after="0" w:line="240" w:lineRule="auto"/>
              <w:jc w:val="right"/>
              <w:rPr>
                <w:rFonts w:asciiTheme="majorHAnsi" w:eastAsia="Times New Roman" w:hAnsiTheme="majorHAnsi" w:cstheme="majorHAnsi"/>
                <w:b/>
                <w:bCs/>
                <w:color w:val="FF0000"/>
                <w:sz w:val="20"/>
                <w:szCs w:val="20"/>
                <w:lang w:eastAsia="pl-PL"/>
              </w:rPr>
            </w:pPr>
            <w:r w:rsidRPr="00F25EBD">
              <w:rPr>
                <w:rFonts w:asciiTheme="majorHAnsi" w:eastAsia="Times New Roman" w:hAnsiTheme="majorHAnsi" w:cstheme="majorHAnsi"/>
                <w:b/>
                <w:bCs/>
                <w:color w:val="FF0000"/>
                <w:sz w:val="20"/>
                <w:szCs w:val="20"/>
                <w:lang w:eastAsia="pl-PL"/>
              </w:rPr>
              <w:t>1</w:t>
            </w:r>
          </w:p>
        </w:tc>
        <w:tc>
          <w:tcPr>
            <w:tcW w:w="26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011FA807" w14:textId="77777777" w:rsidR="00EA2B5F" w:rsidRPr="00F25EBD" w:rsidRDefault="00EA2B5F" w:rsidP="00C2211E">
            <w:pPr>
              <w:spacing w:after="0" w:line="240" w:lineRule="auto"/>
              <w:jc w:val="right"/>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1</w:t>
            </w:r>
          </w:p>
        </w:tc>
        <w:tc>
          <w:tcPr>
            <w:tcW w:w="26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367DC40C" w14:textId="77777777" w:rsidR="00EA2B5F" w:rsidRPr="00F25EBD" w:rsidRDefault="00EA2B5F" w:rsidP="00C2211E">
            <w:pPr>
              <w:spacing w:after="0" w:line="240" w:lineRule="auto"/>
              <w:jc w:val="right"/>
              <w:rPr>
                <w:rFonts w:asciiTheme="majorHAnsi" w:eastAsia="Times New Roman" w:hAnsiTheme="majorHAnsi" w:cstheme="majorHAnsi"/>
                <w:color w:val="000000"/>
                <w:sz w:val="20"/>
                <w:szCs w:val="20"/>
                <w:lang w:eastAsia="pl-PL"/>
              </w:rPr>
            </w:pPr>
          </w:p>
        </w:tc>
        <w:tc>
          <w:tcPr>
            <w:tcW w:w="260"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shd w:val="clear" w:color="auto" w:fill="auto"/>
            <w:noWrap/>
            <w:vAlign w:val="bottom"/>
            <w:hideMark/>
          </w:tcPr>
          <w:p w14:paraId="11D6E059" w14:textId="77777777" w:rsidR="00EA2B5F" w:rsidRPr="00F25EBD" w:rsidRDefault="00EA2B5F" w:rsidP="00C2211E">
            <w:pPr>
              <w:spacing w:after="0" w:line="240" w:lineRule="auto"/>
              <w:rPr>
                <w:rFonts w:asciiTheme="majorHAnsi" w:eastAsia="Times New Roman" w:hAnsiTheme="majorHAnsi" w:cstheme="majorHAnsi"/>
                <w:sz w:val="20"/>
                <w:szCs w:val="20"/>
                <w:lang w:eastAsia="pl-PL"/>
              </w:rPr>
            </w:pPr>
          </w:p>
        </w:tc>
      </w:tr>
      <w:tr w:rsidR="00EA2B5F" w:rsidRPr="00F25EBD" w14:paraId="7CD20BEA" w14:textId="77777777" w:rsidTr="00C2211E">
        <w:trPr>
          <w:trHeight w:val="276"/>
          <w:jc w:val="center"/>
        </w:trPr>
        <w:tc>
          <w:tcPr>
            <w:tcW w:w="3961" w:type="pct"/>
            <w:tcBorders>
              <w:top w:val="single" w:sz="4" w:space="0" w:color="808080" w:themeColor="background1" w:themeShade="80"/>
              <w:left w:val="nil"/>
              <w:bottom w:val="single" w:sz="4" w:space="0" w:color="808080" w:themeColor="background1" w:themeShade="80"/>
              <w:right w:val="nil"/>
            </w:tcBorders>
            <w:shd w:val="clear" w:color="auto" w:fill="auto"/>
            <w:noWrap/>
            <w:vAlign w:val="bottom"/>
            <w:hideMark/>
          </w:tcPr>
          <w:p w14:paraId="15F03D2B" w14:textId="77777777" w:rsidR="00EA2B5F" w:rsidRPr="00F25EBD" w:rsidRDefault="00EA2B5F" w:rsidP="00C2211E">
            <w:pPr>
              <w:spacing w:after="0" w:line="240" w:lineRule="auto"/>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technicy budownictwa</w:t>
            </w:r>
          </w:p>
        </w:tc>
        <w:tc>
          <w:tcPr>
            <w:tcW w:w="260"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shd w:val="clear" w:color="auto" w:fill="auto"/>
            <w:noWrap/>
            <w:vAlign w:val="bottom"/>
            <w:hideMark/>
          </w:tcPr>
          <w:p w14:paraId="3C67507F" w14:textId="77777777" w:rsidR="00EA2B5F" w:rsidRPr="00F25EBD" w:rsidRDefault="00EA2B5F" w:rsidP="00C2211E">
            <w:pPr>
              <w:spacing w:after="0" w:line="240" w:lineRule="auto"/>
              <w:jc w:val="right"/>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1</w:t>
            </w:r>
          </w:p>
        </w:tc>
        <w:tc>
          <w:tcPr>
            <w:tcW w:w="26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6287E29D" w14:textId="77777777" w:rsidR="00EA2B5F" w:rsidRPr="00F25EBD" w:rsidRDefault="00EA2B5F" w:rsidP="00C2211E">
            <w:pPr>
              <w:spacing w:after="0" w:line="240" w:lineRule="auto"/>
              <w:jc w:val="right"/>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1</w:t>
            </w:r>
          </w:p>
        </w:tc>
        <w:tc>
          <w:tcPr>
            <w:tcW w:w="26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120D9002" w14:textId="77777777" w:rsidR="00EA2B5F" w:rsidRPr="00F25EBD" w:rsidRDefault="00EA2B5F" w:rsidP="00C2211E">
            <w:pPr>
              <w:spacing w:after="0" w:line="240" w:lineRule="auto"/>
              <w:jc w:val="right"/>
              <w:rPr>
                <w:rFonts w:asciiTheme="majorHAnsi" w:eastAsia="Times New Roman" w:hAnsiTheme="majorHAnsi" w:cstheme="majorHAnsi"/>
                <w:color w:val="000000"/>
                <w:sz w:val="20"/>
                <w:szCs w:val="20"/>
                <w:lang w:eastAsia="pl-PL"/>
              </w:rPr>
            </w:pPr>
          </w:p>
        </w:tc>
        <w:tc>
          <w:tcPr>
            <w:tcW w:w="260"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shd w:val="clear" w:color="auto" w:fill="auto"/>
            <w:noWrap/>
            <w:vAlign w:val="bottom"/>
            <w:hideMark/>
          </w:tcPr>
          <w:p w14:paraId="2D5A5094" w14:textId="77777777" w:rsidR="00EA2B5F" w:rsidRPr="00F25EBD" w:rsidRDefault="00EA2B5F" w:rsidP="00C2211E">
            <w:pPr>
              <w:spacing w:after="0" w:line="240" w:lineRule="auto"/>
              <w:rPr>
                <w:rFonts w:asciiTheme="majorHAnsi" w:eastAsia="Times New Roman" w:hAnsiTheme="majorHAnsi" w:cstheme="majorHAnsi"/>
                <w:sz w:val="20"/>
                <w:szCs w:val="20"/>
                <w:lang w:eastAsia="pl-PL"/>
              </w:rPr>
            </w:pPr>
          </w:p>
        </w:tc>
      </w:tr>
      <w:tr w:rsidR="00EA2B5F" w:rsidRPr="00F25EBD" w14:paraId="63A8DD06" w14:textId="77777777" w:rsidTr="00C2211E">
        <w:trPr>
          <w:trHeight w:val="276"/>
          <w:jc w:val="center"/>
        </w:trPr>
        <w:tc>
          <w:tcPr>
            <w:tcW w:w="3961" w:type="pct"/>
            <w:tcBorders>
              <w:top w:val="single" w:sz="4" w:space="0" w:color="808080" w:themeColor="background1" w:themeShade="80"/>
              <w:left w:val="nil"/>
              <w:bottom w:val="single" w:sz="4" w:space="0" w:color="808080" w:themeColor="background1" w:themeShade="80"/>
              <w:right w:val="nil"/>
            </w:tcBorders>
            <w:shd w:val="clear" w:color="auto" w:fill="auto"/>
            <w:noWrap/>
            <w:vAlign w:val="bottom"/>
            <w:hideMark/>
          </w:tcPr>
          <w:p w14:paraId="211FFB28" w14:textId="77777777" w:rsidR="00EA2B5F" w:rsidRPr="00F25EBD" w:rsidRDefault="00EA2B5F" w:rsidP="00C2211E">
            <w:pPr>
              <w:spacing w:after="0" w:line="240" w:lineRule="auto"/>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wychowawcy w placówkach oświatowych i opiekuńczych</w:t>
            </w:r>
          </w:p>
        </w:tc>
        <w:tc>
          <w:tcPr>
            <w:tcW w:w="260"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shd w:val="clear" w:color="auto" w:fill="auto"/>
            <w:noWrap/>
            <w:vAlign w:val="bottom"/>
            <w:hideMark/>
          </w:tcPr>
          <w:p w14:paraId="62F2FDC7" w14:textId="77777777" w:rsidR="00EA2B5F" w:rsidRPr="00F25EBD" w:rsidRDefault="00EA2B5F" w:rsidP="00C2211E">
            <w:pPr>
              <w:spacing w:after="0" w:line="240" w:lineRule="auto"/>
              <w:jc w:val="right"/>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1</w:t>
            </w:r>
          </w:p>
        </w:tc>
        <w:tc>
          <w:tcPr>
            <w:tcW w:w="26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1EFEA9BD" w14:textId="77777777" w:rsidR="00EA2B5F" w:rsidRPr="00F25EBD" w:rsidRDefault="00EA2B5F" w:rsidP="00C2211E">
            <w:pPr>
              <w:spacing w:after="0" w:line="240" w:lineRule="auto"/>
              <w:jc w:val="right"/>
              <w:rPr>
                <w:rFonts w:asciiTheme="majorHAnsi" w:eastAsia="Times New Roman" w:hAnsiTheme="majorHAnsi" w:cstheme="majorHAnsi"/>
                <w:color w:val="000000"/>
                <w:sz w:val="20"/>
                <w:szCs w:val="20"/>
                <w:lang w:eastAsia="pl-PL"/>
              </w:rPr>
            </w:pPr>
          </w:p>
        </w:tc>
        <w:tc>
          <w:tcPr>
            <w:tcW w:w="26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hideMark/>
          </w:tcPr>
          <w:p w14:paraId="2AC28776" w14:textId="77777777" w:rsidR="00EA2B5F" w:rsidRPr="00F25EBD" w:rsidRDefault="00EA2B5F" w:rsidP="00C2211E">
            <w:pPr>
              <w:spacing w:after="0" w:line="240" w:lineRule="auto"/>
              <w:rPr>
                <w:rFonts w:asciiTheme="majorHAnsi" w:eastAsia="Times New Roman" w:hAnsiTheme="majorHAnsi" w:cstheme="majorHAnsi"/>
                <w:sz w:val="20"/>
                <w:szCs w:val="20"/>
                <w:lang w:eastAsia="pl-PL"/>
              </w:rPr>
            </w:pPr>
          </w:p>
        </w:tc>
        <w:tc>
          <w:tcPr>
            <w:tcW w:w="260"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shd w:val="clear" w:color="auto" w:fill="auto"/>
            <w:noWrap/>
            <w:vAlign w:val="bottom"/>
            <w:hideMark/>
          </w:tcPr>
          <w:p w14:paraId="03D37E81" w14:textId="77777777" w:rsidR="00EA2B5F" w:rsidRPr="00F25EBD" w:rsidRDefault="00EA2B5F" w:rsidP="00C2211E">
            <w:pPr>
              <w:spacing w:after="0" w:line="240" w:lineRule="auto"/>
              <w:rPr>
                <w:rFonts w:asciiTheme="majorHAnsi" w:eastAsia="Times New Roman" w:hAnsiTheme="majorHAnsi" w:cstheme="majorHAnsi"/>
                <w:sz w:val="20"/>
                <w:szCs w:val="20"/>
                <w:lang w:eastAsia="pl-PL"/>
              </w:rPr>
            </w:pPr>
          </w:p>
        </w:tc>
      </w:tr>
    </w:tbl>
    <w:p w14:paraId="603417EE" w14:textId="77777777" w:rsidR="00EA2B5F" w:rsidRPr="00F25EBD" w:rsidRDefault="00EA2B5F" w:rsidP="008543EA">
      <w:pPr>
        <w:spacing w:before="120" w:after="120" w:line="240" w:lineRule="auto"/>
        <w:jc w:val="both"/>
        <w:rPr>
          <w:rFonts w:asciiTheme="majorHAnsi" w:hAnsiTheme="majorHAnsi" w:cstheme="majorHAnsi"/>
          <w:sz w:val="18"/>
          <w:szCs w:val="18"/>
        </w:rPr>
      </w:pPr>
      <w:r w:rsidRPr="00F25EBD">
        <w:rPr>
          <w:rFonts w:asciiTheme="majorHAnsi" w:hAnsiTheme="majorHAnsi" w:cstheme="majorHAnsi"/>
          <w:sz w:val="18"/>
          <w:szCs w:val="18"/>
        </w:rPr>
        <w:t>D</w:t>
      </w:r>
      <w:r w:rsidR="00336D76" w:rsidRPr="00F25EBD">
        <w:rPr>
          <w:rFonts w:asciiTheme="majorHAnsi" w:hAnsiTheme="majorHAnsi" w:cstheme="majorHAnsi"/>
          <w:sz w:val="18"/>
          <w:szCs w:val="18"/>
        </w:rPr>
        <w:t xml:space="preserve"> - </w:t>
      </w:r>
      <w:r w:rsidRPr="00F25EBD">
        <w:rPr>
          <w:rFonts w:asciiTheme="majorHAnsi" w:hAnsiTheme="majorHAnsi" w:cstheme="majorHAnsi"/>
          <w:sz w:val="18"/>
          <w:szCs w:val="18"/>
        </w:rPr>
        <w:t>powiat działdowski, N</w:t>
      </w:r>
      <w:r w:rsidR="00336D76" w:rsidRPr="00F25EBD">
        <w:rPr>
          <w:rFonts w:asciiTheme="majorHAnsi" w:hAnsiTheme="majorHAnsi" w:cstheme="majorHAnsi"/>
          <w:sz w:val="18"/>
          <w:szCs w:val="18"/>
        </w:rPr>
        <w:t xml:space="preserve"> - </w:t>
      </w:r>
      <w:r w:rsidRPr="00F25EBD">
        <w:rPr>
          <w:rFonts w:asciiTheme="majorHAnsi" w:hAnsiTheme="majorHAnsi" w:cstheme="majorHAnsi"/>
          <w:sz w:val="18"/>
          <w:szCs w:val="18"/>
        </w:rPr>
        <w:t>powiat nidzicki, P</w:t>
      </w:r>
      <w:r w:rsidR="00336D76" w:rsidRPr="00F25EBD">
        <w:rPr>
          <w:rFonts w:asciiTheme="majorHAnsi" w:hAnsiTheme="majorHAnsi" w:cstheme="majorHAnsi"/>
          <w:sz w:val="18"/>
          <w:szCs w:val="18"/>
        </w:rPr>
        <w:t xml:space="preserve"> - </w:t>
      </w:r>
      <w:r w:rsidRPr="00F25EBD">
        <w:rPr>
          <w:rFonts w:asciiTheme="majorHAnsi" w:hAnsiTheme="majorHAnsi" w:cstheme="majorHAnsi"/>
          <w:sz w:val="18"/>
          <w:szCs w:val="18"/>
        </w:rPr>
        <w:t>powiat piski, S</w:t>
      </w:r>
      <w:r w:rsidR="00336D76" w:rsidRPr="00F25EBD">
        <w:rPr>
          <w:rFonts w:asciiTheme="majorHAnsi" w:hAnsiTheme="majorHAnsi" w:cstheme="majorHAnsi"/>
          <w:sz w:val="18"/>
          <w:szCs w:val="18"/>
        </w:rPr>
        <w:t xml:space="preserve"> - </w:t>
      </w:r>
      <w:r w:rsidRPr="00F25EBD">
        <w:rPr>
          <w:rFonts w:asciiTheme="majorHAnsi" w:hAnsiTheme="majorHAnsi" w:cstheme="majorHAnsi"/>
          <w:sz w:val="18"/>
          <w:szCs w:val="18"/>
        </w:rPr>
        <w:t>powiat szczycieński</w:t>
      </w:r>
    </w:p>
    <w:p w14:paraId="4986DCC1" w14:textId="77777777" w:rsidR="00EA2B5F" w:rsidRPr="00F25EBD" w:rsidRDefault="00EA2B5F" w:rsidP="008543EA">
      <w:pPr>
        <w:pStyle w:val="rdo"/>
        <w:spacing w:before="120"/>
      </w:pPr>
      <w:r w:rsidRPr="00F25EBD">
        <w:t>Źródło: opracowanie własne na podstawie: https://barometrzawodow.pl/pl/warminsko-mazurskie/prognozy-w-tabelach/2020/warminsko-mazurskie.19...307-315-320-321...2.5-3-1-4-2.14..0.1.0-1..?province=warminsko-mazurskie&amp;Jobs_page=2&amp;ALL=ALL.</w:t>
      </w:r>
    </w:p>
    <w:p w14:paraId="17A76A79" w14:textId="77777777" w:rsidR="008543EA" w:rsidRDefault="008543EA" w:rsidP="00FC7062">
      <w:pPr>
        <w:spacing w:after="0" w:line="276" w:lineRule="auto"/>
        <w:jc w:val="both"/>
        <w:rPr>
          <w:rFonts w:asciiTheme="majorHAnsi" w:hAnsiTheme="majorHAnsi" w:cstheme="majorHAnsi"/>
        </w:rPr>
      </w:pPr>
    </w:p>
    <w:p w14:paraId="19AEA90D" w14:textId="77777777" w:rsidR="00EA2B5F" w:rsidRPr="00F25EBD" w:rsidRDefault="00EA2B5F" w:rsidP="00FC7062">
      <w:pPr>
        <w:spacing w:after="0" w:line="276" w:lineRule="auto"/>
        <w:jc w:val="both"/>
        <w:rPr>
          <w:rFonts w:asciiTheme="majorHAnsi" w:hAnsiTheme="majorHAnsi" w:cstheme="majorHAnsi"/>
        </w:rPr>
      </w:pPr>
      <w:r w:rsidRPr="00F25EBD">
        <w:rPr>
          <w:rFonts w:asciiTheme="majorHAnsi" w:hAnsiTheme="majorHAnsi" w:cstheme="majorHAnsi"/>
        </w:rPr>
        <w:t>W poniższej tabeli zestawiono zawody nadwyżkowe, tj. takie w których liczba wolnych miejsc jest mniejsza niż liczba osób zainteresowanych podjęciem pracy i spełniających wymagania pracodawców.</w:t>
      </w:r>
    </w:p>
    <w:p w14:paraId="520BFD04" w14:textId="546D6A85" w:rsidR="00EA2B5F" w:rsidRPr="00F25EBD" w:rsidRDefault="00EA2B5F" w:rsidP="00C2211E">
      <w:pPr>
        <w:pStyle w:val="nad"/>
      </w:pPr>
      <w:bookmarkStart w:id="38" w:name="_Toc81300534"/>
      <w:r w:rsidRPr="00F25EBD">
        <w:t xml:space="preserve">Tabela </w:t>
      </w:r>
      <w:r w:rsidRPr="00F25EBD">
        <w:rPr>
          <w:noProof/>
        </w:rPr>
        <w:fldChar w:fldCharType="begin"/>
      </w:r>
      <w:r w:rsidRPr="00F25EBD">
        <w:rPr>
          <w:noProof/>
        </w:rPr>
        <w:instrText xml:space="preserve"> SEQ Tabela \* ARABIC </w:instrText>
      </w:r>
      <w:r w:rsidRPr="00F25EBD">
        <w:rPr>
          <w:noProof/>
        </w:rPr>
        <w:fldChar w:fldCharType="separate"/>
      </w:r>
      <w:r w:rsidR="006C7815">
        <w:rPr>
          <w:noProof/>
        </w:rPr>
        <w:t>8</w:t>
      </w:r>
      <w:r w:rsidRPr="00F25EBD">
        <w:rPr>
          <w:noProof/>
        </w:rPr>
        <w:fldChar w:fldCharType="end"/>
      </w:r>
      <w:r w:rsidRPr="00F25EBD">
        <w:t>. Lista zawodów nadwyżkowych w powiatach Południowych Mazur (2020</w:t>
      </w:r>
      <w:r w:rsidR="00F7062F">
        <w:t>r.</w:t>
      </w:r>
      <w:r w:rsidRPr="00F25EBD">
        <w:t>)</w:t>
      </w:r>
      <w:bookmarkEnd w:id="3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178"/>
        <w:gridCol w:w="471"/>
        <w:gridCol w:w="471"/>
        <w:gridCol w:w="471"/>
        <w:gridCol w:w="469"/>
      </w:tblGrid>
      <w:tr w:rsidR="00EA2B5F" w:rsidRPr="00F25EBD" w14:paraId="04544A57" w14:textId="77777777" w:rsidTr="00C2211E">
        <w:trPr>
          <w:trHeight w:val="276"/>
          <w:tblHeader/>
          <w:jc w:val="center"/>
        </w:trPr>
        <w:tc>
          <w:tcPr>
            <w:tcW w:w="3961" w:type="pct"/>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noWrap/>
            <w:vAlign w:val="center"/>
          </w:tcPr>
          <w:p w14:paraId="30F65879" w14:textId="77777777" w:rsidR="00EA2B5F" w:rsidRPr="008543EA" w:rsidRDefault="00EA2B5F" w:rsidP="00C2211E">
            <w:pPr>
              <w:spacing w:after="0" w:line="240" w:lineRule="auto"/>
              <w:jc w:val="center"/>
              <w:rPr>
                <w:rFonts w:asciiTheme="majorHAnsi" w:eastAsia="Times New Roman" w:hAnsiTheme="majorHAnsi" w:cstheme="majorHAnsi"/>
                <w:color w:val="FFFFFF" w:themeColor="background1"/>
                <w:sz w:val="20"/>
                <w:szCs w:val="20"/>
                <w:lang w:eastAsia="pl-PL"/>
              </w:rPr>
            </w:pPr>
            <w:r w:rsidRPr="008543EA">
              <w:rPr>
                <w:rFonts w:asciiTheme="majorHAnsi" w:eastAsia="Times New Roman" w:hAnsiTheme="majorHAnsi" w:cstheme="majorHAnsi"/>
                <w:color w:val="FFFFFF" w:themeColor="background1"/>
                <w:sz w:val="20"/>
                <w:szCs w:val="20"/>
                <w:lang w:eastAsia="pl-PL"/>
              </w:rPr>
              <w:t>Zawody nadwyżkowe</w:t>
            </w:r>
          </w:p>
        </w:tc>
        <w:tc>
          <w:tcPr>
            <w:tcW w:w="1039" w:type="pct"/>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noWrap/>
            <w:vAlign w:val="bottom"/>
          </w:tcPr>
          <w:p w14:paraId="75ACE183" w14:textId="77777777" w:rsidR="00EA2B5F" w:rsidRPr="008543EA" w:rsidRDefault="00EA2B5F" w:rsidP="00C2211E">
            <w:pPr>
              <w:spacing w:after="0" w:line="240" w:lineRule="auto"/>
              <w:jc w:val="center"/>
              <w:rPr>
                <w:rFonts w:asciiTheme="majorHAnsi" w:eastAsia="Times New Roman" w:hAnsiTheme="majorHAnsi" w:cstheme="majorHAnsi"/>
                <w:color w:val="FFFFFF" w:themeColor="background1"/>
                <w:sz w:val="20"/>
                <w:szCs w:val="20"/>
                <w:lang w:eastAsia="pl-PL"/>
              </w:rPr>
            </w:pPr>
            <w:r w:rsidRPr="008543EA">
              <w:rPr>
                <w:rFonts w:asciiTheme="majorHAnsi" w:eastAsia="Times New Roman" w:hAnsiTheme="majorHAnsi" w:cstheme="majorHAnsi"/>
                <w:color w:val="FFFFFF" w:themeColor="background1"/>
                <w:sz w:val="20"/>
                <w:szCs w:val="20"/>
                <w:lang w:eastAsia="pl-PL"/>
              </w:rPr>
              <w:t>Powiat</w:t>
            </w:r>
          </w:p>
        </w:tc>
      </w:tr>
      <w:tr w:rsidR="00EA2B5F" w:rsidRPr="00F25EBD" w14:paraId="7837D5B6" w14:textId="77777777" w:rsidTr="008543EA">
        <w:trPr>
          <w:trHeight w:val="276"/>
          <w:tblHeader/>
          <w:jc w:val="center"/>
        </w:trPr>
        <w:tc>
          <w:tcPr>
            <w:tcW w:w="3961" w:type="pct"/>
            <w:vMerge/>
            <w:tcBorders>
              <w:top w:val="single" w:sz="4" w:space="0" w:color="FFFFFF" w:themeColor="background1"/>
              <w:left w:val="single" w:sz="4" w:space="0" w:color="FFFFFF" w:themeColor="background1"/>
              <w:bottom w:val="nil"/>
              <w:right w:val="single" w:sz="4" w:space="0" w:color="FFFFFF" w:themeColor="background1"/>
            </w:tcBorders>
            <w:shd w:val="clear" w:color="auto" w:fill="auto"/>
            <w:noWrap/>
            <w:vAlign w:val="bottom"/>
            <w:hideMark/>
          </w:tcPr>
          <w:p w14:paraId="30B4A6E0" w14:textId="77777777" w:rsidR="00EA2B5F" w:rsidRPr="008543EA" w:rsidRDefault="00EA2B5F" w:rsidP="00C2211E">
            <w:pPr>
              <w:spacing w:after="0" w:line="240" w:lineRule="auto"/>
              <w:jc w:val="center"/>
              <w:rPr>
                <w:rFonts w:asciiTheme="majorHAnsi" w:eastAsia="Times New Roman" w:hAnsiTheme="majorHAnsi" w:cstheme="majorHAnsi"/>
                <w:color w:val="FFFFFF" w:themeColor="background1"/>
                <w:sz w:val="20"/>
                <w:szCs w:val="20"/>
                <w:lang w:eastAsia="pl-PL"/>
              </w:rPr>
            </w:pPr>
          </w:p>
        </w:tc>
        <w:tc>
          <w:tcPr>
            <w:tcW w:w="260" w:type="pct"/>
            <w:tcBorders>
              <w:top w:val="single" w:sz="4" w:space="0" w:color="FFFFFF" w:themeColor="background1"/>
              <w:left w:val="single" w:sz="4" w:space="0" w:color="FFFFFF" w:themeColor="background1"/>
              <w:bottom w:val="nil"/>
              <w:right w:val="single" w:sz="4" w:space="0" w:color="FFFFFF" w:themeColor="background1"/>
            </w:tcBorders>
            <w:shd w:val="clear" w:color="auto" w:fill="92D050"/>
            <w:noWrap/>
            <w:vAlign w:val="bottom"/>
            <w:hideMark/>
          </w:tcPr>
          <w:p w14:paraId="1D72ACDA" w14:textId="77777777" w:rsidR="00EA2B5F" w:rsidRPr="008543EA" w:rsidRDefault="00EA2B5F" w:rsidP="00C2211E">
            <w:pPr>
              <w:spacing w:after="0" w:line="240" w:lineRule="auto"/>
              <w:jc w:val="center"/>
              <w:rPr>
                <w:rFonts w:asciiTheme="majorHAnsi" w:eastAsia="Times New Roman" w:hAnsiTheme="majorHAnsi" w:cstheme="majorHAnsi"/>
                <w:color w:val="FFFFFF" w:themeColor="background1"/>
                <w:sz w:val="20"/>
                <w:szCs w:val="20"/>
                <w:lang w:eastAsia="pl-PL"/>
              </w:rPr>
            </w:pPr>
            <w:r w:rsidRPr="008543EA">
              <w:rPr>
                <w:rFonts w:asciiTheme="majorHAnsi" w:eastAsia="Times New Roman" w:hAnsiTheme="majorHAnsi" w:cstheme="majorHAnsi"/>
                <w:color w:val="FFFFFF" w:themeColor="background1"/>
                <w:sz w:val="20"/>
                <w:szCs w:val="20"/>
                <w:lang w:eastAsia="pl-PL"/>
              </w:rPr>
              <w:t>D</w:t>
            </w:r>
          </w:p>
        </w:tc>
        <w:tc>
          <w:tcPr>
            <w:tcW w:w="260" w:type="pct"/>
            <w:tcBorders>
              <w:top w:val="single" w:sz="4" w:space="0" w:color="FFFFFF" w:themeColor="background1"/>
              <w:left w:val="single" w:sz="4" w:space="0" w:color="FFFFFF" w:themeColor="background1"/>
              <w:bottom w:val="nil"/>
              <w:right w:val="single" w:sz="4" w:space="0" w:color="FFFFFF" w:themeColor="background1"/>
            </w:tcBorders>
            <w:shd w:val="clear" w:color="auto" w:fill="92D050"/>
            <w:noWrap/>
            <w:vAlign w:val="bottom"/>
            <w:hideMark/>
          </w:tcPr>
          <w:p w14:paraId="535DF9FD" w14:textId="77777777" w:rsidR="00EA2B5F" w:rsidRPr="008543EA" w:rsidRDefault="00EA2B5F" w:rsidP="00C2211E">
            <w:pPr>
              <w:spacing w:after="0" w:line="240" w:lineRule="auto"/>
              <w:jc w:val="center"/>
              <w:rPr>
                <w:rFonts w:asciiTheme="majorHAnsi" w:eastAsia="Times New Roman" w:hAnsiTheme="majorHAnsi" w:cstheme="majorHAnsi"/>
                <w:color w:val="FFFFFF" w:themeColor="background1"/>
                <w:sz w:val="20"/>
                <w:szCs w:val="20"/>
                <w:lang w:eastAsia="pl-PL"/>
              </w:rPr>
            </w:pPr>
            <w:r w:rsidRPr="008543EA">
              <w:rPr>
                <w:rFonts w:asciiTheme="majorHAnsi" w:eastAsia="Times New Roman" w:hAnsiTheme="majorHAnsi" w:cstheme="majorHAnsi"/>
                <w:color w:val="FFFFFF" w:themeColor="background1"/>
                <w:sz w:val="20"/>
                <w:szCs w:val="20"/>
                <w:lang w:eastAsia="pl-PL"/>
              </w:rPr>
              <w:t>N</w:t>
            </w:r>
          </w:p>
        </w:tc>
        <w:tc>
          <w:tcPr>
            <w:tcW w:w="260" w:type="pct"/>
            <w:tcBorders>
              <w:top w:val="single" w:sz="4" w:space="0" w:color="FFFFFF" w:themeColor="background1"/>
              <w:left w:val="single" w:sz="4" w:space="0" w:color="FFFFFF" w:themeColor="background1"/>
              <w:bottom w:val="nil"/>
              <w:right w:val="single" w:sz="4" w:space="0" w:color="FFFFFF" w:themeColor="background1"/>
            </w:tcBorders>
            <w:shd w:val="clear" w:color="auto" w:fill="92D050"/>
            <w:noWrap/>
            <w:vAlign w:val="bottom"/>
            <w:hideMark/>
          </w:tcPr>
          <w:p w14:paraId="574C5419" w14:textId="77777777" w:rsidR="00EA2B5F" w:rsidRPr="008543EA" w:rsidRDefault="00EA2B5F" w:rsidP="00C2211E">
            <w:pPr>
              <w:spacing w:after="0" w:line="240" w:lineRule="auto"/>
              <w:jc w:val="center"/>
              <w:rPr>
                <w:rFonts w:asciiTheme="majorHAnsi" w:eastAsia="Times New Roman" w:hAnsiTheme="majorHAnsi" w:cstheme="majorHAnsi"/>
                <w:color w:val="FFFFFF" w:themeColor="background1"/>
                <w:sz w:val="20"/>
                <w:szCs w:val="20"/>
                <w:lang w:eastAsia="pl-PL"/>
              </w:rPr>
            </w:pPr>
            <w:r w:rsidRPr="008543EA">
              <w:rPr>
                <w:rFonts w:asciiTheme="majorHAnsi" w:eastAsia="Times New Roman" w:hAnsiTheme="majorHAnsi" w:cstheme="majorHAnsi"/>
                <w:color w:val="FFFFFF" w:themeColor="background1"/>
                <w:sz w:val="20"/>
                <w:szCs w:val="20"/>
                <w:lang w:eastAsia="pl-PL"/>
              </w:rPr>
              <w:t>P</w:t>
            </w:r>
          </w:p>
        </w:tc>
        <w:tc>
          <w:tcPr>
            <w:tcW w:w="260" w:type="pct"/>
            <w:tcBorders>
              <w:top w:val="single" w:sz="4" w:space="0" w:color="FFFFFF" w:themeColor="background1"/>
              <w:left w:val="single" w:sz="4" w:space="0" w:color="FFFFFF" w:themeColor="background1"/>
              <w:bottom w:val="nil"/>
              <w:right w:val="single" w:sz="4" w:space="0" w:color="FFFFFF" w:themeColor="background1"/>
            </w:tcBorders>
            <w:shd w:val="clear" w:color="auto" w:fill="92D050"/>
            <w:noWrap/>
            <w:vAlign w:val="bottom"/>
            <w:hideMark/>
          </w:tcPr>
          <w:p w14:paraId="26432038" w14:textId="77777777" w:rsidR="00EA2B5F" w:rsidRPr="008543EA" w:rsidRDefault="00EA2B5F" w:rsidP="00C2211E">
            <w:pPr>
              <w:spacing w:after="0" w:line="240" w:lineRule="auto"/>
              <w:jc w:val="center"/>
              <w:rPr>
                <w:rFonts w:asciiTheme="majorHAnsi" w:eastAsia="Times New Roman" w:hAnsiTheme="majorHAnsi" w:cstheme="majorHAnsi"/>
                <w:color w:val="FFFFFF" w:themeColor="background1"/>
                <w:sz w:val="20"/>
                <w:szCs w:val="20"/>
                <w:lang w:eastAsia="pl-PL"/>
              </w:rPr>
            </w:pPr>
            <w:r w:rsidRPr="008543EA">
              <w:rPr>
                <w:rFonts w:asciiTheme="majorHAnsi" w:eastAsia="Times New Roman" w:hAnsiTheme="majorHAnsi" w:cstheme="majorHAnsi"/>
                <w:color w:val="FFFFFF" w:themeColor="background1"/>
                <w:sz w:val="20"/>
                <w:szCs w:val="20"/>
                <w:lang w:eastAsia="pl-PL"/>
              </w:rPr>
              <w:t>SZ</w:t>
            </w:r>
          </w:p>
        </w:tc>
      </w:tr>
      <w:tr w:rsidR="00EA2B5F" w:rsidRPr="00F25EBD" w14:paraId="62B0F0C0" w14:textId="77777777" w:rsidTr="008543EA">
        <w:trPr>
          <w:trHeight w:val="276"/>
          <w:jc w:val="center"/>
        </w:trPr>
        <w:tc>
          <w:tcPr>
            <w:tcW w:w="3961" w:type="pct"/>
            <w:tcBorders>
              <w:top w:val="nil"/>
              <w:left w:val="nil"/>
              <w:bottom w:val="single" w:sz="4" w:space="0" w:color="808080" w:themeColor="background1" w:themeShade="80"/>
              <w:right w:val="nil"/>
            </w:tcBorders>
            <w:shd w:val="clear" w:color="auto" w:fill="auto"/>
            <w:noWrap/>
            <w:vAlign w:val="bottom"/>
          </w:tcPr>
          <w:p w14:paraId="110EB15D" w14:textId="77777777" w:rsidR="00EA2B5F" w:rsidRPr="00F25EBD" w:rsidRDefault="00EA2B5F" w:rsidP="00C2211E">
            <w:pPr>
              <w:spacing w:after="0" w:line="240" w:lineRule="auto"/>
              <w:rPr>
                <w:rFonts w:asciiTheme="majorHAnsi" w:eastAsia="Times New Roman" w:hAnsiTheme="majorHAnsi" w:cstheme="majorHAnsi"/>
                <w:color w:val="000000"/>
                <w:sz w:val="20"/>
                <w:szCs w:val="20"/>
                <w:lang w:eastAsia="pl-PL"/>
              </w:rPr>
            </w:pPr>
            <w:r w:rsidRPr="00F25EBD">
              <w:rPr>
                <w:rFonts w:asciiTheme="majorHAnsi" w:hAnsiTheme="majorHAnsi" w:cstheme="majorHAnsi"/>
                <w:color w:val="000000"/>
                <w:sz w:val="20"/>
                <w:szCs w:val="20"/>
              </w:rPr>
              <w:t>ekonomiści</w:t>
            </w:r>
          </w:p>
        </w:tc>
        <w:tc>
          <w:tcPr>
            <w:tcW w:w="260" w:type="pct"/>
            <w:tcBorders>
              <w:top w:val="nil"/>
              <w:left w:val="nil"/>
              <w:bottom w:val="single" w:sz="4" w:space="0" w:color="808080" w:themeColor="background1" w:themeShade="80"/>
              <w:right w:val="single" w:sz="4" w:space="0" w:color="808080" w:themeColor="background1" w:themeShade="80"/>
            </w:tcBorders>
            <w:shd w:val="clear" w:color="auto" w:fill="auto"/>
            <w:noWrap/>
            <w:vAlign w:val="bottom"/>
          </w:tcPr>
          <w:p w14:paraId="7BB6F534" w14:textId="77777777" w:rsidR="00EA2B5F" w:rsidRPr="00F25EBD" w:rsidRDefault="00EA2B5F" w:rsidP="00C2211E">
            <w:pPr>
              <w:spacing w:after="0" w:line="240" w:lineRule="auto"/>
              <w:jc w:val="center"/>
              <w:rPr>
                <w:rFonts w:asciiTheme="majorHAnsi" w:eastAsia="Times New Roman" w:hAnsiTheme="majorHAnsi" w:cstheme="majorHAnsi"/>
                <w:color w:val="000000"/>
                <w:sz w:val="20"/>
                <w:szCs w:val="20"/>
                <w:lang w:eastAsia="pl-PL"/>
              </w:rPr>
            </w:pPr>
            <w:r w:rsidRPr="00F25EBD">
              <w:rPr>
                <w:rFonts w:asciiTheme="majorHAnsi" w:hAnsiTheme="majorHAnsi" w:cstheme="majorHAnsi"/>
                <w:color w:val="000000"/>
                <w:sz w:val="20"/>
                <w:szCs w:val="20"/>
              </w:rPr>
              <w:t>1</w:t>
            </w:r>
          </w:p>
        </w:tc>
        <w:tc>
          <w:tcPr>
            <w:tcW w:w="260" w:type="pct"/>
            <w:tcBorders>
              <w:top w:val="nil"/>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tcPr>
          <w:p w14:paraId="34E9C37A" w14:textId="77777777" w:rsidR="00EA2B5F" w:rsidRPr="00F25EBD" w:rsidRDefault="00EA2B5F" w:rsidP="00C2211E">
            <w:pPr>
              <w:spacing w:after="0" w:line="240" w:lineRule="auto"/>
              <w:jc w:val="center"/>
              <w:rPr>
                <w:rFonts w:asciiTheme="majorHAnsi" w:eastAsia="Times New Roman" w:hAnsiTheme="majorHAnsi" w:cstheme="majorHAnsi"/>
                <w:color w:val="000000"/>
                <w:sz w:val="20"/>
                <w:szCs w:val="20"/>
                <w:lang w:eastAsia="pl-PL"/>
              </w:rPr>
            </w:pPr>
          </w:p>
        </w:tc>
        <w:tc>
          <w:tcPr>
            <w:tcW w:w="260" w:type="pct"/>
            <w:tcBorders>
              <w:top w:val="nil"/>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tcPr>
          <w:p w14:paraId="06FCF544" w14:textId="77777777" w:rsidR="00EA2B5F" w:rsidRPr="00F25EBD" w:rsidRDefault="00EA2B5F" w:rsidP="00C2211E">
            <w:pPr>
              <w:spacing w:after="0" w:line="240" w:lineRule="auto"/>
              <w:jc w:val="center"/>
              <w:rPr>
                <w:rFonts w:asciiTheme="majorHAnsi" w:eastAsia="Times New Roman" w:hAnsiTheme="majorHAnsi" w:cstheme="majorHAnsi"/>
                <w:color w:val="000000"/>
                <w:sz w:val="20"/>
                <w:szCs w:val="20"/>
                <w:lang w:eastAsia="pl-PL"/>
              </w:rPr>
            </w:pPr>
            <w:r w:rsidRPr="00F25EBD">
              <w:rPr>
                <w:rFonts w:asciiTheme="majorHAnsi" w:hAnsiTheme="majorHAnsi" w:cstheme="majorHAnsi"/>
                <w:color w:val="000000"/>
                <w:sz w:val="20"/>
                <w:szCs w:val="20"/>
              </w:rPr>
              <w:t>1</w:t>
            </w:r>
          </w:p>
        </w:tc>
        <w:tc>
          <w:tcPr>
            <w:tcW w:w="260" w:type="pct"/>
            <w:tcBorders>
              <w:top w:val="nil"/>
              <w:left w:val="single" w:sz="4" w:space="0" w:color="808080" w:themeColor="background1" w:themeShade="80"/>
              <w:bottom w:val="single" w:sz="4" w:space="0" w:color="808080" w:themeColor="background1" w:themeShade="80"/>
              <w:right w:val="nil"/>
            </w:tcBorders>
            <w:shd w:val="clear" w:color="auto" w:fill="auto"/>
            <w:noWrap/>
            <w:vAlign w:val="bottom"/>
          </w:tcPr>
          <w:p w14:paraId="3159F24B" w14:textId="77777777" w:rsidR="00EA2B5F" w:rsidRPr="00F25EBD" w:rsidRDefault="00EA2B5F" w:rsidP="00C2211E">
            <w:pPr>
              <w:spacing w:after="0" w:line="240" w:lineRule="auto"/>
              <w:jc w:val="center"/>
              <w:rPr>
                <w:rFonts w:asciiTheme="majorHAnsi" w:eastAsia="Times New Roman" w:hAnsiTheme="majorHAnsi" w:cstheme="majorHAnsi"/>
                <w:color w:val="000000"/>
                <w:sz w:val="20"/>
                <w:szCs w:val="20"/>
                <w:lang w:eastAsia="pl-PL"/>
              </w:rPr>
            </w:pPr>
          </w:p>
        </w:tc>
      </w:tr>
      <w:tr w:rsidR="00EA2B5F" w:rsidRPr="00F25EBD" w14:paraId="68C061B9" w14:textId="77777777" w:rsidTr="008543EA">
        <w:trPr>
          <w:trHeight w:val="276"/>
          <w:jc w:val="center"/>
        </w:trPr>
        <w:tc>
          <w:tcPr>
            <w:tcW w:w="3961" w:type="pct"/>
            <w:tcBorders>
              <w:top w:val="single" w:sz="4" w:space="0" w:color="808080" w:themeColor="background1" w:themeShade="80"/>
              <w:left w:val="nil"/>
              <w:bottom w:val="single" w:sz="4" w:space="0" w:color="808080" w:themeColor="background1" w:themeShade="80"/>
              <w:right w:val="nil"/>
            </w:tcBorders>
            <w:shd w:val="clear" w:color="auto" w:fill="auto"/>
            <w:noWrap/>
            <w:vAlign w:val="bottom"/>
          </w:tcPr>
          <w:p w14:paraId="3910D6DC" w14:textId="77777777" w:rsidR="00EA2B5F" w:rsidRPr="00F25EBD" w:rsidRDefault="00EA2B5F" w:rsidP="00C2211E">
            <w:pPr>
              <w:spacing w:after="0" w:line="240" w:lineRule="auto"/>
              <w:rPr>
                <w:rFonts w:asciiTheme="majorHAnsi" w:eastAsia="Times New Roman" w:hAnsiTheme="majorHAnsi" w:cstheme="majorHAnsi"/>
                <w:color w:val="000000"/>
                <w:sz w:val="20"/>
                <w:szCs w:val="20"/>
                <w:lang w:eastAsia="pl-PL"/>
              </w:rPr>
            </w:pPr>
            <w:r w:rsidRPr="00F25EBD">
              <w:rPr>
                <w:rFonts w:asciiTheme="majorHAnsi" w:hAnsiTheme="majorHAnsi" w:cstheme="majorHAnsi"/>
                <w:color w:val="000000"/>
                <w:sz w:val="20"/>
                <w:szCs w:val="20"/>
              </w:rPr>
              <w:t>kierowcy samochodów osobowych</w:t>
            </w:r>
          </w:p>
        </w:tc>
        <w:tc>
          <w:tcPr>
            <w:tcW w:w="260"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shd w:val="clear" w:color="auto" w:fill="auto"/>
            <w:noWrap/>
            <w:vAlign w:val="bottom"/>
          </w:tcPr>
          <w:p w14:paraId="560F78FB" w14:textId="77777777" w:rsidR="00EA2B5F" w:rsidRPr="00F25EBD" w:rsidRDefault="00EA2B5F" w:rsidP="00C2211E">
            <w:pPr>
              <w:spacing w:after="0" w:line="240" w:lineRule="auto"/>
              <w:jc w:val="center"/>
              <w:rPr>
                <w:rFonts w:asciiTheme="majorHAnsi" w:eastAsia="Times New Roman" w:hAnsiTheme="majorHAnsi" w:cstheme="majorHAnsi"/>
                <w:color w:val="000000"/>
                <w:sz w:val="20"/>
                <w:szCs w:val="20"/>
                <w:lang w:eastAsia="pl-PL"/>
              </w:rPr>
            </w:pPr>
            <w:r w:rsidRPr="00F25EBD">
              <w:rPr>
                <w:rFonts w:asciiTheme="majorHAnsi" w:hAnsiTheme="majorHAnsi" w:cstheme="majorHAnsi"/>
                <w:color w:val="000000"/>
                <w:sz w:val="20"/>
                <w:szCs w:val="20"/>
              </w:rPr>
              <w:t>1</w:t>
            </w:r>
          </w:p>
        </w:tc>
        <w:tc>
          <w:tcPr>
            <w:tcW w:w="26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tcPr>
          <w:p w14:paraId="2AA124D4" w14:textId="77777777" w:rsidR="00EA2B5F" w:rsidRPr="00F25EBD" w:rsidRDefault="00EA2B5F" w:rsidP="00C2211E">
            <w:pPr>
              <w:spacing w:after="0" w:line="240" w:lineRule="auto"/>
              <w:jc w:val="center"/>
              <w:rPr>
                <w:rFonts w:asciiTheme="majorHAnsi" w:eastAsia="Times New Roman" w:hAnsiTheme="majorHAnsi" w:cstheme="majorHAnsi"/>
                <w:color w:val="000000"/>
                <w:sz w:val="20"/>
                <w:szCs w:val="20"/>
                <w:lang w:eastAsia="pl-PL"/>
              </w:rPr>
            </w:pPr>
            <w:r w:rsidRPr="00F25EBD">
              <w:rPr>
                <w:rFonts w:asciiTheme="majorHAnsi" w:hAnsiTheme="majorHAnsi" w:cstheme="majorHAnsi"/>
                <w:color w:val="000000"/>
                <w:sz w:val="20"/>
                <w:szCs w:val="20"/>
              </w:rPr>
              <w:t>1</w:t>
            </w:r>
          </w:p>
        </w:tc>
        <w:tc>
          <w:tcPr>
            <w:tcW w:w="26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tcPr>
          <w:p w14:paraId="030EA539" w14:textId="77777777" w:rsidR="00EA2B5F" w:rsidRPr="00F25EBD" w:rsidRDefault="00EA2B5F" w:rsidP="00C2211E">
            <w:pPr>
              <w:spacing w:after="0" w:line="240" w:lineRule="auto"/>
              <w:jc w:val="center"/>
              <w:rPr>
                <w:rFonts w:asciiTheme="majorHAnsi" w:eastAsia="Times New Roman" w:hAnsiTheme="majorHAnsi" w:cstheme="majorHAnsi"/>
                <w:color w:val="000000"/>
                <w:sz w:val="20"/>
                <w:szCs w:val="20"/>
                <w:lang w:eastAsia="pl-PL"/>
              </w:rPr>
            </w:pPr>
          </w:p>
        </w:tc>
        <w:tc>
          <w:tcPr>
            <w:tcW w:w="260"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shd w:val="clear" w:color="auto" w:fill="auto"/>
            <w:noWrap/>
            <w:vAlign w:val="bottom"/>
          </w:tcPr>
          <w:p w14:paraId="63E524C4" w14:textId="77777777" w:rsidR="00EA2B5F" w:rsidRPr="00F25EBD" w:rsidRDefault="00EA2B5F" w:rsidP="00C2211E">
            <w:pPr>
              <w:spacing w:after="0" w:line="240" w:lineRule="auto"/>
              <w:jc w:val="center"/>
              <w:rPr>
                <w:rFonts w:asciiTheme="majorHAnsi" w:eastAsia="Times New Roman" w:hAnsiTheme="majorHAnsi" w:cstheme="majorHAnsi"/>
                <w:color w:val="000000"/>
                <w:sz w:val="20"/>
                <w:szCs w:val="20"/>
                <w:lang w:eastAsia="pl-PL"/>
              </w:rPr>
            </w:pPr>
          </w:p>
        </w:tc>
      </w:tr>
      <w:tr w:rsidR="00EA2B5F" w:rsidRPr="00F25EBD" w14:paraId="74F1A4F7" w14:textId="77777777" w:rsidTr="008543EA">
        <w:trPr>
          <w:trHeight w:val="276"/>
          <w:jc w:val="center"/>
        </w:trPr>
        <w:tc>
          <w:tcPr>
            <w:tcW w:w="3961" w:type="pct"/>
            <w:tcBorders>
              <w:top w:val="single" w:sz="4" w:space="0" w:color="808080" w:themeColor="background1" w:themeShade="80"/>
              <w:left w:val="nil"/>
              <w:bottom w:val="single" w:sz="4" w:space="0" w:color="808080" w:themeColor="background1" w:themeShade="80"/>
              <w:right w:val="nil"/>
            </w:tcBorders>
            <w:shd w:val="clear" w:color="auto" w:fill="auto"/>
            <w:noWrap/>
            <w:vAlign w:val="bottom"/>
          </w:tcPr>
          <w:p w14:paraId="3771E3FA" w14:textId="77777777" w:rsidR="00EA2B5F" w:rsidRPr="00F25EBD" w:rsidRDefault="00EA2B5F" w:rsidP="00C2211E">
            <w:pPr>
              <w:spacing w:after="0" w:line="240" w:lineRule="auto"/>
              <w:rPr>
                <w:rFonts w:asciiTheme="majorHAnsi" w:eastAsia="Times New Roman" w:hAnsiTheme="majorHAnsi" w:cstheme="majorHAnsi"/>
                <w:color w:val="000000"/>
                <w:sz w:val="20"/>
                <w:szCs w:val="20"/>
                <w:lang w:eastAsia="pl-PL"/>
              </w:rPr>
            </w:pPr>
            <w:r w:rsidRPr="00F25EBD">
              <w:rPr>
                <w:rFonts w:asciiTheme="majorHAnsi" w:hAnsiTheme="majorHAnsi" w:cstheme="majorHAnsi"/>
                <w:color w:val="000000"/>
                <w:sz w:val="20"/>
                <w:szCs w:val="20"/>
              </w:rPr>
              <w:t>pracownicy administracyjni i biurowi</w:t>
            </w:r>
          </w:p>
        </w:tc>
        <w:tc>
          <w:tcPr>
            <w:tcW w:w="260"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shd w:val="clear" w:color="auto" w:fill="auto"/>
            <w:noWrap/>
            <w:vAlign w:val="bottom"/>
          </w:tcPr>
          <w:p w14:paraId="2743CBA2" w14:textId="77777777" w:rsidR="00EA2B5F" w:rsidRPr="00F25EBD" w:rsidRDefault="00EA2B5F" w:rsidP="00C2211E">
            <w:pPr>
              <w:spacing w:after="0" w:line="240" w:lineRule="auto"/>
              <w:jc w:val="center"/>
              <w:rPr>
                <w:rFonts w:asciiTheme="majorHAnsi" w:eastAsia="Times New Roman" w:hAnsiTheme="majorHAnsi" w:cstheme="majorHAnsi"/>
                <w:color w:val="000000"/>
                <w:sz w:val="20"/>
                <w:szCs w:val="20"/>
                <w:lang w:eastAsia="pl-PL"/>
              </w:rPr>
            </w:pPr>
            <w:r w:rsidRPr="00F25EBD">
              <w:rPr>
                <w:rFonts w:asciiTheme="majorHAnsi" w:hAnsiTheme="majorHAnsi" w:cstheme="majorHAnsi"/>
                <w:color w:val="000000"/>
                <w:sz w:val="20"/>
                <w:szCs w:val="20"/>
              </w:rPr>
              <w:t>1</w:t>
            </w:r>
          </w:p>
        </w:tc>
        <w:tc>
          <w:tcPr>
            <w:tcW w:w="26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tcPr>
          <w:p w14:paraId="6EE7C936" w14:textId="77777777" w:rsidR="00EA2B5F" w:rsidRPr="00F25EBD" w:rsidRDefault="00EA2B5F" w:rsidP="00C2211E">
            <w:pPr>
              <w:spacing w:after="0" w:line="240" w:lineRule="auto"/>
              <w:jc w:val="center"/>
              <w:rPr>
                <w:rFonts w:asciiTheme="majorHAnsi" w:eastAsia="Times New Roman" w:hAnsiTheme="majorHAnsi" w:cstheme="majorHAnsi"/>
                <w:color w:val="000000"/>
                <w:sz w:val="20"/>
                <w:szCs w:val="20"/>
                <w:lang w:eastAsia="pl-PL"/>
              </w:rPr>
            </w:pPr>
          </w:p>
        </w:tc>
        <w:tc>
          <w:tcPr>
            <w:tcW w:w="26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tcPr>
          <w:p w14:paraId="4D1F01C5" w14:textId="77777777" w:rsidR="00EA2B5F" w:rsidRPr="00F25EBD" w:rsidRDefault="00EA2B5F" w:rsidP="00C2211E">
            <w:pPr>
              <w:spacing w:after="0" w:line="240" w:lineRule="auto"/>
              <w:jc w:val="center"/>
              <w:rPr>
                <w:rFonts w:asciiTheme="majorHAnsi" w:eastAsia="Times New Roman" w:hAnsiTheme="majorHAnsi" w:cstheme="majorHAnsi"/>
                <w:color w:val="000000"/>
                <w:sz w:val="20"/>
                <w:szCs w:val="20"/>
                <w:lang w:eastAsia="pl-PL"/>
              </w:rPr>
            </w:pPr>
            <w:r w:rsidRPr="00F25EBD">
              <w:rPr>
                <w:rFonts w:asciiTheme="majorHAnsi" w:hAnsiTheme="majorHAnsi" w:cstheme="majorHAnsi"/>
                <w:color w:val="000000"/>
                <w:sz w:val="20"/>
                <w:szCs w:val="20"/>
              </w:rPr>
              <w:t>1</w:t>
            </w:r>
          </w:p>
        </w:tc>
        <w:tc>
          <w:tcPr>
            <w:tcW w:w="260"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shd w:val="clear" w:color="auto" w:fill="auto"/>
            <w:noWrap/>
            <w:vAlign w:val="bottom"/>
          </w:tcPr>
          <w:p w14:paraId="3993C4CC" w14:textId="77777777" w:rsidR="00EA2B5F" w:rsidRPr="00F25EBD" w:rsidRDefault="00EA2B5F" w:rsidP="00C2211E">
            <w:pPr>
              <w:spacing w:after="0" w:line="240" w:lineRule="auto"/>
              <w:jc w:val="center"/>
              <w:rPr>
                <w:rFonts w:asciiTheme="majorHAnsi" w:eastAsia="Times New Roman" w:hAnsiTheme="majorHAnsi" w:cstheme="majorHAnsi"/>
                <w:color w:val="000000"/>
                <w:sz w:val="20"/>
                <w:szCs w:val="20"/>
                <w:lang w:eastAsia="pl-PL"/>
              </w:rPr>
            </w:pPr>
          </w:p>
        </w:tc>
      </w:tr>
      <w:tr w:rsidR="00EA2B5F" w:rsidRPr="00F25EBD" w14:paraId="5544D2A8" w14:textId="77777777" w:rsidTr="008543EA">
        <w:trPr>
          <w:trHeight w:val="276"/>
          <w:jc w:val="center"/>
        </w:trPr>
        <w:tc>
          <w:tcPr>
            <w:tcW w:w="3961" w:type="pct"/>
            <w:tcBorders>
              <w:top w:val="single" w:sz="4" w:space="0" w:color="808080" w:themeColor="background1" w:themeShade="80"/>
              <w:left w:val="nil"/>
              <w:bottom w:val="single" w:sz="4" w:space="0" w:color="808080" w:themeColor="background1" w:themeShade="80"/>
              <w:right w:val="nil"/>
            </w:tcBorders>
            <w:shd w:val="clear" w:color="auto" w:fill="auto"/>
            <w:noWrap/>
            <w:vAlign w:val="bottom"/>
          </w:tcPr>
          <w:p w14:paraId="75529648" w14:textId="77777777" w:rsidR="00EA2B5F" w:rsidRPr="00F25EBD" w:rsidRDefault="00EA2B5F" w:rsidP="00C2211E">
            <w:pPr>
              <w:spacing w:after="0" w:line="240" w:lineRule="auto"/>
              <w:rPr>
                <w:rFonts w:asciiTheme="majorHAnsi" w:eastAsia="Times New Roman" w:hAnsiTheme="majorHAnsi" w:cstheme="majorHAnsi"/>
                <w:color w:val="000000"/>
                <w:sz w:val="20"/>
                <w:szCs w:val="20"/>
                <w:lang w:eastAsia="pl-PL"/>
              </w:rPr>
            </w:pPr>
            <w:r w:rsidRPr="00F25EBD">
              <w:rPr>
                <w:rFonts w:asciiTheme="majorHAnsi" w:hAnsiTheme="majorHAnsi" w:cstheme="majorHAnsi"/>
                <w:color w:val="000000"/>
                <w:sz w:val="20"/>
                <w:szCs w:val="20"/>
              </w:rPr>
              <w:t>rolnicy i hodowcy</w:t>
            </w:r>
          </w:p>
        </w:tc>
        <w:tc>
          <w:tcPr>
            <w:tcW w:w="260"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shd w:val="clear" w:color="auto" w:fill="auto"/>
            <w:noWrap/>
            <w:vAlign w:val="bottom"/>
          </w:tcPr>
          <w:p w14:paraId="7C5C406A" w14:textId="77777777" w:rsidR="00EA2B5F" w:rsidRPr="00F25EBD" w:rsidRDefault="00EA2B5F" w:rsidP="00C2211E">
            <w:pPr>
              <w:spacing w:after="0" w:line="240" w:lineRule="auto"/>
              <w:jc w:val="center"/>
              <w:rPr>
                <w:rFonts w:asciiTheme="majorHAnsi" w:eastAsia="Times New Roman" w:hAnsiTheme="majorHAnsi" w:cstheme="majorHAnsi"/>
                <w:color w:val="000000"/>
                <w:sz w:val="20"/>
                <w:szCs w:val="20"/>
                <w:lang w:eastAsia="pl-PL"/>
              </w:rPr>
            </w:pPr>
          </w:p>
        </w:tc>
        <w:tc>
          <w:tcPr>
            <w:tcW w:w="26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tcPr>
          <w:p w14:paraId="7A2010E0" w14:textId="77777777" w:rsidR="00EA2B5F" w:rsidRPr="00F25EBD" w:rsidRDefault="00EA2B5F" w:rsidP="00C2211E">
            <w:pPr>
              <w:spacing w:after="0" w:line="240" w:lineRule="auto"/>
              <w:jc w:val="center"/>
              <w:rPr>
                <w:rFonts w:asciiTheme="majorHAnsi" w:eastAsia="Times New Roman" w:hAnsiTheme="majorHAnsi" w:cstheme="majorHAnsi"/>
                <w:color w:val="000000"/>
                <w:sz w:val="20"/>
                <w:szCs w:val="20"/>
                <w:lang w:eastAsia="pl-PL"/>
              </w:rPr>
            </w:pPr>
          </w:p>
        </w:tc>
        <w:tc>
          <w:tcPr>
            <w:tcW w:w="26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tcPr>
          <w:p w14:paraId="3B3450A5" w14:textId="77777777" w:rsidR="00EA2B5F" w:rsidRPr="00F25EBD" w:rsidRDefault="00EA2B5F" w:rsidP="00C2211E">
            <w:pPr>
              <w:spacing w:after="0" w:line="240" w:lineRule="auto"/>
              <w:jc w:val="center"/>
              <w:rPr>
                <w:rFonts w:asciiTheme="majorHAnsi" w:eastAsia="Times New Roman" w:hAnsiTheme="majorHAnsi" w:cstheme="majorHAnsi"/>
                <w:color w:val="000000"/>
                <w:sz w:val="20"/>
                <w:szCs w:val="20"/>
                <w:lang w:eastAsia="pl-PL"/>
              </w:rPr>
            </w:pPr>
            <w:r w:rsidRPr="00F25EBD">
              <w:rPr>
                <w:rFonts w:asciiTheme="majorHAnsi" w:hAnsiTheme="majorHAnsi" w:cstheme="majorHAnsi"/>
                <w:color w:val="000000"/>
                <w:sz w:val="20"/>
                <w:szCs w:val="20"/>
              </w:rPr>
              <w:t>1</w:t>
            </w:r>
          </w:p>
        </w:tc>
        <w:tc>
          <w:tcPr>
            <w:tcW w:w="260"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shd w:val="clear" w:color="auto" w:fill="auto"/>
            <w:noWrap/>
            <w:vAlign w:val="bottom"/>
          </w:tcPr>
          <w:p w14:paraId="610699BD" w14:textId="77777777" w:rsidR="00EA2B5F" w:rsidRPr="00F25EBD" w:rsidRDefault="00EA2B5F" w:rsidP="00C2211E">
            <w:pPr>
              <w:spacing w:after="0" w:line="240" w:lineRule="auto"/>
              <w:jc w:val="center"/>
              <w:rPr>
                <w:rFonts w:asciiTheme="majorHAnsi" w:eastAsia="Times New Roman" w:hAnsiTheme="majorHAnsi" w:cstheme="majorHAnsi"/>
                <w:color w:val="000000"/>
                <w:sz w:val="20"/>
                <w:szCs w:val="20"/>
                <w:lang w:eastAsia="pl-PL"/>
              </w:rPr>
            </w:pPr>
          </w:p>
        </w:tc>
      </w:tr>
      <w:tr w:rsidR="00EA2B5F" w:rsidRPr="00F25EBD" w14:paraId="7DD1D11D" w14:textId="77777777" w:rsidTr="008543EA">
        <w:trPr>
          <w:trHeight w:val="276"/>
          <w:jc w:val="center"/>
        </w:trPr>
        <w:tc>
          <w:tcPr>
            <w:tcW w:w="3961" w:type="pct"/>
            <w:tcBorders>
              <w:top w:val="single" w:sz="4" w:space="0" w:color="808080" w:themeColor="background1" w:themeShade="80"/>
              <w:left w:val="nil"/>
              <w:bottom w:val="single" w:sz="4" w:space="0" w:color="808080" w:themeColor="background1" w:themeShade="80"/>
              <w:right w:val="nil"/>
            </w:tcBorders>
            <w:shd w:val="clear" w:color="auto" w:fill="auto"/>
            <w:noWrap/>
            <w:vAlign w:val="bottom"/>
          </w:tcPr>
          <w:p w14:paraId="4C525F8E" w14:textId="77777777" w:rsidR="00EA2B5F" w:rsidRPr="00F25EBD" w:rsidRDefault="00EA2B5F" w:rsidP="00C2211E">
            <w:pPr>
              <w:spacing w:after="0" w:line="240" w:lineRule="auto"/>
              <w:rPr>
                <w:rFonts w:asciiTheme="majorHAnsi" w:eastAsia="Times New Roman" w:hAnsiTheme="majorHAnsi" w:cstheme="majorHAnsi"/>
                <w:color w:val="000000"/>
                <w:sz w:val="20"/>
                <w:szCs w:val="20"/>
                <w:lang w:eastAsia="pl-PL"/>
              </w:rPr>
            </w:pPr>
            <w:r w:rsidRPr="00F25EBD">
              <w:rPr>
                <w:rFonts w:asciiTheme="majorHAnsi" w:hAnsiTheme="majorHAnsi" w:cstheme="majorHAnsi"/>
                <w:color w:val="000000"/>
                <w:sz w:val="20"/>
                <w:szCs w:val="20"/>
              </w:rPr>
              <w:t>specjaliści administracji publicznej</w:t>
            </w:r>
          </w:p>
        </w:tc>
        <w:tc>
          <w:tcPr>
            <w:tcW w:w="260"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shd w:val="clear" w:color="auto" w:fill="auto"/>
            <w:noWrap/>
            <w:vAlign w:val="bottom"/>
          </w:tcPr>
          <w:p w14:paraId="0F28B357" w14:textId="77777777" w:rsidR="00EA2B5F" w:rsidRPr="00F25EBD" w:rsidRDefault="00EA2B5F" w:rsidP="00C2211E">
            <w:pPr>
              <w:spacing w:after="0" w:line="240" w:lineRule="auto"/>
              <w:jc w:val="center"/>
              <w:rPr>
                <w:rFonts w:asciiTheme="majorHAnsi" w:eastAsia="Times New Roman" w:hAnsiTheme="majorHAnsi" w:cstheme="majorHAnsi"/>
                <w:color w:val="000000"/>
                <w:sz w:val="20"/>
                <w:szCs w:val="20"/>
                <w:lang w:eastAsia="pl-PL"/>
              </w:rPr>
            </w:pPr>
            <w:r w:rsidRPr="00F25EBD">
              <w:rPr>
                <w:rFonts w:asciiTheme="majorHAnsi" w:hAnsiTheme="majorHAnsi" w:cstheme="majorHAnsi"/>
                <w:color w:val="000000"/>
                <w:sz w:val="20"/>
                <w:szCs w:val="20"/>
              </w:rPr>
              <w:t>1</w:t>
            </w:r>
          </w:p>
        </w:tc>
        <w:tc>
          <w:tcPr>
            <w:tcW w:w="26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tcPr>
          <w:p w14:paraId="2774C189" w14:textId="77777777" w:rsidR="00EA2B5F" w:rsidRPr="00F25EBD" w:rsidRDefault="00EA2B5F" w:rsidP="00C2211E">
            <w:pPr>
              <w:spacing w:after="0" w:line="240" w:lineRule="auto"/>
              <w:jc w:val="center"/>
              <w:rPr>
                <w:rFonts w:asciiTheme="majorHAnsi" w:eastAsia="Times New Roman" w:hAnsiTheme="majorHAnsi" w:cstheme="majorHAnsi"/>
                <w:sz w:val="20"/>
                <w:szCs w:val="20"/>
                <w:lang w:eastAsia="pl-PL"/>
              </w:rPr>
            </w:pPr>
          </w:p>
        </w:tc>
        <w:tc>
          <w:tcPr>
            <w:tcW w:w="26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bottom"/>
          </w:tcPr>
          <w:p w14:paraId="45316FB3" w14:textId="77777777" w:rsidR="00EA2B5F" w:rsidRPr="00F25EBD" w:rsidRDefault="00EA2B5F" w:rsidP="00C2211E">
            <w:pPr>
              <w:spacing w:after="0" w:line="240" w:lineRule="auto"/>
              <w:jc w:val="center"/>
              <w:rPr>
                <w:rFonts w:asciiTheme="majorHAnsi" w:eastAsia="Times New Roman" w:hAnsiTheme="majorHAnsi" w:cstheme="majorHAnsi"/>
                <w:color w:val="000000"/>
                <w:sz w:val="20"/>
                <w:szCs w:val="20"/>
                <w:lang w:eastAsia="pl-PL"/>
              </w:rPr>
            </w:pPr>
            <w:r w:rsidRPr="00F25EBD">
              <w:rPr>
                <w:rFonts w:asciiTheme="majorHAnsi" w:hAnsiTheme="majorHAnsi" w:cstheme="majorHAnsi"/>
                <w:color w:val="000000"/>
                <w:sz w:val="20"/>
                <w:szCs w:val="20"/>
              </w:rPr>
              <w:t>1</w:t>
            </w:r>
          </w:p>
        </w:tc>
        <w:tc>
          <w:tcPr>
            <w:tcW w:w="260"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shd w:val="clear" w:color="auto" w:fill="auto"/>
            <w:noWrap/>
            <w:vAlign w:val="bottom"/>
          </w:tcPr>
          <w:p w14:paraId="1496F215" w14:textId="77777777" w:rsidR="00EA2B5F" w:rsidRPr="00F25EBD" w:rsidRDefault="00EA2B5F" w:rsidP="00C2211E">
            <w:pPr>
              <w:spacing w:after="0" w:line="240" w:lineRule="auto"/>
              <w:jc w:val="center"/>
              <w:rPr>
                <w:rFonts w:asciiTheme="majorHAnsi" w:eastAsia="Times New Roman" w:hAnsiTheme="majorHAnsi" w:cstheme="majorHAnsi"/>
                <w:color w:val="000000"/>
                <w:sz w:val="20"/>
                <w:szCs w:val="20"/>
                <w:lang w:eastAsia="pl-PL"/>
              </w:rPr>
            </w:pPr>
          </w:p>
        </w:tc>
      </w:tr>
    </w:tbl>
    <w:p w14:paraId="75503C4B" w14:textId="77777777" w:rsidR="00EA2B5F" w:rsidRPr="00F25EBD" w:rsidRDefault="00EA2B5F" w:rsidP="00FC7062">
      <w:pPr>
        <w:spacing w:before="120" w:after="120" w:line="276" w:lineRule="auto"/>
        <w:jc w:val="both"/>
        <w:rPr>
          <w:rFonts w:asciiTheme="majorHAnsi" w:hAnsiTheme="majorHAnsi" w:cstheme="majorHAnsi"/>
          <w:sz w:val="18"/>
          <w:szCs w:val="18"/>
        </w:rPr>
      </w:pPr>
      <w:r w:rsidRPr="00F25EBD">
        <w:rPr>
          <w:rFonts w:asciiTheme="majorHAnsi" w:hAnsiTheme="majorHAnsi" w:cstheme="majorHAnsi"/>
          <w:sz w:val="18"/>
          <w:szCs w:val="18"/>
        </w:rPr>
        <w:t>D</w:t>
      </w:r>
      <w:r w:rsidR="00336D76" w:rsidRPr="00F25EBD">
        <w:rPr>
          <w:rFonts w:asciiTheme="majorHAnsi" w:hAnsiTheme="majorHAnsi" w:cstheme="majorHAnsi"/>
          <w:sz w:val="18"/>
          <w:szCs w:val="18"/>
        </w:rPr>
        <w:t xml:space="preserve"> - </w:t>
      </w:r>
      <w:r w:rsidRPr="00F25EBD">
        <w:rPr>
          <w:rFonts w:asciiTheme="majorHAnsi" w:hAnsiTheme="majorHAnsi" w:cstheme="majorHAnsi"/>
          <w:sz w:val="18"/>
          <w:szCs w:val="18"/>
        </w:rPr>
        <w:t>powiat działdowski, N</w:t>
      </w:r>
      <w:r w:rsidR="00336D76" w:rsidRPr="00F25EBD">
        <w:rPr>
          <w:rFonts w:asciiTheme="majorHAnsi" w:hAnsiTheme="majorHAnsi" w:cstheme="majorHAnsi"/>
          <w:sz w:val="18"/>
          <w:szCs w:val="18"/>
        </w:rPr>
        <w:t xml:space="preserve"> - </w:t>
      </w:r>
      <w:r w:rsidRPr="00F25EBD">
        <w:rPr>
          <w:rFonts w:asciiTheme="majorHAnsi" w:hAnsiTheme="majorHAnsi" w:cstheme="majorHAnsi"/>
          <w:sz w:val="18"/>
          <w:szCs w:val="18"/>
        </w:rPr>
        <w:t>powiat nidzicki, P</w:t>
      </w:r>
      <w:r w:rsidR="00336D76" w:rsidRPr="00F25EBD">
        <w:rPr>
          <w:rFonts w:asciiTheme="majorHAnsi" w:hAnsiTheme="majorHAnsi" w:cstheme="majorHAnsi"/>
          <w:sz w:val="18"/>
          <w:szCs w:val="18"/>
        </w:rPr>
        <w:t xml:space="preserve"> - </w:t>
      </w:r>
      <w:r w:rsidRPr="00F25EBD">
        <w:rPr>
          <w:rFonts w:asciiTheme="majorHAnsi" w:hAnsiTheme="majorHAnsi" w:cstheme="majorHAnsi"/>
          <w:sz w:val="18"/>
          <w:szCs w:val="18"/>
        </w:rPr>
        <w:t>powiat piski, S</w:t>
      </w:r>
      <w:r w:rsidR="00336D76" w:rsidRPr="00F25EBD">
        <w:rPr>
          <w:rFonts w:asciiTheme="majorHAnsi" w:hAnsiTheme="majorHAnsi" w:cstheme="majorHAnsi"/>
          <w:sz w:val="18"/>
          <w:szCs w:val="18"/>
        </w:rPr>
        <w:t xml:space="preserve"> - </w:t>
      </w:r>
      <w:r w:rsidRPr="00F25EBD">
        <w:rPr>
          <w:rFonts w:asciiTheme="majorHAnsi" w:hAnsiTheme="majorHAnsi" w:cstheme="majorHAnsi"/>
          <w:sz w:val="18"/>
          <w:szCs w:val="18"/>
        </w:rPr>
        <w:t>powiat szczycieński</w:t>
      </w:r>
    </w:p>
    <w:p w14:paraId="222605B4" w14:textId="77777777" w:rsidR="00EA2B5F" w:rsidRPr="00F25EBD" w:rsidRDefault="00EA2B5F" w:rsidP="008543EA">
      <w:pPr>
        <w:pStyle w:val="rdo"/>
      </w:pPr>
      <w:r w:rsidRPr="00F25EBD">
        <w:t>Źródło: opracowanie własne na podstawie: https://barometrzawodow.pl/pl/warminsko-mazurskie/prognozy-w-tabelach/2020/warminsko-mazurskie.19...307-315-320-321...2.5-3-1-4-2.14..0.1.0-1..?province=warminsko-mazurskie&amp;Jobs_page=2&amp;ALL=ALL.</w:t>
      </w:r>
    </w:p>
    <w:p w14:paraId="27B598FE" w14:textId="77777777" w:rsidR="00EA2B5F" w:rsidRPr="00F25EBD" w:rsidRDefault="00EA2B5F" w:rsidP="00FC7062">
      <w:pPr>
        <w:spacing w:after="0" w:line="276" w:lineRule="auto"/>
        <w:jc w:val="both"/>
        <w:rPr>
          <w:rFonts w:asciiTheme="majorHAnsi" w:hAnsiTheme="majorHAnsi" w:cstheme="majorHAnsi"/>
        </w:rPr>
      </w:pPr>
    </w:p>
    <w:p w14:paraId="7CBB1080" w14:textId="72E9EA1A" w:rsidR="00EA2B5F" w:rsidRPr="00F25EBD" w:rsidRDefault="00EA2B5F" w:rsidP="00FC7062">
      <w:pPr>
        <w:spacing w:after="0" w:line="276" w:lineRule="auto"/>
        <w:jc w:val="both"/>
        <w:rPr>
          <w:rFonts w:asciiTheme="majorHAnsi" w:hAnsiTheme="majorHAnsi" w:cstheme="majorHAnsi"/>
        </w:rPr>
      </w:pPr>
      <w:r w:rsidRPr="00F25EBD">
        <w:rPr>
          <w:rFonts w:asciiTheme="majorHAnsi" w:hAnsiTheme="majorHAnsi" w:cstheme="majorHAnsi"/>
        </w:rPr>
        <w:t>Pozostałe, niewymienione w powyższych tabelach zawody to zawody zrównoważone charakteryzujące się zbliżoną liczbą wolnych miejsc pracy do liczby osób zai</w:t>
      </w:r>
      <w:r w:rsidR="008543EA">
        <w:rPr>
          <w:rFonts w:asciiTheme="majorHAnsi" w:hAnsiTheme="majorHAnsi" w:cstheme="majorHAnsi"/>
        </w:rPr>
        <w:t>nteresowanych podjęciem pracy i </w:t>
      </w:r>
      <w:r w:rsidRPr="00F25EBD">
        <w:rPr>
          <w:rFonts w:asciiTheme="majorHAnsi" w:hAnsiTheme="majorHAnsi" w:cstheme="majorHAnsi"/>
        </w:rPr>
        <w:t>spełniających wymagania pracodawców.</w:t>
      </w:r>
    </w:p>
    <w:p w14:paraId="2F75029A" w14:textId="77777777" w:rsidR="004C64BD" w:rsidRDefault="004C64BD" w:rsidP="00FC7062">
      <w:pPr>
        <w:spacing w:line="276" w:lineRule="auto"/>
        <w:rPr>
          <w:rFonts w:asciiTheme="majorHAnsi" w:hAnsiTheme="majorHAnsi" w:cstheme="majorHAnsi"/>
        </w:rPr>
      </w:pPr>
      <w:r>
        <w:rPr>
          <w:rFonts w:asciiTheme="majorHAnsi" w:hAnsiTheme="majorHAnsi" w:cstheme="majorHAnsi"/>
        </w:rPr>
        <w:br w:type="page"/>
      </w:r>
    </w:p>
    <w:p w14:paraId="6B57CE63" w14:textId="12C6E0C2" w:rsidR="00EA2B5F" w:rsidRPr="00F25EBD" w:rsidRDefault="008543EA" w:rsidP="008543EA">
      <w:pPr>
        <w:pStyle w:val="Nagwek2"/>
        <w:spacing w:before="0"/>
        <w:jc w:val="both"/>
        <w:rPr>
          <w:rFonts w:cstheme="majorHAnsi"/>
        </w:rPr>
      </w:pPr>
      <w:bookmarkStart w:id="39" w:name="_Toc77070608"/>
      <w:r>
        <w:rPr>
          <w:rFonts w:cstheme="majorHAnsi"/>
        </w:rPr>
        <w:t xml:space="preserve">4.3 </w:t>
      </w:r>
      <w:r w:rsidR="00EA2B5F" w:rsidRPr="00F25EBD">
        <w:rPr>
          <w:rFonts w:cstheme="majorHAnsi"/>
        </w:rPr>
        <w:t>Dochody ludności</w:t>
      </w:r>
      <w:bookmarkEnd w:id="39"/>
    </w:p>
    <w:p w14:paraId="5DCABB1D" w14:textId="7A73F699" w:rsidR="00EA2B5F" w:rsidRPr="00F25EBD" w:rsidRDefault="00EA2B5F" w:rsidP="00FC7062">
      <w:pPr>
        <w:spacing w:after="0" w:line="276" w:lineRule="auto"/>
        <w:jc w:val="both"/>
        <w:rPr>
          <w:rFonts w:asciiTheme="majorHAnsi" w:eastAsia="Times New Roman" w:hAnsiTheme="majorHAnsi" w:cstheme="majorHAnsi"/>
          <w:lang w:eastAsia="pl-PL"/>
        </w:rPr>
      </w:pPr>
      <w:r w:rsidRPr="00F25EBD">
        <w:rPr>
          <w:rFonts w:asciiTheme="majorHAnsi" w:hAnsiTheme="majorHAnsi" w:cstheme="majorHAnsi"/>
        </w:rPr>
        <w:t>W 2019</w:t>
      </w:r>
      <w:r w:rsidR="00F7062F">
        <w:rPr>
          <w:rFonts w:asciiTheme="majorHAnsi" w:hAnsiTheme="majorHAnsi" w:cstheme="majorHAnsi"/>
        </w:rPr>
        <w:t>r.</w:t>
      </w:r>
      <w:r w:rsidRPr="00F25EBD">
        <w:rPr>
          <w:rFonts w:asciiTheme="majorHAnsi" w:hAnsiTheme="majorHAnsi" w:cstheme="majorHAnsi"/>
        </w:rPr>
        <w:t xml:space="preserve"> przeciętne miesięczne wynagrodzenia brutto mieszkańców Południowych Mazur wyniosło średnio 4.047,69 zł i było o </w:t>
      </w:r>
      <w:r w:rsidRPr="00F25EBD">
        <w:rPr>
          <w:rFonts w:asciiTheme="majorHAnsi" w:eastAsia="Times New Roman" w:hAnsiTheme="majorHAnsi" w:cstheme="majorHAnsi"/>
          <w:lang w:eastAsia="pl-PL"/>
        </w:rPr>
        <w:t xml:space="preserve">1.133,94 zł niższe od średniej krajowej i o 271,82 zł niższe od średniej wojewódzkiej. Najkorzystniejsza sytuacja w tym obszarze panowała w powiecie </w:t>
      </w:r>
      <w:proofErr w:type="spellStart"/>
      <w:r w:rsidRPr="00F25EBD">
        <w:rPr>
          <w:rFonts w:asciiTheme="majorHAnsi" w:eastAsia="Times New Roman" w:hAnsiTheme="majorHAnsi" w:cstheme="majorHAnsi"/>
          <w:lang w:eastAsia="pl-PL"/>
        </w:rPr>
        <w:t>piskim</w:t>
      </w:r>
      <w:proofErr w:type="spellEnd"/>
      <w:r w:rsidRPr="00F25EBD">
        <w:rPr>
          <w:rFonts w:asciiTheme="majorHAnsi" w:eastAsia="Times New Roman" w:hAnsiTheme="majorHAnsi" w:cstheme="majorHAnsi"/>
          <w:lang w:eastAsia="pl-PL"/>
        </w:rPr>
        <w:t xml:space="preserve"> i</w:t>
      </w:r>
      <w:r w:rsidR="007B04A7">
        <w:rPr>
          <w:rFonts w:asciiTheme="majorHAnsi" w:eastAsia="Times New Roman" w:hAnsiTheme="majorHAnsi" w:cstheme="majorHAnsi"/>
          <w:lang w:eastAsia="pl-PL"/>
        </w:rPr>
        <w:t xml:space="preserve"> </w:t>
      </w:r>
      <w:r w:rsidRPr="00F25EBD">
        <w:rPr>
          <w:rFonts w:asciiTheme="majorHAnsi" w:eastAsia="Times New Roman" w:hAnsiTheme="majorHAnsi" w:cstheme="majorHAnsi"/>
          <w:lang w:eastAsia="pl-PL"/>
        </w:rPr>
        <w:t xml:space="preserve">szczycieńskim, które z kwotami wynoszącymi odpowiednio </w:t>
      </w:r>
      <w:r w:rsidRPr="00F25EBD">
        <w:rPr>
          <w:rFonts w:asciiTheme="majorHAnsi" w:hAnsiTheme="majorHAnsi" w:cstheme="majorHAnsi"/>
        </w:rPr>
        <w:t xml:space="preserve">4.280,99 zł i 4.177,74 zł </w:t>
      </w:r>
      <w:r w:rsidRPr="00F25EBD">
        <w:rPr>
          <w:rFonts w:asciiTheme="majorHAnsi" w:eastAsia="Times New Roman" w:hAnsiTheme="majorHAnsi" w:cstheme="majorHAnsi"/>
          <w:lang w:eastAsia="pl-PL"/>
        </w:rPr>
        <w:t>uplasowały się na drugim i trzecim miejscu w grupie powiatów ziemskich województwa warmińsko-mazurskiego. Dwa pozostałe powiaty wypadły w tym rankingu nieco gorzej zajmując 16. pozycję</w:t>
      </w:r>
      <w:r w:rsidR="00336D76" w:rsidRPr="00F25EBD">
        <w:rPr>
          <w:rFonts w:asciiTheme="majorHAnsi" w:eastAsia="Times New Roman" w:hAnsiTheme="majorHAnsi" w:cstheme="majorHAnsi"/>
          <w:lang w:eastAsia="pl-PL"/>
        </w:rPr>
        <w:t xml:space="preserve"> - </w:t>
      </w:r>
      <w:r w:rsidRPr="00F25EBD">
        <w:rPr>
          <w:rFonts w:asciiTheme="majorHAnsi" w:eastAsia="Times New Roman" w:hAnsiTheme="majorHAnsi" w:cstheme="majorHAnsi"/>
          <w:lang w:eastAsia="pl-PL"/>
        </w:rPr>
        <w:t>powiat działdowski (</w:t>
      </w:r>
      <w:r w:rsidRPr="00F25EBD">
        <w:rPr>
          <w:rFonts w:asciiTheme="majorHAnsi" w:eastAsia="Times New Roman" w:hAnsiTheme="majorHAnsi" w:cstheme="majorHAnsi"/>
          <w:color w:val="000000"/>
          <w:lang w:eastAsia="pl-PL"/>
        </w:rPr>
        <w:t>3.878,46 zł</w:t>
      </w:r>
      <w:r w:rsidRPr="00F25EBD">
        <w:rPr>
          <w:rFonts w:asciiTheme="majorHAnsi" w:eastAsia="Times New Roman" w:hAnsiTheme="majorHAnsi" w:cstheme="majorHAnsi"/>
          <w:lang w:eastAsia="pl-PL"/>
        </w:rPr>
        <w:t>) i 17. pozycję</w:t>
      </w:r>
      <w:r w:rsidR="00336D76" w:rsidRPr="00F25EBD">
        <w:rPr>
          <w:rFonts w:asciiTheme="majorHAnsi" w:eastAsia="Times New Roman" w:hAnsiTheme="majorHAnsi" w:cstheme="majorHAnsi"/>
          <w:lang w:eastAsia="pl-PL"/>
        </w:rPr>
        <w:t xml:space="preserve"> - </w:t>
      </w:r>
      <w:r w:rsidRPr="00F25EBD">
        <w:rPr>
          <w:rFonts w:asciiTheme="majorHAnsi" w:eastAsia="Times New Roman" w:hAnsiTheme="majorHAnsi" w:cstheme="majorHAnsi"/>
          <w:lang w:eastAsia="pl-PL"/>
        </w:rPr>
        <w:t>powiat nidzicki (</w:t>
      </w:r>
      <w:r w:rsidRPr="00F25EBD">
        <w:rPr>
          <w:rFonts w:asciiTheme="majorHAnsi" w:eastAsia="Times New Roman" w:hAnsiTheme="majorHAnsi" w:cstheme="majorHAnsi"/>
          <w:color w:val="000000"/>
          <w:lang w:eastAsia="pl-PL"/>
        </w:rPr>
        <w:t>3.853,58 zł</w:t>
      </w:r>
      <w:r w:rsidRPr="00F25EBD">
        <w:rPr>
          <w:rFonts w:asciiTheme="majorHAnsi" w:eastAsia="Times New Roman" w:hAnsiTheme="majorHAnsi" w:cstheme="majorHAnsi"/>
          <w:lang w:eastAsia="pl-PL"/>
        </w:rPr>
        <w:t xml:space="preserve">). W latach 2010-2019 największy procentowy wzrost wynagrodzeń miał miejsce w powiecie </w:t>
      </w:r>
      <w:proofErr w:type="spellStart"/>
      <w:r w:rsidRPr="00F25EBD">
        <w:rPr>
          <w:rFonts w:asciiTheme="majorHAnsi" w:eastAsia="Times New Roman" w:hAnsiTheme="majorHAnsi" w:cstheme="majorHAnsi"/>
          <w:lang w:eastAsia="pl-PL"/>
        </w:rPr>
        <w:t>piskim</w:t>
      </w:r>
      <w:proofErr w:type="spellEnd"/>
      <w:r w:rsidRPr="00F25EBD">
        <w:rPr>
          <w:rFonts w:asciiTheme="majorHAnsi" w:eastAsia="Times New Roman" w:hAnsiTheme="majorHAnsi" w:cstheme="majorHAnsi"/>
          <w:lang w:eastAsia="pl-PL"/>
        </w:rPr>
        <w:t xml:space="preserve"> (57,0%), następnie nidzickim (53,3%), szczycieńskim (50,2%) i działdowskim (45,7%). Zamiany wielkości wynagrodzeń w relacji do średniej krajowej przedstawione są na poniższym rysunku.</w:t>
      </w:r>
    </w:p>
    <w:p w14:paraId="5799DCA7" w14:textId="65020F83" w:rsidR="00EA2B5F" w:rsidRPr="00F25EBD" w:rsidRDefault="00EA2B5F" w:rsidP="008543EA">
      <w:pPr>
        <w:pStyle w:val="nad"/>
        <w:rPr>
          <w:rFonts w:eastAsia="Times New Roman"/>
          <w:lang w:eastAsia="pl-PL"/>
        </w:rPr>
      </w:pPr>
      <w:bookmarkStart w:id="40" w:name="_Toc81301542"/>
      <w:r w:rsidRPr="00F25EBD">
        <w:t xml:space="preserve">Rysunek </w:t>
      </w:r>
      <w:r w:rsidRPr="00F25EBD">
        <w:rPr>
          <w:noProof/>
        </w:rPr>
        <w:fldChar w:fldCharType="begin"/>
      </w:r>
      <w:r w:rsidRPr="00F25EBD">
        <w:rPr>
          <w:noProof/>
        </w:rPr>
        <w:instrText xml:space="preserve"> SEQ Rysunek \* ARABIC </w:instrText>
      </w:r>
      <w:r w:rsidRPr="00F25EBD">
        <w:rPr>
          <w:noProof/>
        </w:rPr>
        <w:fldChar w:fldCharType="separate"/>
      </w:r>
      <w:r w:rsidR="006C7815">
        <w:rPr>
          <w:noProof/>
        </w:rPr>
        <w:t>14</w:t>
      </w:r>
      <w:r w:rsidRPr="00F25EBD">
        <w:rPr>
          <w:noProof/>
        </w:rPr>
        <w:fldChar w:fldCharType="end"/>
      </w:r>
      <w:r w:rsidRPr="00F25EBD">
        <w:t>. Zmiana 2010-2019 przeciętnego miesięczne wynagrodzenia brutto mieszkańców PM w relacji do średniej krajowej (Polska=100)</w:t>
      </w:r>
      <w:bookmarkEnd w:id="40"/>
    </w:p>
    <w:p w14:paraId="44B2CE88" w14:textId="77777777" w:rsidR="00EA2B5F" w:rsidRPr="00F25EBD" w:rsidRDefault="00EA2B5F" w:rsidP="00FC7062">
      <w:pPr>
        <w:spacing w:after="0" w:line="276" w:lineRule="auto"/>
        <w:jc w:val="center"/>
        <w:rPr>
          <w:rFonts w:asciiTheme="majorHAnsi" w:hAnsiTheme="majorHAnsi" w:cstheme="majorHAnsi"/>
        </w:rPr>
      </w:pPr>
      <w:r w:rsidRPr="00F25EBD">
        <w:rPr>
          <w:rFonts w:asciiTheme="majorHAnsi" w:hAnsiTheme="majorHAnsi" w:cstheme="majorHAnsi"/>
          <w:noProof/>
          <w:lang w:eastAsia="pl-PL"/>
        </w:rPr>
        <w:drawing>
          <wp:inline distT="0" distB="0" distL="0" distR="0" wp14:anchorId="2E09CBA5" wp14:editId="5D84EF11">
            <wp:extent cx="5760000" cy="2606400"/>
            <wp:effectExtent l="0" t="0" r="12700" b="3810"/>
            <wp:docPr id="14" name="Wykres 14">
              <a:extLst xmlns:a="http://schemas.openxmlformats.org/drawingml/2006/main">
                <a:ext uri="{FF2B5EF4-FFF2-40B4-BE49-F238E27FC236}">
                  <a16:creationId xmlns:a16="http://schemas.microsoft.com/office/drawing/2014/main" id="{1F717913-F014-450B-8D1F-005E8F6B04C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1AAA0569" w14:textId="77777777" w:rsidR="00EA2B5F" w:rsidRPr="00F25EBD" w:rsidRDefault="00EA2B5F" w:rsidP="008543EA">
      <w:pPr>
        <w:pStyle w:val="rdo"/>
      </w:pPr>
      <w:r w:rsidRPr="00F25EBD">
        <w:t>Źródło: opracowanie własne na podstawie danych BDL.</w:t>
      </w:r>
    </w:p>
    <w:p w14:paraId="079E43FF" w14:textId="77777777" w:rsidR="00EA2B5F" w:rsidRPr="00F25EBD" w:rsidRDefault="00EA2B5F" w:rsidP="00FC7062">
      <w:pPr>
        <w:spacing w:after="0" w:line="276" w:lineRule="auto"/>
        <w:jc w:val="both"/>
        <w:rPr>
          <w:rFonts w:asciiTheme="majorHAnsi" w:hAnsiTheme="majorHAnsi" w:cstheme="majorHAnsi"/>
        </w:rPr>
      </w:pPr>
    </w:p>
    <w:p w14:paraId="30E941E1" w14:textId="77777777" w:rsidR="008543EA" w:rsidRDefault="008543EA" w:rsidP="008543EA">
      <w:pPr>
        <w:pStyle w:val="Nagwek1"/>
        <w:spacing w:line="276" w:lineRule="auto"/>
        <w:jc w:val="both"/>
        <w:rPr>
          <w:rFonts w:cstheme="majorHAnsi"/>
        </w:rPr>
      </w:pPr>
      <w:r>
        <w:rPr>
          <w:rFonts w:cstheme="majorHAnsi"/>
        </w:rPr>
        <w:br w:type="page"/>
      </w:r>
    </w:p>
    <w:p w14:paraId="5DA33F9D" w14:textId="2B63DB85" w:rsidR="00EA2B5F" w:rsidRPr="00F25EBD" w:rsidRDefault="008543EA" w:rsidP="008543EA">
      <w:pPr>
        <w:pStyle w:val="Nagwek1"/>
        <w:spacing w:line="276" w:lineRule="auto"/>
        <w:jc w:val="both"/>
        <w:rPr>
          <w:rFonts w:cstheme="majorHAnsi"/>
        </w:rPr>
      </w:pPr>
      <w:bookmarkStart w:id="41" w:name="_Toc77070609"/>
      <w:r>
        <w:rPr>
          <w:rFonts w:cstheme="majorHAnsi"/>
        </w:rPr>
        <w:t xml:space="preserve">5. </w:t>
      </w:r>
      <w:r w:rsidR="00EA2B5F" w:rsidRPr="00F25EBD">
        <w:rPr>
          <w:rFonts w:cstheme="majorHAnsi"/>
        </w:rPr>
        <w:t>Infrastruktura techniczna</w:t>
      </w:r>
      <w:bookmarkEnd w:id="41"/>
    </w:p>
    <w:p w14:paraId="5BE04024" w14:textId="77777777" w:rsidR="008543EA" w:rsidRPr="008543EA" w:rsidRDefault="008543EA" w:rsidP="008543EA">
      <w:pPr>
        <w:pStyle w:val="Nagwek2"/>
        <w:spacing w:before="0"/>
        <w:jc w:val="both"/>
        <w:rPr>
          <w:rFonts w:cstheme="majorHAnsi"/>
          <w:sz w:val="6"/>
        </w:rPr>
      </w:pPr>
    </w:p>
    <w:p w14:paraId="6A37CFD4" w14:textId="46AFA881" w:rsidR="00EA2B5F" w:rsidRPr="00F25EBD" w:rsidRDefault="008543EA" w:rsidP="008543EA">
      <w:pPr>
        <w:pStyle w:val="Nagwek2"/>
        <w:spacing w:before="0"/>
        <w:jc w:val="both"/>
        <w:rPr>
          <w:rFonts w:cstheme="majorHAnsi"/>
        </w:rPr>
      </w:pPr>
      <w:bookmarkStart w:id="42" w:name="_Toc77070610"/>
      <w:r>
        <w:rPr>
          <w:rFonts w:cstheme="majorHAnsi"/>
        </w:rPr>
        <w:t xml:space="preserve">5.1 </w:t>
      </w:r>
      <w:r w:rsidR="00EA2B5F" w:rsidRPr="00F25EBD">
        <w:rPr>
          <w:rFonts w:cstheme="majorHAnsi"/>
        </w:rPr>
        <w:t>Komunikacyjna</w:t>
      </w:r>
      <w:bookmarkEnd w:id="42"/>
    </w:p>
    <w:p w14:paraId="275E4EFF" w14:textId="77777777" w:rsidR="00EA2B5F" w:rsidRPr="00F25EBD" w:rsidRDefault="00EA2B5F" w:rsidP="00FC7062">
      <w:pPr>
        <w:spacing w:after="0" w:line="276" w:lineRule="auto"/>
        <w:jc w:val="both"/>
        <w:rPr>
          <w:rFonts w:asciiTheme="majorHAnsi" w:hAnsiTheme="majorHAnsi" w:cstheme="majorHAnsi"/>
        </w:rPr>
      </w:pPr>
      <w:r w:rsidRPr="00F25EBD">
        <w:rPr>
          <w:rFonts w:asciiTheme="majorHAnsi" w:hAnsiTheme="majorHAnsi" w:cstheme="majorHAnsi"/>
        </w:rPr>
        <w:t>Południowe Mazury dysponują różnymi formami infrastruktury komunikacyjnej, na które składają się sieć drogowa, kolejowa, połączenia lotnicze i ścieżki rowerowe. Aktualny układ komunikacyjny tego obszaru na tle całego województwa przedstawiony jest na poniższym rysunku.</w:t>
      </w:r>
    </w:p>
    <w:p w14:paraId="4820D0DC" w14:textId="59D0148F" w:rsidR="00EA2B5F" w:rsidRPr="00F25EBD" w:rsidRDefault="00EA2B5F" w:rsidP="008543EA">
      <w:pPr>
        <w:pStyle w:val="nad"/>
      </w:pPr>
      <w:bookmarkStart w:id="43" w:name="_Toc81301543"/>
      <w:r w:rsidRPr="00F25EBD">
        <w:t xml:space="preserve">Rysunek </w:t>
      </w:r>
      <w:r w:rsidRPr="00F25EBD">
        <w:rPr>
          <w:noProof/>
        </w:rPr>
        <w:fldChar w:fldCharType="begin"/>
      </w:r>
      <w:r w:rsidRPr="00F25EBD">
        <w:rPr>
          <w:noProof/>
        </w:rPr>
        <w:instrText xml:space="preserve"> SEQ Rysunek \* ARABIC </w:instrText>
      </w:r>
      <w:r w:rsidRPr="00F25EBD">
        <w:rPr>
          <w:noProof/>
        </w:rPr>
        <w:fldChar w:fldCharType="separate"/>
      </w:r>
      <w:r w:rsidR="006C7815">
        <w:rPr>
          <w:noProof/>
        </w:rPr>
        <w:t>15</w:t>
      </w:r>
      <w:r w:rsidRPr="00F25EBD">
        <w:rPr>
          <w:noProof/>
        </w:rPr>
        <w:fldChar w:fldCharType="end"/>
      </w:r>
      <w:r w:rsidRPr="00F25EBD">
        <w:t>. Infrastruktura komunikacyjna</w:t>
      </w:r>
      <w:r w:rsidR="00336D76" w:rsidRPr="00F25EBD">
        <w:t xml:space="preserve"> - </w:t>
      </w:r>
      <w:r w:rsidRPr="00F25EBD">
        <w:t>Mazury Południowe na tle województwa warmińsko-mazurskiego</w:t>
      </w:r>
      <w:bookmarkEnd w:id="43"/>
    </w:p>
    <w:p w14:paraId="2DF95F37" w14:textId="77777777" w:rsidR="00EA2B5F" w:rsidRPr="00F25EBD" w:rsidRDefault="00EA2B5F" w:rsidP="00FC7062">
      <w:pPr>
        <w:spacing w:after="0" w:line="276" w:lineRule="auto"/>
        <w:jc w:val="both"/>
        <w:rPr>
          <w:rFonts w:asciiTheme="majorHAnsi" w:hAnsiTheme="majorHAnsi" w:cstheme="majorHAnsi"/>
        </w:rPr>
      </w:pPr>
      <w:r w:rsidRPr="00F25EBD">
        <w:rPr>
          <w:rFonts w:asciiTheme="majorHAnsi" w:hAnsiTheme="majorHAnsi" w:cstheme="majorHAnsi"/>
          <w:noProof/>
          <w:lang w:eastAsia="pl-PL"/>
        </w:rPr>
        <w:drawing>
          <wp:inline distT="0" distB="0" distL="0" distR="0" wp14:anchorId="60BF9980" wp14:editId="3170A848">
            <wp:extent cx="5760720" cy="2813685"/>
            <wp:effectExtent l="0" t="0" r="0" b="5715"/>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Obraz 22"/>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760720" cy="2813685"/>
                    </a:xfrm>
                    <a:prstGeom prst="rect">
                      <a:avLst/>
                    </a:prstGeom>
                  </pic:spPr>
                </pic:pic>
              </a:graphicData>
            </a:graphic>
          </wp:inline>
        </w:drawing>
      </w:r>
    </w:p>
    <w:p w14:paraId="52C68BE8" w14:textId="77777777" w:rsidR="00EA2B5F" w:rsidRPr="00F25EBD" w:rsidRDefault="00EA2B5F" w:rsidP="008543EA">
      <w:pPr>
        <w:pStyle w:val="rdo"/>
      </w:pPr>
      <w:r w:rsidRPr="00F25EBD">
        <w:t xml:space="preserve">Źródło: </w:t>
      </w:r>
      <w:r w:rsidRPr="00F25EBD">
        <w:rPr>
          <w:iCs/>
        </w:rPr>
        <w:t>Plan Zagospodarowania Przestrzennego Województwa Warmińsko-Mazurskiego</w:t>
      </w:r>
      <w:r w:rsidRPr="00F25EBD">
        <w:t>. 2018. Warmińsko-Mazurskie Biuro Planowania Przestrzennego, Olsztyn.</w:t>
      </w:r>
    </w:p>
    <w:p w14:paraId="25F235B3" w14:textId="77777777" w:rsidR="00EA2B5F" w:rsidRPr="00F25EBD" w:rsidRDefault="00EA2B5F" w:rsidP="00FC7062">
      <w:pPr>
        <w:spacing w:after="0" w:line="276" w:lineRule="auto"/>
        <w:jc w:val="both"/>
        <w:rPr>
          <w:rFonts w:asciiTheme="majorHAnsi" w:hAnsiTheme="majorHAnsi" w:cstheme="majorHAnsi"/>
        </w:rPr>
      </w:pPr>
    </w:p>
    <w:p w14:paraId="5802D583" w14:textId="77777777" w:rsidR="00EA2B5F" w:rsidRPr="002C7D64" w:rsidRDefault="00EA2B5F" w:rsidP="002C7D64">
      <w:pPr>
        <w:pStyle w:val="Norm"/>
      </w:pPr>
      <w:r w:rsidRPr="002C7D64">
        <w:t>Transport drogowy</w:t>
      </w:r>
    </w:p>
    <w:p w14:paraId="7FC5F959" w14:textId="77777777" w:rsidR="00EA2B5F" w:rsidRPr="00F25EBD" w:rsidRDefault="00EA2B5F" w:rsidP="00FC7062">
      <w:pPr>
        <w:spacing w:after="0" w:line="276" w:lineRule="auto"/>
        <w:jc w:val="both"/>
        <w:rPr>
          <w:rFonts w:asciiTheme="majorHAnsi" w:hAnsiTheme="majorHAnsi" w:cstheme="majorHAnsi"/>
        </w:rPr>
      </w:pPr>
      <w:r w:rsidRPr="00F25EBD">
        <w:rPr>
          <w:rFonts w:asciiTheme="majorHAnsi" w:hAnsiTheme="majorHAnsi" w:cstheme="majorHAnsi"/>
        </w:rPr>
        <w:t>Nadrzędny układ komunikacyjny tworzą drogi krajowe. Przez teren Południowych Mazur przebiega droga ekspresowa S7 (granica województwa</w:t>
      </w:r>
      <w:r w:rsidR="00336D76" w:rsidRPr="00F25EBD">
        <w:rPr>
          <w:rFonts w:asciiTheme="majorHAnsi" w:hAnsiTheme="majorHAnsi" w:cstheme="majorHAnsi"/>
        </w:rPr>
        <w:t xml:space="preserve"> - </w:t>
      </w:r>
      <w:r w:rsidRPr="00F25EBD">
        <w:rPr>
          <w:rFonts w:asciiTheme="majorHAnsi" w:hAnsiTheme="majorHAnsi" w:cstheme="majorHAnsi"/>
        </w:rPr>
        <w:t>Elbląg</w:t>
      </w:r>
      <w:r w:rsidR="00336D76" w:rsidRPr="00F25EBD">
        <w:rPr>
          <w:rFonts w:asciiTheme="majorHAnsi" w:hAnsiTheme="majorHAnsi" w:cstheme="majorHAnsi"/>
        </w:rPr>
        <w:t xml:space="preserve"> - </w:t>
      </w:r>
      <w:r w:rsidRPr="00F25EBD">
        <w:rPr>
          <w:rFonts w:asciiTheme="majorHAnsi" w:hAnsiTheme="majorHAnsi" w:cstheme="majorHAnsi"/>
        </w:rPr>
        <w:t>Olsztynek</w:t>
      </w:r>
      <w:r w:rsidR="00336D76" w:rsidRPr="00F25EBD">
        <w:rPr>
          <w:rFonts w:asciiTheme="majorHAnsi" w:hAnsiTheme="majorHAnsi" w:cstheme="majorHAnsi"/>
        </w:rPr>
        <w:t xml:space="preserve"> - </w:t>
      </w:r>
      <w:r w:rsidRPr="00F25EBD">
        <w:rPr>
          <w:rFonts w:asciiTheme="majorHAnsi" w:hAnsiTheme="majorHAnsi" w:cstheme="majorHAnsi"/>
        </w:rPr>
        <w:t>granica województwa), a także pięć innych dróg tego typu, tj.:</w:t>
      </w:r>
    </w:p>
    <w:p w14:paraId="68FBC7B6" w14:textId="77777777" w:rsidR="00EA2B5F" w:rsidRPr="00F25EBD" w:rsidRDefault="00EA2B5F" w:rsidP="0054382A">
      <w:pPr>
        <w:pStyle w:val="Akapitzlist"/>
        <w:numPr>
          <w:ilvl w:val="0"/>
          <w:numId w:val="38"/>
        </w:numPr>
        <w:spacing w:after="0" w:line="276" w:lineRule="auto"/>
        <w:jc w:val="both"/>
        <w:rPr>
          <w:rFonts w:asciiTheme="majorHAnsi" w:hAnsiTheme="majorHAnsi" w:cstheme="majorHAnsi"/>
        </w:rPr>
      </w:pPr>
      <w:r w:rsidRPr="00F25EBD">
        <w:rPr>
          <w:rFonts w:asciiTheme="majorHAnsi" w:hAnsiTheme="majorHAnsi" w:cstheme="majorHAnsi"/>
        </w:rPr>
        <w:t>nr 53: Olsztyn</w:t>
      </w:r>
      <w:r w:rsidR="00336D76" w:rsidRPr="00F25EBD">
        <w:rPr>
          <w:rFonts w:asciiTheme="majorHAnsi" w:hAnsiTheme="majorHAnsi" w:cstheme="majorHAnsi"/>
        </w:rPr>
        <w:t xml:space="preserve"> - </w:t>
      </w:r>
      <w:r w:rsidRPr="00F25EBD">
        <w:rPr>
          <w:rFonts w:asciiTheme="majorHAnsi" w:hAnsiTheme="majorHAnsi" w:cstheme="majorHAnsi"/>
        </w:rPr>
        <w:t>Szczytno</w:t>
      </w:r>
      <w:r w:rsidR="00336D76" w:rsidRPr="00F25EBD">
        <w:rPr>
          <w:rFonts w:asciiTheme="majorHAnsi" w:hAnsiTheme="majorHAnsi" w:cstheme="majorHAnsi"/>
        </w:rPr>
        <w:t xml:space="preserve"> - </w:t>
      </w:r>
      <w:r w:rsidRPr="00F25EBD">
        <w:rPr>
          <w:rFonts w:asciiTheme="majorHAnsi" w:hAnsiTheme="majorHAnsi" w:cstheme="majorHAnsi"/>
        </w:rPr>
        <w:t>Rozogi</w:t>
      </w:r>
      <w:r w:rsidR="00336D76" w:rsidRPr="00F25EBD">
        <w:rPr>
          <w:rFonts w:asciiTheme="majorHAnsi" w:hAnsiTheme="majorHAnsi" w:cstheme="majorHAnsi"/>
        </w:rPr>
        <w:t xml:space="preserve"> - </w:t>
      </w:r>
      <w:r w:rsidRPr="00F25EBD">
        <w:rPr>
          <w:rFonts w:asciiTheme="majorHAnsi" w:hAnsiTheme="majorHAnsi" w:cstheme="majorHAnsi"/>
        </w:rPr>
        <w:t>Myszyniec</w:t>
      </w:r>
      <w:r w:rsidR="00336D76" w:rsidRPr="00F25EBD">
        <w:rPr>
          <w:rFonts w:asciiTheme="majorHAnsi" w:hAnsiTheme="majorHAnsi" w:cstheme="majorHAnsi"/>
        </w:rPr>
        <w:t xml:space="preserve"> - </w:t>
      </w:r>
      <w:r w:rsidRPr="00F25EBD">
        <w:rPr>
          <w:rFonts w:asciiTheme="majorHAnsi" w:hAnsiTheme="majorHAnsi" w:cstheme="majorHAnsi"/>
        </w:rPr>
        <w:t>Ostrołęka;</w:t>
      </w:r>
    </w:p>
    <w:p w14:paraId="1E297F0A" w14:textId="77777777" w:rsidR="00EA2B5F" w:rsidRPr="00F25EBD" w:rsidRDefault="00EA2B5F" w:rsidP="0054382A">
      <w:pPr>
        <w:pStyle w:val="Akapitzlist"/>
        <w:numPr>
          <w:ilvl w:val="0"/>
          <w:numId w:val="38"/>
        </w:numPr>
        <w:spacing w:after="0" w:line="276" w:lineRule="auto"/>
        <w:jc w:val="both"/>
        <w:rPr>
          <w:rFonts w:asciiTheme="majorHAnsi" w:hAnsiTheme="majorHAnsi" w:cstheme="majorHAnsi"/>
        </w:rPr>
      </w:pPr>
      <w:r w:rsidRPr="00F25EBD">
        <w:rPr>
          <w:rFonts w:asciiTheme="majorHAnsi" w:hAnsiTheme="majorHAnsi" w:cstheme="majorHAnsi"/>
        </w:rPr>
        <w:t>nr 57: Bartoszyce</w:t>
      </w:r>
      <w:r w:rsidR="00336D76" w:rsidRPr="00F25EBD">
        <w:rPr>
          <w:rFonts w:asciiTheme="majorHAnsi" w:hAnsiTheme="majorHAnsi" w:cstheme="majorHAnsi"/>
        </w:rPr>
        <w:t xml:space="preserve"> - </w:t>
      </w:r>
      <w:r w:rsidRPr="00F25EBD">
        <w:rPr>
          <w:rFonts w:asciiTheme="majorHAnsi" w:hAnsiTheme="majorHAnsi" w:cstheme="majorHAnsi"/>
        </w:rPr>
        <w:t>Biskupiec</w:t>
      </w:r>
      <w:r w:rsidR="00336D76" w:rsidRPr="00F25EBD">
        <w:rPr>
          <w:rFonts w:asciiTheme="majorHAnsi" w:hAnsiTheme="majorHAnsi" w:cstheme="majorHAnsi"/>
        </w:rPr>
        <w:t xml:space="preserve"> - </w:t>
      </w:r>
      <w:r w:rsidRPr="00F25EBD">
        <w:rPr>
          <w:rFonts w:asciiTheme="majorHAnsi" w:hAnsiTheme="majorHAnsi" w:cstheme="majorHAnsi"/>
        </w:rPr>
        <w:t>Szczytno</w:t>
      </w:r>
      <w:r w:rsidR="00336D76" w:rsidRPr="00F25EBD">
        <w:rPr>
          <w:rFonts w:asciiTheme="majorHAnsi" w:hAnsiTheme="majorHAnsi" w:cstheme="majorHAnsi"/>
        </w:rPr>
        <w:t xml:space="preserve"> - </w:t>
      </w:r>
      <w:r w:rsidRPr="00F25EBD">
        <w:rPr>
          <w:rFonts w:asciiTheme="majorHAnsi" w:hAnsiTheme="majorHAnsi" w:cstheme="majorHAnsi"/>
        </w:rPr>
        <w:t>Przasnysz</w:t>
      </w:r>
      <w:r w:rsidR="00336D76" w:rsidRPr="00F25EBD">
        <w:rPr>
          <w:rFonts w:asciiTheme="majorHAnsi" w:hAnsiTheme="majorHAnsi" w:cstheme="majorHAnsi"/>
        </w:rPr>
        <w:t xml:space="preserve"> - </w:t>
      </w:r>
      <w:r w:rsidRPr="00F25EBD">
        <w:rPr>
          <w:rFonts w:asciiTheme="majorHAnsi" w:hAnsiTheme="majorHAnsi" w:cstheme="majorHAnsi"/>
        </w:rPr>
        <w:t>Pułtusk;</w:t>
      </w:r>
    </w:p>
    <w:p w14:paraId="38FB6804" w14:textId="77777777" w:rsidR="00EA2B5F" w:rsidRPr="00F25EBD" w:rsidRDefault="00EA2B5F" w:rsidP="0054382A">
      <w:pPr>
        <w:pStyle w:val="Akapitzlist"/>
        <w:numPr>
          <w:ilvl w:val="0"/>
          <w:numId w:val="38"/>
        </w:numPr>
        <w:spacing w:after="0" w:line="276" w:lineRule="auto"/>
        <w:jc w:val="both"/>
        <w:rPr>
          <w:rFonts w:asciiTheme="majorHAnsi" w:hAnsiTheme="majorHAnsi" w:cstheme="majorHAnsi"/>
        </w:rPr>
      </w:pPr>
      <w:r w:rsidRPr="00F25EBD">
        <w:rPr>
          <w:rFonts w:asciiTheme="majorHAnsi" w:hAnsiTheme="majorHAnsi" w:cstheme="majorHAnsi"/>
        </w:rPr>
        <w:t>nr 58: Olsztynek</w:t>
      </w:r>
      <w:r w:rsidR="00336D76" w:rsidRPr="00F25EBD">
        <w:rPr>
          <w:rFonts w:asciiTheme="majorHAnsi" w:hAnsiTheme="majorHAnsi" w:cstheme="majorHAnsi"/>
        </w:rPr>
        <w:t xml:space="preserve"> - </w:t>
      </w:r>
      <w:r w:rsidRPr="00F25EBD">
        <w:rPr>
          <w:rFonts w:asciiTheme="majorHAnsi" w:hAnsiTheme="majorHAnsi" w:cstheme="majorHAnsi"/>
        </w:rPr>
        <w:t>Zgniłocha</w:t>
      </w:r>
      <w:r w:rsidR="00336D76" w:rsidRPr="00F25EBD">
        <w:rPr>
          <w:rFonts w:asciiTheme="majorHAnsi" w:hAnsiTheme="majorHAnsi" w:cstheme="majorHAnsi"/>
        </w:rPr>
        <w:t xml:space="preserve"> - </w:t>
      </w:r>
      <w:r w:rsidRPr="00F25EBD">
        <w:rPr>
          <w:rFonts w:asciiTheme="majorHAnsi" w:hAnsiTheme="majorHAnsi" w:cstheme="majorHAnsi"/>
        </w:rPr>
        <w:t>Jedwabno</w:t>
      </w:r>
      <w:r w:rsidR="00336D76" w:rsidRPr="00F25EBD">
        <w:rPr>
          <w:rFonts w:asciiTheme="majorHAnsi" w:hAnsiTheme="majorHAnsi" w:cstheme="majorHAnsi"/>
        </w:rPr>
        <w:t xml:space="preserve"> - </w:t>
      </w:r>
      <w:r w:rsidRPr="00F25EBD">
        <w:rPr>
          <w:rFonts w:asciiTheme="majorHAnsi" w:hAnsiTheme="majorHAnsi" w:cstheme="majorHAnsi"/>
        </w:rPr>
        <w:t>Szczytno</w:t>
      </w:r>
      <w:r w:rsidR="00336D76" w:rsidRPr="00F25EBD">
        <w:rPr>
          <w:rFonts w:asciiTheme="majorHAnsi" w:hAnsiTheme="majorHAnsi" w:cstheme="majorHAnsi"/>
        </w:rPr>
        <w:t xml:space="preserve"> - </w:t>
      </w:r>
      <w:r w:rsidRPr="00F25EBD">
        <w:rPr>
          <w:rFonts w:asciiTheme="majorHAnsi" w:hAnsiTheme="majorHAnsi" w:cstheme="majorHAnsi"/>
        </w:rPr>
        <w:t>Babięta</w:t>
      </w:r>
      <w:r w:rsidR="00336D76" w:rsidRPr="00F25EBD">
        <w:rPr>
          <w:rFonts w:asciiTheme="majorHAnsi" w:hAnsiTheme="majorHAnsi" w:cstheme="majorHAnsi"/>
        </w:rPr>
        <w:t xml:space="preserve"> - </w:t>
      </w:r>
      <w:proofErr w:type="spellStart"/>
      <w:r w:rsidRPr="00F25EBD">
        <w:rPr>
          <w:rFonts w:asciiTheme="majorHAnsi" w:hAnsiTheme="majorHAnsi" w:cstheme="majorHAnsi"/>
        </w:rPr>
        <w:t>Ruciane-Nida</w:t>
      </w:r>
      <w:proofErr w:type="spellEnd"/>
      <w:r w:rsidR="00336D76" w:rsidRPr="00F25EBD">
        <w:rPr>
          <w:rFonts w:asciiTheme="majorHAnsi" w:hAnsiTheme="majorHAnsi" w:cstheme="majorHAnsi"/>
        </w:rPr>
        <w:t xml:space="preserve"> - </w:t>
      </w:r>
      <w:r w:rsidRPr="00F25EBD">
        <w:rPr>
          <w:rFonts w:asciiTheme="majorHAnsi" w:hAnsiTheme="majorHAnsi" w:cstheme="majorHAnsi"/>
        </w:rPr>
        <w:t>Pisz</w:t>
      </w:r>
      <w:r w:rsidR="00336D76" w:rsidRPr="00F25EBD">
        <w:rPr>
          <w:rFonts w:asciiTheme="majorHAnsi" w:hAnsiTheme="majorHAnsi" w:cstheme="majorHAnsi"/>
        </w:rPr>
        <w:t xml:space="preserve"> - </w:t>
      </w:r>
      <w:r w:rsidRPr="00F25EBD">
        <w:rPr>
          <w:rFonts w:asciiTheme="majorHAnsi" w:hAnsiTheme="majorHAnsi" w:cstheme="majorHAnsi"/>
        </w:rPr>
        <w:t>Biała</w:t>
      </w:r>
      <w:r w:rsidR="00336D76" w:rsidRPr="00F25EBD">
        <w:rPr>
          <w:rFonts w:asciiTheme="majorHAnsi" w:hAnsiTheme="majorHAnsi" w:cstheme="majorHAnsi"/>
        </w:rPr>
        <w:t xml:space="preserve"> - </w:t>
      </w:r>
      <w:r w:rsidRPr="00F25EBD">
        <w:rPr>
          <w:rFonts w:asciiTheme="majorHAnsi" w:hAnsiTheme="majorHAnsi" w:cstheme="majorHAnsi"/>
        </w:rPr>
        <w:t>Piska</w:t>
      </w:r>
      <w:r w:rsidR="00336D76" w:rsidRPr="00F25EBD">
        <w:rPr>
          <w:rFonts w:asciiTheme="majorHAnsi" w:hAnsiTheme="majorHAnsi" w:cstheme="majorHAnsi"/>
        </w:rPr>
        <w:t xml:space="preserve"> - </w:t>
      </w:r>
      <w:r w:rsidRPr="00F25EBD">
        <w:rPr>
          <w:rFonts w:asciiTheme="majorHAnsi" w:hAnsiTheme="majorHAnsi" w:cstheme="majorHAnsi"/>
        </w:rPr>
        <w:t>Szczuczyn;</w:t>
      </w:r>
    </w:p>
    <w:p w14:paraId="1FD242F0" w14:textId="77777777" w:rsidR="00EA2B5F" w:rsidRPr="00F25EBD" w:rsidRDefault="00EA2B5F" w:rsidP="0054382A">
      <w:pPr>
        <w:pStyle w:val="Akapitzlist"/>
        <w:numPr>
          <w:ilvl w:val="0"/>
          <w:numId w:val="38"/>
        </w:numPr>
        <w:spacing w:after="0" w:line="276" w:lineRule="auto"/>
        <w:jc w:val="both"/>
        <w:rPr>
          <w:rFonts w:asciiTheme="majorHAnsi" w:hAnsiTheme="majorHAnsi" w:cstheme="majorHAnsi"/>
        </w:rPr>
      </w:pPr>
      <w:r w:rsidRPr="00F25EBD">
        <w:rPr>
          <w:rFonts w:asciiTheme="majorHAnsi" w:hAnsiTheme="majorHAnsi" w:cstheme="majorHAnsi"/>
        </w:rPr>
        <w:t>nr 59: Giżycko</w:t>
      </w:r>
      <w:r w:rsidR="00336D76" w:rsidRPr="00F25EBD">
        <w:rPr>
          <w:rFonts w:asciiTheme="majorHAnsi" w:hAnsiTheme="majorHAnsi" w:cstheme="majorHAnsi"/>
        </w:rPr>
        <w:t xml:space="preserve"> - </w:t>
      </w:r>
      <w:r w:rsidRPr="00F25EBD">
        <w:rPr>
          <w:rFonts w:asciiTheme="majorHAnsi" w:hAnsiTheme="majorHAnsi" w:cstheme="majorHAnsi"/>
        </w:rPr>
        <w:t>Ryn</w:t>
      </w:r>
      <w:r w:rsidR="00336D76" w:rsidRPr="00F25EBD">
        <w:rPr>
          <w:rFonts w:asciiTheme="majorHAnsi" w:hAnsiTheme="majorHAnsi" w:cstheme="majorHAnsi"/>
        </w:rPr>
        <w:t xml:space="preserve"> - </w:t>
      </w:r>
      <w:r w:rsidRPr="00F25EBD">
        <w:rPr>
          <w:rFonts w:asciiTheme="majorHAnsi" w:hAnsiTheme="majorHAnsi" w:cstheme="majorHAnsi"/>
        </w:rPr>
        <w:t>Mrągowo</w:t>
      </w:r>
      <w:r w:rsidR="00336D76" w:rsidRPr="00F25EBD">
        <w:rPr>
          <w:rFonts w:asciiTheme="majorHAnsi" w:hAnsiTheme="majorHAnsi" w:cstheme="majorHAnsi"/>
        </w:rPr>
        <w:t xml:space="preserve"> - </w:t>
      </w:r>
      <w:r w:rsidRPr="00F25EBD">
        <w:rPr>
          <w:rFonts w:asciiTheme="majorHAnsi" w:hAnsiTheme="majorHAnsi" w:cstheme="majorHAnsi"/>
        </w:rPr>
        <w:t>Nawiady</w:t>
      </w:r>
      <w:r w:rsidR="00336D76" w:rsidRPr="00F25EBD">
        <w:rPr>
          <w:rFonts w:asciiTheme="majorHAnsi" w:hAnsiTheme="majorHAnsi" w:cstheme="majorHAnsi"/>
        </w:rPr>
        <w:t xml:space="preserve"> - </w:t>
      </w:r>
      <w:r w:rsidRPr="00F25EBD">
        <w:rPr>
          <w:rFonts w:asciiTheme="majorHAnsi" w:hAnsiTheme="majorHAnsi" w:cstheme="majorHAnsi"/>
        </w:rPr>
        <w:t>Rozogi;</w:t>
      </w:r>
    </w:p>
    <w:p w14:paraId="605EB0BA" w14:textId="77777777" w:rsidR="00EA2B5F" w:rsidRPr="00F25EBD" w:rsidRDefault="00EA2B5F" w:rsidP="0054382A">
      <w:pPr>
        <w:pStyle w:val="Akapitzlist"/>
        <w:numPr>
          <w:ilvl w:val="0"/>
          <w:numId w:val="38"/>
        </w:numPr>
        <w:spacing w:after="0" w:line="276" w:lineRule="auto"/>
        <w:jc w:val="both"/>
        <w:rPr>
          <w:rFonts w:asciiTheme="majorHAnsi" w:hAnsiTheme="majorHAnsi" w:cstheme="majorHAnsi"/>
        </w:rPr>
      </w:pPr>
      <w:r w:rsidRPr="00F25EBD">
        <w:rPr>
          <w:rFonts w:asciiTheme="majorHAnsi" w:hAnsiTheme="majorHAnsi" w:cstheme="majorHAnsi"/>
        </w:rPr>
        <w:t>nr 63: granica państwa</w:t>
      </w:r>
      <w:r w:rsidR="00336D76" w:rsidRPr="00F25EBD">
        <w:rPr>
          <w:rFonts w:asciiTheme="majorHAnsi" w:hAnsiTheme="majorHAnsi" w:cstheme="majorHAnsi"/>
        </w:rPr>
        <w:t xml:space="preserve"> - </w:t>
      </w:r>
      <w:r w:rsidRPr="00F25EBD">
        <w:rPr>
          <w:rFonts w:asciiTheme="majorHAnsi" w:hAnsiTheme="majorHAnsi" w:cstheme="majorHAnsi"/>
        </w:rPr>
        <w:t>Węgorzewo</w:t>
      </w:r>
      <w:r w:rsidR="00336D76" w:rsidRPr="00F25EBD">
        <w:rPr>
          <w:rFonts w:asciiTheme="majorHAnsi" w:hAnsiTheme="majorHAnsi" w:cstheme="majorHAnsi"/>
        </w:rPr>
        <w:t xml:space="preserve"> - </w:t>
      </w:r>
      <w:r w:rsidRPr="00F25EBD">
        <w:rPr>
          <w:rFonts w:asciiTheme="majorHAnsi" w:hAnsiTheme="majorHAnsi" w:cstheme="majorHAnsi"/>
        </w:rPr>
        <w:t>Giżycko</w:t>
      </w:r>
      <w:r w:rsidR="00336D76" w:rsidRPr="00F25EBD">
        <w:rPr>
          <w:rFonts w:asciiTheme="majorHAnsi" w:hAnsiTheme="majorHAnsi" w:cstheme="majorHAnsi"/>
        </w:rPr>
        <w:t xml:space="preserve"> - </w:t>
      </w:r>
      <w:r w:rsidRPr="00F25EBD">
        <w:rPr>
          <w:rFonts w:asciiTheme="majorHAnsi" w:hAnsiTheme="majorHAnsi" w:cstheme="majorHAnsi"/>
        </w:rPr>
        <w:t>Pisz</w:t>
      </w:r>
      <w:r w:rsidR="00336D76" w:rsidRPr="00F25EBD">
        <w:rPr>
          <w:rFonts w:asciiTheme="majorHAnsi" w:hAnsiTheme="majorHAnsi" w:cstheme="majorHAnsi"/>
        </w:rPr>
        <w:t xml:space="preserve"> - </w:t>
      </w:r>
      <w:r w:rsidRPr="00F25EBD">
        <w:rPr>
          <w:rFonts w:asciiTheme="majorHAnsi" w:hAnsiTheme="majorHAnsi" w:cstheme="majorHAnsi"/>
        </w:rPr>
        <w:t>Kisielnica</w:t>
      </w:r>
      <w:r w:rsidR="00336D76" w:rsidRPr="00F25EBD">
        <w:rPr>
          <w:rFonts w:asciiTheme="majorHAnsi" w:hAnsiTheme="majorHAnsi" w:cstheme="majorHAnsi"/>
        </w:rPr>
        <w:t xml:space="preserve"> - </w:t>
      </w:r>
      <w:r w:rsidRPr="00F25EBD">
        <w:rPr>
          <w:rFonts w:asciiTheme="majorHAnsi" w:hAnsiTheme="majorHAnsi" w:cstheme="majorHAnsi"/>
        </w:rPr>
        <w:t>Łomża</w:t>
      </w:r>
      <w:r w:rsidR="00336D76" w:rsidRPr="00F25EBD">
        <w:rPr>
          <w:rFonts w:asciiTheme="majorHAnsi" w:hAnsiTheme="majorHAnsi" w:cstheme="majorHAnsi"/>
        </w:rPr>
        <w:t xml:space="preserve"> - </w:t>
      </w:r>
      <w:r w:rsidRPr="00F25EBD">
        <w:rPr>
          <w:rFonts w:asciiTheme="majorHAnsi" w:hAnsiTheme="majorHAnsi" w:cstheme="majorHAnsi"/>
        </w:rPr>
        <w:t>Zambrów</w:t>
      </w:r>
      <w:r w:rsidR="00336D76" w:rsidRPr="00F25EBD">
        <w:rPr>
          <w:rFonts w:asciiTheme="majorHAnsi" w:hAnsiTheme="majorHAnsi" w:cstheme="majorHAnsi"/>
        </w:rPr>
        <w:t xml:space="preserve"> - </w:t>
      </w:r>
      <w:r w:rsidRPr="00F25EBD">
        <w:rPr>
          <w:rFonts w:asciiTheme="majorHAnsi" w:hAnsiTheme="majorHAnsi" w:cstheme="majorHAnsi"/>
        </w:rPr>
        <w:t>Ceranów</w:t>
      </w:r>
      <w:r w:rsidR="00336D76" w:rsidRPr="00F25EBD">
        <w:rPr>
          <w:rFonts w:asciiTheme="majorHAnsi" w:hAnsiTheme="majorHAnsi" w:cstheme="majorHAnsi"/>
        </w:rPr>
        <w:t xml:space="preserve"> - </w:t>
      </w:r>
      <w:r w:rsidRPr="00F25EBD">
        <w:rPr>
          <w:rFonts w:asciiTheme="majorHAnsi" w:hAnsiTheme="majorHAnsi" w:cstheme="majorHAnsi"/>
        </w:rPr>
        <w:t>Sokołów Podlaski</w:t>
      </w:r>
      <w:r w:rsidR="00336D76" w:rsidRPr="00F25EBD">
        <w:rPr>
          <w:rFonts w:asciiTheme="majorHAnsi" w:hAnsiTheme="majorHAnsi" w:cstheme="majorHAnsi"/>
        </w:rPr>
        <w:t xml:space="preserve"> - </w:t>
      </w:r>
      <w:r w:rsidRPr="00F25EBD">
        <w:rPr>
          <w:rFonts w:asciiTheme="majorHAnsi" w:hAnsiTheme="majorHAnsi" w:cstheme="majorHAnsi"/>
        </w:rPr>
        <w:t>Siedlce</w:t>
      </w:r>
      <w:r w:rsidR="00336D76" w:rsidRPr="00F25EBD">
        <w:rPr>
          <w:rFonts w:asciiTheme="majorHAnsi" w:hAnsiTheme="majorHAnsi" w:cstheme="majorHAnsi"/>
        </w:rPr>
        <w:t xml:space="preserve"> - </w:t>
      </w:r>
      <w:r w:rsidRPr="00F25EBD">
        <w:rPr>
          <w:rFonts w:asciiTheme="majorHAnsi" w:hAnsiTheme="majorHAnsi" w:cstheme="majorHAnsi"/>
        </w:rPr>
        <w:t>Łuków</w:t>
      </w:r>
      <w:r w:rsidR="00336D76" w:rsidRPr="00F25EBD">
        <w:rPr>
          <w:rFonts w:asciiTheme="majorHAnsi" w:hAnsiTheme="majorHAnsi" w:cstheme="majorHAnsi"/>
        </w:rPr>
        <w:t xml:space="preserve"> - </w:t>
      </w:r>
      <w:r w:rsidRPr="00F25EBD">
        <w:rPr>
          <w:rFonts w:asciiTheme="majorHAnsi" w:hAnsiTheme="majorHAnsi" w:cstheme="majorHAnsi"/>
        </w:rPr>
        <w:t>Radzyń Podlaski</w:t>
      </w:r>
      <w:r w:rsidR="00336D76" w:rsidRPr="00F25EBD">
        <w:rPr>
          <w:rFonts w:asciiTheme="majorHAnsi" w:hAnsiTheme="majorHAnsi" w:cstheme="majorHAnsi"/>
        </w:rPr>
        <w:t xml:space="preserve"> - </w:t>
      </w:r>
      <w:r w:rsidRPr="00F25EBD">
        <w:rPr>
          <w:rFonts w:asciiTheme="majorHAnsi" w:hAnsiTheme="majorHAnsi" w:cstheme="majorHAnsi"/>
        </w:rPr>
        <w:t>Wisznice</w:t>
      </w:r>
      <w:r w:rsidR="00336D76" w:rsidRPr="00F25EBD">
        <w:rPr>
          <w:rFonts w:asciiTheme="majorHAnsi" w:hAnsiTheme="majorHAnsi" w:cstheme="majorHAnsi"/>
        </w:rPr>
        <w:t xml:space="preserve"> - </w:t>
      </w:r>
      <w:r w:rsidRPr="00F25EBD">
        <w:rPr>
          <w:rFonts w:asciiTheme="majorHAnsi" w:hAnsiTheme="majorHAnsi" w:cstheme="majorHAnsi"/>
        </w:rPr>
        <w:t>Sławatycze</w:t>
      </w:r>
      <w:r w:rsidR="00336D76" w:rsidRPr="00F25EBD">
        <w:rPr>
          <w:rFonts w:asciiTheme="majorHAnsi" w:hAnsiTheme="majorHAnsi" w:cstheme="majorHAnsi"/>
        </w:rPr>
        <w:t xml:space="preserve"> - </w:t>
      </w:r>
      <w:r w:rsidRPr="00F25EBD">
        <w:rPr>
          <w:rFonts w:asciiTheme="majorHAnsi" w:hAnsiTheme="majorHAnsi" w:cstheme="majorHAnsi"/>
        </w:rPr>
        <w:t>granica państwa.</w:t>
      </w:r>
    </w:p>
    <w:p w14:paraId="2BAEAA9C" w14:textId="77777777" w:rsidR="00EA2B5F" w:rsidRPr="00F25EBD" w:rsidRDefault="00EA2B5F" w:rsidP="00FC7062">
      <w:pPr>
        <w:spacing w:after="0" w:line="276" w:lineRule="auto"/>
        <w:jc w:val="both"/>
        <w:rPr>
          <w:rFonts w:asciiTheme="majorHAnsi" w:hAnsiTheme="majorHAnsi" w:cstheme="majorHAnsi"/>
        </w:rPr>
      </w:pPr>
    </w:p>
    <w:p w14:paraId="66D3F0BF" w14:textId="3564AA98" w:rsidR="00EA2B5F" w:rsidRPr="00F25EBD" w:rsidRDefault="00EA2B5F" w:rsidP="00FC7062">
      <w:pPr>
        <w:spacing w:after="0" w:line="276" w:lineRule="auto"/>
        <w:jc w:val="both"/>
        <w:rPr>
          <w:rFonts w:asciiTheme="majorHAnsi" w:hAnsiTheme="majorHAnsi" w:cstheme="majorHAnsi"/>
        </w:rPr>
      </w:pPr>
      <w:r w:rsidRPr="00F25EBD">
        <w:rPr>
          <w:rFonts w:asciiTheme="majorHAnsi" w:hAnsiTheme="majorHAnsi" w:cstheme="majorHAnsi"/>
        </w:rPr>
        <w:t>Uzupełnienie głównego układu komunikacyjnego Południowych Mazur stanowią drogi wojewódzkie, a</w:t>
      </w:r>
      <w:r w:rsidR="007B7167">
        <w:rPr>
          <w:rFonts w:asciiTheme="majorHAnsi" w:hAnsiTheme="majorHAnsi" w:cstheme="majorHAnsi"/>
        </w:rPr>
        <w:t> </w:t>
      </w:r>
      <w:r w:rsidR="001676E7">
        <w:rPr>
          <w:rFonts w:asciiTheme="majorHAnsi" w:hAnsiTheme="majorHAnsi" w:cstheme="majorHAnsi"/>
        </w:rPr>
        <w:t>w </w:t>
      </w:r>
      <w:r w:rsidRPr="00F25EBD">
        <w:rPr>
          <w:rFonts w:asciiTheme="majorHAnsi" w:hAnsiTheme="majorHAnsi" w:cstheme="majorHAnsi"/>
        </w:rPr>
        <w:t>tym:</w:t>
      </w:r>
    </w:p>
    <w:p w14:paraId="6BC7B390" w14:textId="77777777" w:rsidR="00EA2B5F" w:rsidRPr="00F25EBD" w:rsidRDefault="00EA2B5F" w:rsidP="0054382A">
      <w:pPr>
        <w:pStyle w:val="Akapitzlist"/>
        <w:numPr>
          <w:ilvl w:val="0"/>
          <w:numId w:val="37"/>
        </w:numPr>
        <w:spacing w:after="0" w:line="276" w:lineRule="auto"/>
        <w:jc w:val="both"/>
        <w:rPr>
          <w:rFonts w:asciiTheme="majorHAnsi" w:hAnsiTheme="majorHAnsi" w:cstheme="majorHAnsi"/>
        </w:rPr>
      </w:pPr>
      <w:r w:rsidRPr="00F25EBD">
        <w:rPr>
          <w:rFonts w:asciiTheme="majorHAnsi" w:hAnsiTheme="majorHAnsi" w:cstheme="majorHAnsi"/>
        </w:rPr>
        <w:t>nr 508: Jedwabno</w:t>
      </w:r>
      <w:r w:rsidR="00336D76" w:rsidRPr="00F25EBD">
        <w:rPr>
          <w:rFonts w:asciiTheme="majorHAnsi" w:hAnsiTheme="majorHAnsi" w:cstheme="majorHAnsi"/>
        </w:rPr>
        <w:t xml:space="preserve"> - </w:t>
      </w:r>
      <w:r w:rsidRPr="00F25EBD">
        <w:rPr>
          <w:rFonts w:asciiTheme="majorHAnsi" w:hAnsiTheme="majorHAnsi" w:cstheme="majorHAnsi"/>
        </w:rPr>
        <w:t>Wielbark;</w:t>
      </w:r>
    </w:p>
    <w:p w14:paraId="674095E5" w14:textId="77777777" w:rsidR="00EA2B5F" w:rsidRPr="00F25EBD" w:rsidRDefault="00EA2B5F" w:rsidP="0054382A">
      <w:pPr>
        <w:pStyle w:val="Akapitzlist"/>
        <w:numPr>
          <w:ilvl w:val="0"/>
          <w:numId w:val="37"/>
        </w:numPr>
        <w:spacing w:after="0" w:line="276" w:lineRule="auto"/>
        <w:jc w:val="both"/>
        <w:rPr>
          <w:rFonts w:asciiTheme="majorHAnsi" w:hAnsiTheme="majorHAnsi" w:cstheme="majorHAnsi"/>
        </w:rPr>
      </w:pPr>
      <w:r w:rsidRPr="00F25EBD">
        <w:rPr>
          <w:rFonts w:asciiTheme="majorHAnsi" w:hAnsiTheme="majorHAnsi" w:cstheme="majorHAnsi"/>
        </w:rPr>
        <w:t>538: Radzyń Chełmiński</w:t>
      </w:r>
      <w:r w:rsidR="00336D76" w:rsidRPr="00F25EBD">
        <w:rPr>
          <w:rFonts w:asciiTheme="majorHAnsi" w:hAnsiTheme="majorHAnsi" w:cstheme="majorHAnsi"/>
        </w:rPr>
        <w:t xml:space="preserve"> - </w:t>
      </w:r>
      <w:r w:rsidRPr="00F25EBD">
        <w:rPr>
          <w:rFonts w:asciiTheme="majorHAnsi" w:hAnsiTheme="majorHAnsi" w:cstheme="majorHAnsi"/>
        </w:rPr>
        <w:t>Łasin</w:t>
      </w:r>
      <w:r w:rsidR="00336D76" w:rsidRPr="00F25EBD">
        <w:rPr>
          <w:rFonts w:asciiTheme="majorHAnsi" w:hAnsiTheme="majorHAnsi" w:cstheme="majorHAnsi"/>
        </w:rPr>
        <w:t xml:space="preserve"> - </w:t>
      </w:r>
      <w:r w:rsidRPr="00F25EBD">
        <w:rPr>
          <w:rFonts w:asciiTheme="majorHAnsi" w:hAnsiTheme="majorHAnsi" w:cstheme="majorHAnsi"/>
        </w:rPr>
        <w:t>Nowe Miasto Lubawskie</w:t>
      </w:r>
      <w:r w:rsidR="00336D76" w:rsidRPr="00F25EBD">
        <w:rPr>
          <w:rFonts w:asciiTheme="majorHAnsi" w:hAnsiTheme="majorHAnsi" w:cstheme="majorHAnsi"/>
        </w:rPr>
        <w:t xml:space="preserve"> - </w:t>
      </w:r>
      <w:r w:rsidRPr="00F25EBD">
        <w:rPr>
          <w:rFonts w:asciiTheme="majorHAnsi" w:hAnsiTheme="majorHAnsi" w:cstheme="majorHAnsi"/>
        </w:rPr>
        <w:t>Uzdowo</w:t>
      </w:r>
      <w:r w:rsidR="00336D76" w:rsidRPr="00F25EBD">
        <w:rPr>
          <w:rFonts w:asciiTheme="majorHAnsi" w:hAnsiTheme="majorHAnsi" w:cstheme="majorHAnsi"/>
        </w:rPr>
        <w:t xml:space="preserve"> - </w:t>
      </w:r>
      <w:r w:rsidRPr="00F25EBD">
        <w:rPr>
          <w:rFonts w:asciiTheme="majorHAnsi" w:hAnsiTheme="majorHAnsi" w:cstheme="majorHAnsi"/>
        </w:rPr>
        <w:t>Rozdroże;</w:t>
      </w:r>
    </w:p>
    <w:p w14:paraId="33C35253" w14:textId="77777777" w:rsidR="00EA2B5F" w:rsidRPr="00F25EBD" w:rsidRDefault="00EA2B5F" w:rsidP="0054382A">
      <w:pPr>
        <w:pStyle w:val="Akapitzlist"/>
        <w:numPr>
          <w:ilvl w:val="0"/>
          <w:numId w:val="37"/>
        </w:numPr>
        <w:spacing w:after="0" w:line="276" w:lineRule="auto"/>
        <w:jc w:val="both"/>
        <w:rPr>
          <w:rFonts w:asciiTheme="majorHAnsi" w:hAnsiTheme="majorHAnsi" w:cstheme="majorHAnsi"/>
        </w:rPr>
      </w:pPr>
      <w:r w:rsidRPr="00F25EBD">
        <w:rPr>
          <w:rFonts w:asciiTheme="majorHAnsi" w:hAnsiTheme="majorHAnsi" w:cstheme="majorHAnsi"/>
        </w:rPr>
        <w:t>541: Lubawa</w:t>
      </w:r>
      <w:r w:rsidR="00336D76" w:rsidRPr="00F25EBD">
        <w:rPr>
          <w:rFonts w:asciiTheme="majorHAnsi" w:hAnsiTheme="majorHAnsi" w:cstheme="majorHAnsi"/>
        </w:rPr>
        <w:t xml:space="preserve"> - </w:t>
      </w:r>
      <w:r w:rsidRPr="00F25EBD">
        <w:rPr>
          <w:rFonts w:asciiTheme="majorHAnsi" w:hAnsiTheme="majorHAnsi" w:cstheme="majorHAnsi"/>
        </w:rPr>
        <w:t>Lidzbark</w:t>
      </w:r>
      <w:r w:rsidR="00336D76" w:rsidRPr="00F25EBD">
        <w:rPr>
          <w:rFonts w:asciiTheme="majorHAnsi" w:hAnsiTheme="majorHAnsi" w:cstheme="majorHAnsi"/>
        </w:rPr>
        <w:t xml:space="preserve"> - </w:t>
      </w:r>
      <w:r w:rsidRPr="00F25EBD">
        <w:rPr>
          <w:rFonts w:asciiTheme="majorHAnsi" w:hAnsiTheme="majorHAnsi" w:cstheme="majorHAnsi"/>
        </w:rPr>
        <w:t>Żuromin</w:t>
      </w:r>
      <w:r w:rsidR="00336D76" w:rsidRPr="00F25EBD">
        <w:rPr>
          <w:rFonts w:asciiTheme="majorHAnsi" w:hAnsiTheme="majorHAnsi" w:cstheme="majorHAnsi"/>
        </w:rPr>
        <w:t xml:space="preserve"> - </w:t>
      </w:r>
      <w:r w:rsidRPr="00F25EBD">
        <w:rPr>
          <w:rFonts w:asciiTheme="majorHAnsi" w:hAnsiTheme="majorHAnsi" w:cstheme="majorHAnsi"/>
        </w:rPr>
        <w:t>Bieżuń</w:t>
      </w:r>
      <w:r w:rsidR="00336D76" w:rsidRPr="00F25EBD">
        <w:rPr>
          <w:rFonts w:asciiTheme="majorHAnsi" w:hAnsiTheme="majorHAnsi" w:cstheme="majorHAnsi"/>
        </w:rPr>
        <w:t xml:space="preserve"> - </w:t>
      </w:r>
      <w:r w:rsidRPr="00F25EBD">
        <w:rPr>
          <w:rFonts w:asciiTheme="majorHAnsi" w:hAnsiTheme="majorHAnsi" w:cstheme="majorHAnsi"/>
        </w:rPr>
        <w:t>Sierpc</w:t>
      </w:r>
      <w:r w:rsidR="00336D76" w:rsidRPr="00F25EBD">
        <w:rPr>
          <w:rFonts w:asciiTheme="majorHAnsi" w:hAnsiTheme="majorHAnsi" w:cstheme="majorHAnsi"/>
        </w:rPr>
        <w:t xml:space="preserve"> - </w:t>
      </w:r>
      <w:r w:rsidRPr="00F25EBD">
        <w:rPr>
          <w:rFonts w:asciiTheme="majorHAnsi" w:hAnsiTheme="majorHAnsi" w:cstheme="majorHAnsi"/>
        </w:rPr>
        <w:t>Tłuchowo</w:t>
      </w:r>
      <w:r w:rsidR="00336D76" w:rsidRPr="00F25EBD">
        <w:rPr>
          <w:rFonts w:asciiTheme="majorHAnsi" w:hAnsiTheme="majorHAnsi" w:cstheme="majorHAnsi"/>
        </w:rPr>
        <w:t xml:space="preserve"> - </w:t>
      </w:r>
      <w:r w:rsidRPr="00F25EBD">
        <w:rPr>
          <w:rFonts w:asciiTheme="majorHAnsi" w:hAnsiTheme="majorHAnsi" w:cstheme="majorHAnsi"/>
        </w:rPr>
        <w:t>Dobrzyń nad Wisłą;</w:t>
      </w:r>
    </w:p>
    <w:p w14:paraId="673A15B6" w14:textId="77777777" w:rsidR="00EA2B5F" w:rsidRPr="00F25EBD" w:rsidRDefault="00EA2B5F" w:rsidP="0054382A">
      <w:pPr>
        <w:pStyle w:val="Akapitzlist"/>
        <w:numPr>
          <w:ilvl w:val="0"/>
          <w:numId w:val="37"/>
        </w:numPr>
        <w:spacing w:after="0" w:line="276" w:lineRule="auto"/>
        <w:jc w:val="both"/>
        <w:rPr>
          <w:rFonts w:asciiTheme="majorHAnsi" w:hAnsiTheme="majorHAnsi" w:cstheme="majorHAnsi"/>
        </w:rPr>
      </w:pPr>
      <w:r w:rsidRPr="00F25EBD">
        <w:rPr>
          <w:rFonts w:asciiTheme="majorHAnsi" w:hAnsiTheme="majorHAnsi" w:cstheme="majorHAnsi"/>
        </w:rPr>
        <w:t>542: Rychnowo</w:t>
      </w:r>
      <w:r w:rsidR="00336D76" w:rsidRPr="00F25EBD">
        <w:rPr>
          <w:rFonts w:asciiTheme="majorHAnsi" w:hAnsiTheme="majorHAnsi" w:cstheme="majorHAnsi"/>
        </w:rPr>
        <w:t xml:space="preserve"> - </w:t>
      </w:r>
      <w:r w:rsidRPr="00F25EBD">
        <w:rPr>
          <w:rFonts w:asciiTheme="majorHAnsi" w:hAnsiTheme="majorHAnsi" w:cstheme="majorHAnsi"/>
        </w:rPr>
        <w:t>Działdowo;</w:t>
      </w:r>
    </w:p>
    <w:p w14:paraId="3A5FE5F9" w14:textId="77777777" w:rsidR="00EA2B5F" w:rsidRPr="00F25EBD" w:rsidRDefault="00EA2B5F" w:rsidP="0054382A">
      <w:pPr>
        <w:pStyle w:val="Akapitzlist"/>
        <w:numPr>
          <w:ilvl w:val="0"/>
          <w:numId w:val="37"/>
        </w:numPr>
        <w:spacing w:after="0" w:line="276" w:lineRule="auto"/>
        <w:jc w:val="both"/>
        <w:rPr>
          <w:rFonts w:asciiTheme="majorHAnsi" w:hAnsiTheme="majorHAnsi" w:cstheme="majorHAnsi"/>
        </w:rPr>
      </w:pPr>
      <w:r w:rsidRPr="00F25EBD">
        <w:rPr>
          <w:rFonts w:asciiTheme="majorHAnsi" w:hAnsiTheme="majorHAnsi" w:cstheme="majorHAnsi"/>
        </w:rPr>
        <w:t>544: Brodnica</w:t>
      </w:r>
      <w:r w:rsidR="00336D76" w:rsidRPr="00F25EBD">
        <w:rPr>
          <w:rFonts w:asciiTheme="majorHAnsi" w:hAnsiTheme="majorHAnsi" w:cstheme="majorHAnsi"/>
        </w:rPr>
        <w:t xml:space="preserve"> - </w:t>
      </w:r>
      <w:r w:rsidRPr="00F25EBD">
        <w:rPr>
          <w:rFonts w:asciiTheme="majorHAnsi" w:hAnsiTheme="majorHAnsi" w:cstheme="majorHAnsi"/>
        </w:rPr>
        <w:t>Lidzbark</w:t>
      </w:r>
      <w:r w:rsidR="00336D76" w:rsidRPr="00F25EBD">
        <w:rPr>
          <w:rFonts w:asciiTheme="majorHAnsi" w:hAnsiTheme="majorHAnsi" w:cstheme="majorHAnsi"/>
        </w:rPr>
        <w:t xml:space="preserve"> - </w:t>
      </w:r>
      <w:r w:rsidRPr="00F25EBD">
        <w:rPr>
          <w:rFonts w:asciiTheme="majorHAnsi" w:hAnsiTheme="majorHAnsi" w:cstheme="majorHAnsi"/>
        </w:rPr>
        <w:t>Działdowo</w:t>
      </w:r>
      <w:r w:rsidR="00336D76" w:rsidRPr="00F25EBD">
        <w:rPr>
          <w:rFonts w:asciiTheme="majorHAnsi" w:hAnsiTheme="majorHAnsi" w:cstheme="majorHAnsi"/>
        </w:rPr>
        <w:t xml:space="preserve"> - </w:t>
      </w:r>
      <w:r w:rsidRPr="00F25EBD">
        <w:rPr>
          <w:rFonts w:asciiTheme="majorHAnsi" w:hAnsiTheme="majorHAnsi" w:cstheme="majorHAnsi"/>
        </w:rPr>
        <w:t>Mława</w:t>
      </w:r>
      <w:r w:rsidR="00336D76" w:rsidRPr="00F25EBD">
        <w:rPr>
          <w:rFonts w:asciiTheme="majorHAnsi" w:hAnsiTheme="majorHAnsi" w:cstheme="majorHAnsi"/>
        </w:rPr>
        <w:t xml:space="preserve"> - </w:t>
      </w:r>
      <w:r w:rsidRPr="00F25EBD">
        <w:rPr>
          <w:rFonts w:asciiTheme="majorHAnsi" w:hAnsiTheme="majorHAnsi" w:cstheme="majorHAnsi"/>
        </w:rPr>
        <w:t>Przasnysz</w:t>
      </w:r>
      <w:r w:rsidR="00336D76" w:rsidRPr="00F25EBD">
        <w:rPr>
          <w:rFonts w:asciiTheme="majorHAnsi" w:hAnsiTheme="majorHAnsi" w:cstheme="majorHAnsi"/>
        </w:rPr>
        <w:t xml:space="preserve"> - </w:t>
      </w:r>
      <w:r w:rsidRPr="00F25EBD">
        <w:rPr>
          <w:rFonts w:asciiTheme="majorHAnsi" w:hAnsiTheme="majorHAnsi" w:cstheme="majorHAnsi"/>
        </w:rPr>
        <w:t>Krasnosielc</w:t>
      </w:r>
      <w:r w:rsidR="00336D76" w:rsidRPr="00F25EBD">
        <w:rPr>
          <w:rFonts w:asciiTheme="majorHAnsi" w:hAnsiTheme="majorHAnsi" w:cstheme="majorHAnsi"/>
        </w:rPr>
        <w:t xml:space="preserve"> - </w:t>
      </w:r>
      <w:r w:rsidRPr="00F25EBD">
        <w:rPr>
          <w:rFonts w:asciiTheme="majorHAnsi" w:hAnsiTheme="majorHAnsi" w:cstheme="majorHAnsi"/>
        </w:rPr>
        <w:t>Ostrołęka;</w:t>
      </w:r>
    </w:p>
    <w:p w14:paraId="0C0648CB" w14:textId="77777777" w:rsidR="00EA2B5F" w:rsidRPr="00F25EBD" w:rsidRDefault="00EA2B5F" w:rsidP="0054382A">
      <w:pPr>
        <w:pStyle w:val="Akapitzlist"/>
        <w:numPr>
          <w:ilvl w:val="0"/>
          <w:numId w:val="37"/>
        </w:numPr>
        <w:spacing w:after="0" w:line="276" w:lineRule="auto"/>
        <w:jc w:val="both"/>
        <w:rPr>
          <w:rFonts w:asciiTheme="majorHAnsi" w:hAnsiTheme="majorHAnsi" w:cstheme="majorHAnsi"/>
        </w:rPr>
      </w:pPr>
      <w:r w:rsidRPr="00F25EBD">
        <w:rPr>
          <w:rFonts w:asciiTheme="majorHAnsi" w:hAnsiTheme="majorHAnsi" w:cstheme="majorHAnsi"/>
        </w:rPr>
        <w:t>545: Działdowo</w:t>
      </w:r>
      <w:r w:rsidR="00336D76" w:rsidRPr="00F25EBD">
        <w:rPr>
          <w:rFonts w:asciiTheme="majorHAnsi" w:hAnsiTheme="majorHAnsi" w:cstheme="majorHAnsi"/>
        </w:rPr>
        <w:t xml:space="preserve"> - </w:t>
      </w:r>
      <w:r w:rsidRPr="00F25EBD">
        <w:rPr>
          <w:rFonts w:asciiTheme="majorHAnsi" w:hAnsiTheme="majorHAnsi" w:cstheme="majorHAnsi"/>
        </w:rPr>
        <w:t>Nidzica</w:t>
      </w:r>
      <w:r w:rsidR="00336D76" w:rsidRPr="00F25EBD">
        <w:rPr>
          <w:rFonts w:asciiTheme="majorHAnsi" w:hAnsiTheme="majorHAnsi" w:cstheme="majorHAnsi"/>
        </w:rPr>
        <w:t xml:space="preserve"> - </w:t>
      </w:r>
      <w:r w:rsidRPr="00F25EBD">
        <w:rPr>
          <w:rFonts w:asciiTheme="majorHAnsi" w:hAnsiTheme="majorHAnsi" w:cstheme="majorHAnsi"/>
        </w:rPr>
        <w:t>Jedwabno;</w:t>
      </w:r>
    </w:p>
    <w:p w14:paraId="68234439" w14:textId="77777777" w:rsidR="00EA2B5F" w:rsidRPr="00F25EBD" w:rsidRDefault="00EA2B5F" w:rsidP="0054382A">
      <w:pPr>
        <w:pStyle w:val="Akapitzlist"/>
        <w:numPr>
          <w:ilvl w:val="0"/>
          <w:numId w:val="37"/>
        </w:numPr>
        <w:spacing w:after="0" w:line="276" w:lineRule="auto"/>
        <w:jc w:val="both"/>
        <w:rPr>
          <w:rFonts w:asciiTheme="majorHAnsi" w:hAnsiTheme="majorHAnsi" w:cstheme="majorHAnsi"/>
        </w:rPr>
      </w:pPr>
      <w:r w:rsidRPr="00F25EBD">
        <w:rPr>
          <w:rFonts w:asciiTheme="majorHAnsi" w:hAnsiTheme="majorHAnsi" w:cstheme="majorHAnsi"/>
        </w:rPr>
        <w:t>600: Mrągowo</w:t>
      </w:r>
      <w:r w:rsidR="00336D76" w:rsidRPr="00F25EBD">
        <w:rPr>
          <w:rFonts w:asciiTheme="majorHAnsi" w:hAnsiTheme="majorHAnsi" w:cstheme="majorHAnsi"/>
        </w:rPr>
        <w:t xml:space="preserve"> - </w:t>
      </w:r>
      <w:r w:rsidRPr="00F25EBD">
        <w:rPr>
          <w:rFonts w:asciiTheme="majorHAnsi" w:hAnsiTheme="majorHAnsi" w:cstheme="majorHAnsi"/>
        </w:rPr>
        <w:t>Kałęczyn</w:t>
      </w:r>
      <w:r w:rsidR="00336D76" w:rsidRPr="00F25EBD">
        <w:rPr>
          <w:rFonts w:asciiTheme="majorHAnsi" w:hAnsiTheme="majorHAnsi" w:cstheme="majorHAnsi"/>
        </w:rPr>
        <w:t xml:space="preserve"> - </w:t>
      </w:r>
      <w:r w:rsidRPr="00F25EBD">
        <w:rPr>
          <w:rFonts w:asciiTheme="majorHAnsi" w:hAnsiTheme="majorHAnsi" w:cstheme="majorHAnsi"/>
        </w:rPr>
        <w:t>Szczytno;</w:t>
      </w:r>
    </w:p>
    <w:p w14:paraId="2BFD2C8E" w14:textId="77777777" w:rsidR="00EA2B5F" w:rsidRPr="00F25EBD" w:rsidRDefault="00EA2B5F" w:rsidP="0054382A">
      <w:pPr>
        <w:pStyle w:val="Akapitzlist"/>
        <w:numPr>
          <w:ilvl w:val="0"/>
          <w:numId w:val="37"/>
        </w:numPr>
        <w:spacing w:after="0" w:line="276" w:lineRule="auto"/>
        <w:jc w:val="both"/>
        <w:rPr>
          <w:rFonts w:asciiTheme="majorHAnsi" w:hAnsiTheme="majorHAnsi" w:cstheme="majorHAnsi"/>
        </w:rPr>
      </w:pPr>
      <w:r w:rsidRPr="00F25EBD">
        <w:rPr>
          <w:rFonts w:asciiTheme="majorHAnsi" w:hAnsiTheme="majorHAnsi" w:cstheme="majorHAnsi"/>
        </w:rPr>
        <w:t>604: Nidzica</w:t>
      </w:r>
      <w:r w:rsidR="00336D76" w:rsidRPr="00F25EBD">
        <w:rPr>
          <w:rFonts w:asciiTheme="majorHAnsi" w:hAnsiTheme="majorHAnsi" w:cstheme="majorHAnsi"/>
        </w:rPr>
        <w:t xml:space="preserve"> - </w:t>
      </w:r>
      <w:r w:rsidRPr="00F25EBD">
        <w:rPr>
          <w:rFonts w:asciiTheme="majorHAnsi" w:hAnsiTheme="majorHAnsi" w:cstheme="majorHAnsi"/>
        </w:rPr>
        <w:t>Wielbark;</w:t>
      </w:r>
    </w:p>
    <w:p w14:paraId="2AA30201" w14:textId="77777777" w:rsidR="00EA2B5F" w:rsidRPr="00F25EBD" w:rsidRDefault="00EA2B5F" w:rsidP="0054382A">
      <w:pPr>
        <w:pStyle w:val="Akapitzlist"/>
        <w:numPr>
          <w:ilvl w:val="0"/>
          <w:numId w:val="37"/>
        </w:numPr>
        <w:spacing w:after="0" w:line="276" w:lineRule="auto"/>
        <w:jc w:val="both"/>
        <w:rPr>
          <w:rFonts w:asciiTheme="majorHAnsi" w:hAnsiTheme="majorHAnsi" w:cstheme="majorHAnsi"/>
        </w:rPr>
      </w:pPr>
      <w:r w:rsidRPr="00F25EBD">
        <w:rPr>
          <w:rFonts w:asciiTheme="majorHAnsi" w:hAnsiTheme="majorHAnsi" w:cstheme="majorHAnsi"/>
        </w:rPr>
        <w:t>609: Mikołajki</w:t>
      </w:r>
      <w:r w:rsidR="00336D76" w:rsidRPr="00F25EBD">
        <w:rPr>
          <w:rFonts w:asciiTheme="majorHAnsi" w:hAnsiTheme="majorHAnsi" w:cstheme="majorHAnsi"/>
        </w:rPr>
        <w:t xml:space="preserve"> - </w:t>
      </w:r>
      <w:r w:rsidRPr="00F25EBD">
        <w:rPr>
          <w:rFonts w:asciiTheme="majorHAnsi" w:hAnsiTheme="majorHAnsi" w:cstheme="majorHAnsi"/>
        </w:rPr>
        <w:t>Ukta;</w:t>
      </w:r>
    </w:p>
    <w:p w14:paraId="4A909F9A" w14:textId="77777777" w:rsidR="00EA2B5F" w:rsidRPr="00F25EBD" w:rsidRDefault="00EA2B5F" w:rsidP="0054382A">
      <w:pPr>
        <w:pStyle w:val="Akapitzlist"/>
        <w:numPr>
          <w:ilvl w:val="0"/>
          <w:numId w:val="37"/>
        </w:numPr>
        <w:spacing w:after="0" w:line="276" w:lineRule="auto"/>
        <w:jc w:val="both"/>
        <w:rPr>
          <w:rFonts w:asciiTheme="majorHAnsi" w:hAnsiTheme="majorHAnsi" w:cstheme="majorHAnsi"/>
        </w:rPr>
      </w:pPr>
      <w:r w:rsidRPr="00F25EBD">
        <w:rPr>
          <w:rFonts w:asciiTheme="majorHAnsi" w:hAnsiTheme="majorHAnsi" w:cstheme="majorHAnsi"/>
        </w:rPr>
        <w:t>610: Piecki</w:t>
      </w:r>
      <w:r w:rsidR="00336D76" w:rsidRPr="00F25EBD">
        <w:rPr>
          <w:rFonts w:asciiTheme="majorHAnsi" w:hAnsiTheme="majorHAnsi" w:cstheme="majorHAnsi"/>
        </w:rPr>
        <w:t xml:space="preserve"> - </w:t>
      </w:r>
      <w:proofErr w:type="spellStart"/>
      <w:r w:rsidRPr="00F25EBD">
        <w:rPr>
          <w:rFonts w:asciiTheme="majorHAnsi" w:hAnsiTheme="majorHAnsi" w:cstheme="majorHAnsi"/>
        </w:rPr>
        <w:t>Ruciane-Nida</w:t>
      </w:r>
      <w:proofErr w:type="spellEnd"/>
      <w:r w:rsidRPr="00F25EBD">
        <w:rPr>
          <w:rFonts w:asciiTheme="majorHAnsi" w:hAnsiTheme="majorHAnsi" w:cstheme="majorHAnsi"/>
        </w:rPr>
        <w:t>;</w:t>
      </w:r>
    </w:p>
    <w:p w14:paraId="2947BC7A" w14:textId="77777777" w:rsidR="00EA2B5F" w:rsidRPr="00F25EBD" w:rsidRDefault="00EA2B5F" w:rsidP="0054382A">
      <w:pPr>
        <w:pStyle w:val="Akapitzlist"/>
        <w:numPr>
          <w:ilvl w:val="0"/>
          <w:numId w:val="37"/>
        </w:numPr>
        <w:spacing w:after="0" w:line="276" w:lineRule="auto"/>
        <w:jc w:val="both"/>
        <w:rPr>
          <w:rFonts w:asciiTheme="majorHAnsi" w:hAnsiTheme="majorHAnsi" w:cstheme="majorHAnsi"/>
        </w:rPr>
      </w:pPr>
      <w:r w:rsidRPr="00F25EBD">
        <w:rPr>
          <w:rFonts w:asciiTheme="majorHAnsi" w:hAnsiTheme="majorHAnsi" w:cstheme="majorHAnsi"/>
        </w:rPr>
        <w:t>667: Nowa Wieś Ełcka</w:t>
      </w:r>
      <w:r w:rsidR="00336D76" w:rsidRPr="00F25EBD">
        <w:rPr>
          <w:rFonts w:asciiTheme="majorHAnsi" w:hAnsiTheme="majorHAnsi" w:cstheme="majorHAnsi"/>
        </w:rPr>
        <w:t xml:space="preserve"> - </w:t>
      </w:r>
      <w:r w:rsidRPr="00F25EBD">
        <w:rPr>
          <w:rFonts w:asciiTheme="majorHAnsi" w:hAnsiTheme="majorHAnsi" w:cstheme="majorHAnsi"/>
        </w:rPr>
        <w:t>Drygały</w:t>
      </w:r>
      <w:r w:rsidR="00336D76" w:rsidRPr="00F25EBD">
        <w:rPr>
          <w:rFonts w:asciiTheme="majorHAnsi" w:hAnsiTheme="majorHAnsi" w:cstheme="majorHAnsi"/>
        </w:rPr>
        <w:t xml:space="preserve"> - </w:t>
      </w:r>
      <w:r w:rsidRPr="00F25EBD">
        <w:rPr>
          <w:rFonts w:asciiTheme="majorHAnsi" w:hAnsiTheme="majorHAnsi" w:cstheme="majorHAnsi"/>
        </w:rPr>
        <w:t>Biała Piska.</w:t>
      </w:r>
    </w:p>
    <w:p w14:paraId="40164C84" w14:textId="77777777" w:rsidR="00EA2B5F" w:rsidRPr="00F25EBD" w:rsidRDefault="00EA2B5F" w:rsidP="00FC7062">
      <w:pPr>
        <w:spacing w:after="0" w:line="276" w:lineRule="auto"/>
        <w:jc w:val="both"/>
        <w:rPr>
          <w:rFonts w:asciiTheme="majorHAnsi" w:hAnsiTheme="majorHAnsi" w:cstheme="majorHAnsi"/>
        </w:rPr>
      </w:pPr>
    </w:p>
    <w:p w14:paraId="328246A3" w14:textId="15FF4791" w:rsidR="00EA2B5F" w:rsidRPr="00F25EBD" w:rsidRDefault="00EA2B5F" w:rsidP="008A3FED">
      <w:pPr>
        <w:spacing w:line="276" w:lineRule="auto"/>
        <w:jc w:val="both"/>
        <w:rPr>
          <w:rFonts w:asciiTheme="majorHAnsi" w:hAnsiTheme="majorHAnsi" w:cstheme="majorHAnsi"/>
        </w:rPr>
      </w:pPr>
      <w:r w:rsidRPr="00F25EBD">
        <w:rPr>
          <w:rFonts w:asciiTheme="majorHAnsi" w:hAnsiTheme="majorHAnsi" w:cstheme="majorHAnsi"/>
        </w:rPr>
        <w:t>W systemie komunikacyjnym Południowych Mazur funkcjonuje także sieć dróg gminnych i</w:t>
      </w:r>
      <w:r w:rsidR="001676E7">
        <w:rPr>
          <w:rFonts w:asciiTheme="majorHAnsi" w:hAnsiTheme="majorHAnsi" w:cstheme="majorHAnsi"/>
        </w:rPr>
        <w:t> </w:t>
      </w:r>
      <w:r w:rsidRPr="00F25EBD">
        <w:rPr>
          <w:rFonts w:asciiTheme="majorHAnsi" w:hAnsiTheme="majorHAnsi" w:cstheme="majorHAnsi"/>
        </w:rPr>
        <w:t>powiatowych. W 2019</w:t>
      </w:r>
      <w:r w:rsidR="00F7062F">
        <w:rPr>
          <w:rFonts w:asciiTheme="majorHAnsi" w:hAnsiTheme="majorHAnsi" w:cstheme="majorHAnsi"/>
        </w:rPr>
        <w:t>r.</w:t>
      </w:r>
      <w:r w:rsidRPr="00F25EBD">
        <w:rPr>
          <w:rFonts w:asciiTheme="majorHAnsi" w:hAnsiTheme="majorHAnsi" w:cstheme="majorHAnsi"/>
        </w:rPr>
        <w:t xml:space="preserve"> ich łączna długość wyniosła 6.004,3 km, co stanowiło 21,0% dróg tego typu zlokalizowanych w</w:t>
      </w:r>
      <w:r w:rsidR="007B04A7">
        <w:rPr>
          <w:rFonts w:asciiTheme="majorHAnsi" w:hAnsiTheme="majorHAnsi" w:cstheme="majorHAnsi"/>
        </w:rPr>
        <w:t xml:space="preserve"> </w:t>
      </w:r>
      <w:r w:rsidRPr="00F25EBD">
        <w:rPr>
          <w:rFonts w:asciiTheme="majorHAnsi" w:hAnsiTheme="majorHAnsi" w:cstheme="majorHAnsi"/>
        </w:rPr>
        <w:t>województwie warmińsko-mazurskim. Nieznaczna większość (54,6%) przypadała na drogi powiatowe, w strukturze których dominowały drogi o nawierzchni twardej (46,2%), następne w</w:t>
      </w:r>
      <w:r w:rsidR="001676E7">
        <w:rPr>
          <w:rFonts w:asciiTheme="majorHAnsi" w:hAnsiTheme="majorHAnsi" w:cstheme="majorHAnsi"/>
        </w:rPr>
        <w:t> </w:t>
      </w:r>
      <w:r w:rsidRPr="00F25EBD">
        <w:rPr>
          <w:rFonts w:asciiTheme="majorHAnsi" w:hAnsiTheme="majorHAnsi" w:cstheme="majorHAnsi"/>
        </w:rPr>
        <w:t>kolejności były drogi o nawierzchni twardej ulepszonej (44,6%), a tylko niewielki odsetek stanowiły drogi gruntowe (9,2%). Odmiennie, wyglądała struktura dróg gminnych. W tym przypadku przewagę miały drogi o nawierzchni gruntowej (43,8%), następnie o nawierzchni twardej (30,5%), a</w:t>
      </w:r>
      <w:r w:rsidR="007B04A7">
        <w:rPr>
          <w:rFonts w:asciiTheme="majorHAnsi" w:hAnsiTheme="majorHAnsi" w:cstheme="majorHAnsi"/>
        </w:rPr>
        <w:t xml:space="preserve"> </w:t>
      </w:r>
      <w:r w:rsidRPr="00F25EBD">
        <w:rPr>
          <w:rFonts w:asciiTheme="majorHAnsi" w:hAnsiTheme="majorHAnsi" w:cstheme="majorHAnsi"/>
        </w:rPr>
        <w:t xml:space="preserve">na końcu uplasowały się drogi o nawierzchni twardej ulepszonej (25,6%). </w:t>
      </w:r>
    </w:p>
    <w:p w14:paraId="0B9FBF5D" w14:textId="37C8D261" w:rsidR="00EA2B5F" w:rsidRPr="00F25EBD" w:rsidRDefault="00EA2B5F" w:rsidP="008A3FED">
      <w:pPr>
        <w:spacing w:line="276" w:lineRule="auto"/>
        <w:jc w:val="both"/>
        <w:rPr>
          <w:rFonts w:asciiTheme="majorHAnsi" w:hAnsiTheme="majorHAnsi" w:cstheme="majorHAnsi"/>
        </w:rPr>
      </w:pPr>
      <w:r w:rsidRPr="00F25EBD">
        <w:rPr>
          <w:rFonts w:asciiTheme="majorHAnsi" w:hAnsiTheme="majorHAnsi" w:cstheme="majorHAnsi"/>
        </w:rPr>
        <w:t>W latach 2010-2019 długość poszczególnych kategorii dróg ulegała zmianom, co było szczególnie zauważalne w obrębie dróg gminnych. W ujęciu względnym największy przyrost dotyczył dróg o</w:t>
      </w:r>
      <w:r w:rsidR="007B04A7">
        <w:rPr>
          <w:rFonts w:asciiTheme="majorHAnsi" w:hAnsiTheme="majorHAnsi" w:cstheme="majorHAnsi"/>
        </w:rPr>
        <w:t xml:space="preserve"> </w:t>
      </w:r>
      <w:r w:rsidRPr="00F25EBD">
        <w:rPr>
          <w:rFonts w:asciiTheme="majorHAnsi" w:hAnsiTheme="majorHAnsi" w:cstheme="majorHAnsi"/>
        </w:rPr>
        <w:t>twardej nawierzchni (średnia dla PM = 104,9%), zwłaszcza w powiecie nidzickim (217,7%). Powiat ten był liderem także w zakresie wzrostu długości dróg o powierzchni twardej ulepszonej. W</w:t>
      </w:r>
      <w:r w:rsidR="007B04A7">
        <w:rPr>
          <w:rFonts w:asciiTheme="majorHAnsi" w:hAnsiTheme="majorHAnsi" w:cstheme="majorHAnsi"/>
        </w:rPr>
        <w:t xml:space="preserve"> </w:t>
      </w:r>
      <w:r w:rsidRPr="00F25EBD">
        <w:rPr>
          <w:rFonts w:asciiTheme="majorHAnsi" w:hAnsiTheme="majorHAnsi" w:cstheme="majorHAnsi"/>
        </w:rPr>
        <w:t xml:space="preserve">analizowanym okresie wskaźnik ten wyniósł 231,5%, podczas gdy w działdowskim 23,4%, a </w:t>
      </w:r>
      <w:proofErr w:type="spellStart"/>
      <w:r w:rsidRPr="00F25EBD">
        <w:rPr>
          <w:rFonts w:asciiTheme="majorHAnsi" w:hAnsiTheme="majorHAnsi" w:cstheme="majorHAnsi"/>
        </w:rPr>
        <w:t>piskim</w:t>
      </w:r>
      <w:proofErr w:type="spellEnd"/>
      <w:r w:rsidRPr="00F25EBD">
        <w:rPr>
          <w:rFonts w:asciiTheme="majorHAnsi" w:hAnsiTheme="majorHAnsi" w:cstheme="majorHAnsi"/>
        </w:rPr>
        <w:t xml:space="preserve"> 27,1%. Zmiany w zakresie długości dróg powiatowych były o wiele skromniejsze. Największa dotyczyła redukcji zasobu dróg gruntowych (średnia dla PM = -6,3%), zwłaszcza w powiecie </w:t>
      </w:r>
      <w:proofErr w:type="spellStart"/>
      <w:r w:rsidRPr="00F25EBD">
        <w:rPr>
          <w:rFonts w:asciiTheme="majorHAnsi" w:hAnsiTheme="majorHAnsi" w:cstheme="majorHAnsi"/>
        </w:rPr>
        <w:t>piskim</w:t>
      </w:r>
      <w:proofErr w:type="spellEnd"/>
      <w:r w:rsidRPr="00F25EBD">
        <w:rPr>
          <w:rFonts w:asciiTheme="majorHAnsi" w:hAnsiTheme="majorHAnsi" w:cstheme="majorHAnsi"/>
        </w:rPr>
        <w:t xml:space="preserve"> (-10,5%). Zmiany długości poszczególnych typów i kategorii dróg w latach 2010-2019 w układzie jednostek administracyjnych PM przedstawione są na poniższym rysunku.</w:t>
      </w:r>
    </w:p>
    <w:p w14:paraId="0A7D007F" w14:textId="77777777" w:rsidR="004C64BD" w:rsidRDefault="004C64BD" w:rsidP="00FC7062">
      <w:pPr>
        <w:spacing w:line="276" w:lineRule="auto"/>
        <w:rPr>
          <w:rFonts w:asciiTheme="majorHAnsi" w:hAnsiTheme="majorHAnsi" w:cstheme="majorHAnsi"/>
        </w:rPr>
      </w:pPr>
      <w:r>
        <w:rPr>
          <w:rFonts w:asciiTheme="majorHAnsi" w:hAnsiTheme="majorHAnsi" w:cstheme="majorHAnsi"/>
        </w:rPr>
        <w:br w:type="page"/>
      </w:r>
    </w:p>
    <w:p w14:paraId="2F6D14E6" w14:textId="67B5E420" w:rsidR="00EA2B5F" w:rsidRPr="00F25EBD" w:rsidRDefault="00EA2B5F" w:rsidP="008543EA">
      <w:pPr>
        <w:pStyle w:val="nad"/>
      </w:pPr>
      <w:bookmarkStart w:id="44" w:name="_Toc81301544"/>
      <w:r w:rsidRPr="00F25EBD">
        <w:t xml:space="preserve">Rysunek </w:t>
      </w:r>
      <w:r w:rsidRPr="00F25EBD">
        <w:rPr>
          <w:noProof/>
        </w:rPr>
        <w:fldChar w:fldCharType="begin"/>
      </w:r>
      <w:r w:rsidRPr="00F25EBD">
        <w:rPr>
          <w:noProof/>
        </w:rPr>
        <w:instrText xml:space="preserve"> SEQ Rysunek \* ARABIC </w:instrText>
      </w:r>
      <w:r w:rsidRPr="00F25EBD">
        <w:rPr>
          <w:noProof/>
        </w:rPr>
        <w:fldChar w:fldCharType="separate"/>
      </w:r>
      <w:r w:rsidR="006C7815">
        <w:rPr>
          <w:noProof/>
        </w:rPr>
        <w:t>16</w:t>
      </w:r>
      <w:r w:rsidRPr="00F25EBD">
        <w:rPr>
          <w:noProof/>
        </w:rPr>
        <w:fldChar w:fldCharType="end"/>
      </w:r>
      <w:r w:rsidRPr="00F25EBD">
        <w:t>. Zmiany długości dróg gminnych i powiatowych w latach 2010-2019 (w km)</w:t>
      </w:r>
      <w:bookmarkEnd w:id="44"/>
    </w:p>
    <w:p w14:paraId="06C7934D" w14:textId="77777777" w:rsidR="00EA2B5F" w:rsidRPr="00F25EBD" w:rsidRDefault="00EA2B5F" w:rsidP="00FC7062">
      <w:pPr>
        <w:spacing w:after="0" w:line="276" w:lineRule="auto"/>
        <w:jc w:val="both"/>
        <w:rPr>
          <w:rFonts w:asciiTheme="majorHAnsi" w:hAnsiTheme="majorHAnsi" w:cstheme="majorHAnsi"/>
        </w:rPr>
      </w:pPr>
      <w:r w:rsidRPr="00F25EBD">
        <w:rPr>
          <w:rFonts w:asciiTheme="majorHAnsi" w:hAnsiTheme="majorHAnsi" w:cstheme="majorHAnsi"/>
          <w:noProof/>
          <w:lang w:eastAsia="pl-PL"/>
        </w:rPr>
        <w:drawing>
          <wp:inline distT="0" distB="0" distL="0" distR="0" wp14:anchorId="49F49165" wp14:editId="467AB538">
            <wp:extent cx="5744308" cy="5230725"/>
            <wp:effectExtent l="0" t="0" r="8890" b="8255"/>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82580" cy="5265576"/>
                    </a:xfrm>
                    <a:prstGeom prst="rect">
                      <a:avLst/>
                    </a:prstGeom>
                    <a:noFill/>
                  </pic:spPr>
                </pic:pic>
              </a:graphicData>
            </a:graphic>
          </wp:inline>
        </w:drawing>
      </w:r>
    </w:p>
    <w:p w14:paraId="316A98FC" w14:textId="77777777" w:rsidR="00EA2B5F" w:rsidRPr="00F25EBD" w:rsidRDefault="00EA2B5F" w:rsidP="008543EA">
      <w:pPr>
        <w:pStyle w:val="rdo"/>
      </w:pPr>
      <w:r w:rsidRPr="00F25EBD">
        <w:t>Źródło: opracowanie własne na podstawie danych BDL.</w:t>
      </w:r>
    </w:p>
    <w:p w14:paraId="617BD53C" w14:textId="77777777" w:rsidR="00EA2B5F" w:rsidRPr="00F25EBD" w:rsidRDefault="00EA2B5F" w:rsidP="00FC7062">
      <w:pPr>
        <w:spacing w:after="0" w:line="276" w:lineRule="auto"/>
        <w:jc w:val="both"/>
        <w:rPr>
          <w:rFonts w:asciiTheme="majorHAnsi" w:hAnsiTheme="majorHAnsi" w:cstheme="majorHAnsi"/>
        </w:rPr>
      </w:pPr>
    </w:p>
    <w:p w14:paraId="66B048E5" w14:textId="4863831B" w:rsidR="00EA2B5F" w:rsidRPr="00F25EBD" w:rsidRDefault="00EA2B5F" w:rsidP="00FC7062">
      <w:pPr>
        <w:spacing w:after="0" w:line="276" w:lineRule="auto"/>
        <w:jc w:val="both"/>
        <w:rPr>
          <w:rFonts w:asciiTheme="majorHAnsi" w:eastAsia="Times New Roman" w:hAnsiTheme="majorHAnsi" w:cstheme="majorHAnsi"/>
          <w:color w:val="000000"/>
          <w:lang w:eastAsia="pl-PL"/>
        </w:rPr>
      </w:pPr>
      <w:r w:rsidRPr="00F25EBD">
        <w:rPr>
          <w:rFonts w:asciiTheme="majorHAnsi" w:hAnsiTheme="majorHAnsi" w:cstheme="majorHAnsi"/>
        </w:rPr>
        <w:t>Wskaźnikiem, który lepiej niż ogólna długość drogi oddaje sytuację panującą na danym obszarze jest gęstość dróg, w której punktem odniesienia może być zarówno powierzchnia danego obszaru, jak i</w:t>
      </w:r>
      <w:r w:rsidR="007B04A7">
        <w:rPr>
          <w:rFonts w:asciiTheme="majorHAnsi" w:hAnsiTheme="majorHAnsi" w:cstheme="majorHAnsi"/>
        </w:rPr>
        <w:t xml:space="preserve"> </w:t>
      </w:r>
      <w:r w:rsidRPr="00F25EBD">
        <w:rPr>
          <w:rFonts w:asciiTheme="majorHAnsi" w:hAnsiTheme="majorHAnsi" w:cstheme="majorHAnsi"/>
        </w:rPr>
        <w:t>liczba zamieszkujących go osób. W 2019</w:t>
      </w:r>
      <w:r w:rsidR="00F7062F">
        <w:rPr>
          <w:rFonts w:asciiTheme="majorHAnsi" w:hAnsiTheme="majorHAnsi" w:cstheme="majorHAnsi"/>
        </w:rPr>
        <w:t>r.</w:t>
      </w:r>
      <w:r w:rsidRPr="00F25EBD">
        <w:rPr>
          <w:rFonts w:asciiTheme="majorHAnsi" w:hAnsiTheme="majorHAnsi" w:cstheme="majorHAnsi"/>
        </w:rPr>
        <w:t xml:space="preserve"> na 100 km</w:t>
      </w:r>
      <w:r w:rsidRPr="00F25EBD">
        <w:rPr>
          <w:rFonts w:asciiTheme="majorHAnsi" w:hAnsiTheme="majorHAnsi" w:cstheme="majorHAnsi"/>
          <w:vertAlign w:val="superscript"/>
        </w:rPr>
        <w:t>2</w:t>
      </w:r>
      <w:r w:rsidRPr="00F25EBD">
        <w:rPr>
          <w:rFonts w:asciiTheme="majorHAnsi" w:hAnsiTheme="majorHAnsi" w:cstheme="majorHAnsi"/>
        </w:rPr>
        <w:t xml:space="preserve"> powierzchni Południowych Mazur przypadało średnio 45 km dróg gminnych i powiatowych o twardej nawierzchni (w województwie warmińsko-mazurskim 44,5 km) i 28 km dróg o nawierzchni gruntowej (w regionie 33,8 km). Z kolei na 10 tys. ludności przypadało średnio 111,2 km dróg gminnych i powiatowych o twardej nawierzchni (w</w:t>
      </w:r>
      <w:r w:rsidR="007B04A7">
        <w:rPr>
          <w:rFonts w:asciiTheme="majorHAnsi" w:hAnsiTheme="majorHAnsi" w:cstheme="majorHAnsi"/>
        </w:rPr>
        <w:t xml:space="preserve"> </w:t>
      </w:r>
      <w:r w:rsidRPr="00F25EBD">
        <w:rPr>
          <w:rFonts w:asciiTheme="majorHAnsi" w:hAnsiTheme="majorHAnsi" w:cstheme="majorHAnsi"/>
        </w:rPr>
        <w:t>województwie warmińsko-mazurskim 75,6 km) i 64,7 km dróg o nawierzchni gruntowej (w</w:t>
      </w:r>
      <w:r w:rsidR="007B04A7">
        <w:rPr>
          <w:rFonts w:asciiTheme="majorHAnsi" w:hAnsiTheme="majorHAnsi" w:cstheme="majorHAnsi"/>
        </w:rPr>
        <w:t xml:space="preserve"> </w:t>
      </w:r>
      <w:r w:rsidR="001676E7">
        <w:rPr>
          <w:rFonts w:asciiTheme="majorHAnsi" w:hAnsiTheme="majorHAnsi" w:cstheme="majorHAnsi"/>
        </w:rPr>
        <w:t>regionie 57,4 km). W </w:t>
      </w:r>
      <w:r w:rsidRPr="00F25EBD">
        <w:rPr>
          <w:rFonts w:asciiTheme="majorHAnsi" w:hAnsiTheme="majorHAnsi" w:cstheme="majorHAnsi"/>
        </w:rPr>
        <w:t>pierwszym ujęciu największą gęstością dróg utwardzonych charakteryzował się powiat działdowski (57,3 km/100 km</w:t>
      </w:r>
      <w:r w:rsidRPr="00F25EBD">
        <w:rPr>
          <w:rFonts w:asciiTheme="majorHAnsi" w:hAnsiTheme="majorHAnsi" w:cstheme="majorHAnsi"/>
          <w:vertAlign w:val="superscript"/>
        </w:rPr>
        <w:t>2</w:t>
      </w:r>
      <w:r w:rsidRPr="00F25EBD">
        <w:rPr>
          <w:rFonts w:asciiTheme="majorHAnsi" w:hAnsiTheme="majorHAnsi" w:cstheme="majorHAnsi"/>
        </w:rPr>
        <w:t>), a najmniej korzystnie wypadł powiat piski (31,1 km/100 km</w:t>
      </w:r>
      <w:r w:rsidRPr="00F25EBD">
        <w:rPr>
          <w:rFonts w:asciiTheme="majorHAnsi" w:hAnsiTheme="majorHAnsi" w:cstheme="majorHAnsi"/>
          <w:vertAlign w:val="superscript"/>
        </w:rPr>
        <w:t>2</w:t>
      </w:r>
      <w:r w:rsidRPr="00F25EBD">
        <w:rPr>
          <w:rFonts w:asciiTheme="majorHAnsi" w:hAnsiTheme="majorHAnsi" w:cstheme="majorHAnsi"/>
        </w:rPr>
        <w:t>). Z kolei w</w:t>
      </w:r>
      <w:r w:rsidR="007B04A7">
        <w:rPr>
          <w:rFonts w:asciiTheme="majorHAnsi" w:hAnsiTheme="majorHAnsi" w:cstheme="majorHAnsi"/>
        </w:rPr>
        <w:t xml:space="preserve"> </w:t>
      </w:r>
      <w:r w:rsidRPr="00F25EBD">
        <w:rPr>
          <w:rFonts w:asciiTheme="majorHAnsi" w:hAnsiTheme="majorHAnsi" w:cstheme="majorHAnsi"/>
        </w:rPr>
        <w:t>drugim, najlepsza sytuacja panowała w powiecie nidzickim (</w:t>
      </w:r>
      <w:r w:rsidRPr="00F25EBD">
        <w:rPr>
          <w:rFonts w:asciiTheme="majorHAnsi" w:eastAsia="Times New Roman" w:hAnsiTheme="majorHAnsi" w:cstheme="majorHAnsi"/>
          <w:color w:val="000000"/>
          <w:lang w:eastAsia="pl-PL"/>
        </w:rPr>
        <w:t>156,5 km/na 10 tys. mieszkańców), a</w:t>
      </w:r>
      <w:r w:rsidR="007B04A7">
        <w:rPr>
          <w:rFonts w:asciiTheme="majorHAnsi" w:eastAsia="Times New Roman" w:hAnsiTheme="majorHAnsi" w:cstheme="majorHAnsi"/>
          <w:color w:val="000000"/>
          <w:lang w:eastAsia="pl-PL"/>
        </w:rPr>
        <w:t xml:space="preserve"> </w:t>
      </w:r>
      <w:r w:rsidR="001676E7">
        <w:rPr>
          <w:rFonts w:asciiTheme="majorHAnsi" w:eastAsia="Times New Roman" w:hAnsiTheme="majorHAnsi" w:cstheme="majorHAnsi"/>
          <w:color w:val="000000"/>
          <w:lang w:eastAsia="pl-PL"/>
        </w:rPr>
        <w:t>najgorsza w </w:t>
      </w:r>
      <w:r w:rsidRPr="00F25EBD">
        <w:rPr>
          <w:rFonts w:asciiTheme="majorHAnsi" w:eastAsia="Times New Roman" w:hAnsiTheme="majorHAnsi" w:cstheme="majorHAnsi"/>
          <w:color w:val="000000"/>
          <w:lang w:eastAsia="pl-PL"/>
        </w:rPr>
        <w:t xml:space="preserve">działdowskim </w:t>
      </w:r>
      <w:r w:rsidRPr="00F25EBD">
        <w:rPr>
          <w:rFonts w:asciiTheme="majorHAnsi" w:hAnsiTheme="majorHAnsi" w:cstheme="majorHAnsi"/>
        </w:rPr>
        <w:t>(</w:t>
      </w:r>
      <w:r w:rsidRPr="00F25EBD">
        <w:rPr>
          <w:rFonts w:asciiTheme="majorHAnsi" w:eastAsia="Times New Roman" w:hAnsiTheme="majorHAnsi" w:cstheme="majorHAnsi"/>
          <w:color w:val="000000"/>
          <w:lang w:eastAsia="pl-PL"/>
        </w:rPr>
        <w:t>83,9 km/na 10 tys. mieszkańców).</w:t>
      </w:r>
    </w:p>
    <w:p w14:paraId="13E95AD3" w14:textId="77777777" w:rsidR="00EA2B5F" w:rsidRPr="00F25EBD" w:rsidRDefault="00EA2B5F" w:rsidP="00FC7062">
      <w:pPr>
        <w:spacing w:after="0" w:line="276" w:lineRule="auto"/>
        <w:jc w:val="both"/>
        <w:rPr>
          <w:rFonts w:asciiTheme="majorHAnsi" w:hAnsiTheme="majorHAnsi" w:cstheme="majorHAnsi"/>
        </w:rPr>
      </w:pPr>
    </w:p>
    <w:p w14:paraId="18C7B7EF" w14:textId="77777777" w:rsidR="008543EA" w:rsidRDefault="008543EA" w:rsidP="008543EA">
      <w:pPr>
        <w:pStyle w:val="Nagwek3"/>
      </w:pPr>
      <w:r>
        <w:br w:type="page"/>
      </w:r>
    </w:p>
    <w:p w14:paraId="7A4E1E20" w14:textId="2C0D6425" w:rsidR="00EA2B5F" w:rsidRPr="00F25EBD" w:rsidRDefault="00EA2B5F" w:rsidP="002C7D64">
      <w:pPr>
        <w:pStyle w:val="Norm"/>
      </w:pPr>
      <w:r w:rsidRPr="00F25EBD">
        <w:t>Transport kolejowy</w:t>
      </w:r>
    </w:p>
    <w:p w14:paraId="2932AFEC" w14:textId="13884BE3" w:rsidR="00EA2B5F" w:rsidRPr="00F25EBD" w:rsidRDefault="00EA2B5F" w:rsidP="00FC7062">
      <w:pPr>
        <w:spacing w:after="0" w:line="276" w:lineRule="auto"/>
        <w:jc w:val="both"/>
        <w:rPr>
          <w:rFonts w:asciiTheme="majorHAnsi" w:hAnsiTheme="majorHAnsi" w:cstheme="majorHAnsi"/>
        </w:rPr>
      </w:pPr>
      <w:r w:rsidRPr="00F25EBD">
        <w:rPr>
          <w:rFonts w:asciiTheme="majorHAnsi" w:hAnsiTheme="majorHAnsi" w:cstheme="majorHAnsi"/>
        </w:rPr>
        <w:t>Przez teren Południowych Mazur przebiega kilka linii kolejowych o różnym znaczeniu i kategorii, z</w:t>
      </w:r>
      <w:r w:rsidR="001676E7">
        <w:rPr>
          <w:rFonts w:asciiTheme="majorHAnsi" w:hAnsiTheme="majorHAnsi" w:cstheme="majorHAnsi"/>
        </w:rPr>
        <w:t> </w:t>
      </w:r>
      <w:r w:rsidRPr="00F25EBD">
        <w:rPr>
          <w:rFonts w:asciiTheme="majorHAnsi" w:hAnsiTheme="majorHAnsi" w:cstheme="majorHAnsi"/>
        </w:rPr>
        <w:t>których najważniejsza to linia nr 9/E65/ (magistralna) z węzłem kolejowym w Działdowie. Zestawienie pozostałych linii kolejowych zlokalizowanych na terenie Powiatów PM zestawione jest w</w:t>
      </w:r>
      <w:r w:rsidR="007B04A7">
        <w:rPr>
          <w:rFonts w:asciiTheme="majorHAnsi" w:hAnsiTheme="majorHAnsi" w:cstheme="majorHAnsi"/>
        </w:rPr>
        <w:t xml:space="preserve"> </w:t>
      </w:r>
      <w:r w:rsidRPr="00F25EBD">
        <w:rPr>
          <w:rFonts w:asciiTheme="majorHAnsi" w:hAnsiTheme="majorHAnsi" w:cstheme="majorHAnsi"/>
        </w:rPr>
        <w:t>poniższej tabeli.</w:t>
      </w:r>
    </w:p>
    <w:p w14:paraId="74994B92" w14:textId="77777777" w:rsidR="00EA2B5F" w:rsidRPr="00F25EBD" w:rsidRDefault="00EA2B5F" w:rsidP="008543EA">
      <w:pPr>
        <w:pStyle w:val="nad"/>
      </w:pPr>
      <w:bookmarkStart w:id="45" w:name="_Toc81300535"/>
      <w:r w:rsidRPr="00F25EBD">
        <w:t xml:space="preserve">Tabela </w:t>
      </w:r>
      <w:r w:rsidRPr="00F25EBD">
        <w:rPr>
          <w:noProof/>
        </w:rPr>
        <w:fldChar w:fldCharType="begin"/>
      </w:r>
      <w:r w:rsidRPr="00F25EBD">
        <w:rPr>
          <w:noProof/>
        </w:rPr>
        <w:instrText xml:space="preserve"> SEQ Tabela \* ARABIC </w:instrText>
      </w:r>
      <w:r w:rsidRPr="00F25EBD">
        <w:rPr>
          <w:noProof/>
        </w:rPr>
        <w:fldChar w:fldCharType="separate"/>
      </w:r>
      <w:r w:rsidR="006C7815">
        <w:rPr>
          <w:noProof/>
        </w:rPr>
        <w:t>9</w:t>
      </w:r>
      <w:r w:rsidRPr="00F25EBD">
        <w:rPr>
          <w:noProof/>
        </w:rPr>
        <w:fldChar w:fldCharType="end"/>
      </w:r>
      <w:r w:rsidRPr="00F25EBD">
        <w:t>. Linie kolejowe na obszarze Południowych Mazur</w:t>
      </w:r>
      <w:bookmarkEnd w:id="45"/>
    </w:p>
    <w:tbl>
      <w:tblPr>
        <w:tblStyle w:val="Tabela-Siatka"/>
        <w:tblW w:w="0" w:type="auto"/>
        <w:jc w:val="center"/>
        <w:tblLook w:val="04A0" w:firstRow="1" w:lastRow="0" w:firstColumn="1" w:lastColumn="0" w:noHBand="0" w:noVBand="1"/>
      </w:tblPr>
      <w:tblGrid>
        <w:gridCol w:w="630"/>
        <w:gridCol w:w="1265"/>
        <w:gridCol w:w="1538"/>
        <w:gridCol w:w="1958"/>
        <w:gridCol w:w="3669"/>
      </w:tblGrid>
      <w:tr w:rsidR="008543EA" w:rsidRPr="008543EA" w14:paraId="675E8909" w14:textId="77777777" w:rsidTr="008543EA">
        <w:trPr>
          <w:jc w:val="center"/>
        </w:trPr>
        <w:tc>
          <w:tcPr>
            <w:tcW w:w="637" w:type="dxa"/>
            <w:tcBorders>
              <w:top w:val="single" w:sz="4" w:space="0" w:color="FFFFFF" w:themeColor="background1"/>
              <w:left w:val="single" w:sz="4" w:space="0" w:color="FFFFFF" w:themeColor="background1"/>
              <w:bottom w:val="nil"/>
              <w:right w:val="single" w:sz="4" w:space="0" w:color="FFFFFF" w:themeColor="background1"/>
            </w:tcBorders>
            <w:shd w:val="clear" w:color="auto" w:fill="92D050"/>
            <w:vAlign w:val="center"/>
          </w:tcPr>
          <w:p w14:paraId="37F5044B" w14:textId="77777777" w:rsidR="00EA2B5F" w:rsidRPr="008543EA" w:rsidRDefault="00EA2B5F" w:rsidP="008543EA">
            <w:pPr>
              <w:jc w:val="center"/>
              <w:rPr>
                <w:rFonts w:asciiTheme="majorHAnsi" w:hAnsiTheme="majorHAnsi" w:cstheme="majorHAnsi"/>
                <w:color w:val="FFFFFF" w:themeColor="background1"/>
                <w:sz w:val="18"/>
                <w:szCs w:val="18"/>
              </w:rPr>
            </w:pPr>
            <w:r w:rsidRPr="008543EA">
              <w:rPr>
                <w:rFonts w:asciiTheme="majorHAnsi" w:hAnsiTheme="majorHAnsi" w:cstheme="majorHAnsi"/>
                <w:color w:val="FFFFFF" w:themeColor="background1"/>
                <w:sz w:val="18"/>
                <w:szCs w:val="18"/>
              </w:rPr>
              <w:t>Nr linii</w:t>
            </w:r>
          </w:p>
        </w:tc>
        <w:tc>
          <w:tcPr>
            <w:tcW w:w="1276" w:type="dxa"/>
            <w:tcBorders>
              <w:top w:val="single" w:sz="4" w:space="0" w:color="FFFFFF" w:themeColor="background1"/>
              <w:left w:val="single" w:sz="4" w:space="0" w:color="FFFFFF" w:themeColor="background1"/>
              <w:bottom w:val="nil"/>
              <w:right w:val="single" w:sz="4" w:space="0" w:color="FFFFFF" w:themeColor="background1"/>
            </w:tcBorders>
            <w:shd w:val="clear" w:color="auto" w:fill="92D050"/>
            <w:vAlign w:val="center"/>
          </w:tcPr>
          <w:p w14:paraId="4DB28C95" w14:textId="77777777" w:rsidR="00EA2B5F" w:rsidRPr="008543EA" w:rsidRDefault="00EA2B5F" w:rsidP="008543EA">
            <w:pPr>
              <w:jc w:val="center"/>
              <w:rPr>
                <w:rFonts w:asciiTheme="majorHAnsi" w:hAnsiTheme="majorHAnsi" w:cstheme="majorHAnsi"/>
                <w:color w:val="FFFFFF" w:themeColor="background1"/>
                <w:sz w:val="18"/>
                <w:szCs w:val="18"/>
              </w:rPr>
            </w:pPr>
            <w:r w:rsidRPr="008543EA">
              <w:rPr>
                <w:rFonts w:asciiTheme="majorHAnsi" w:hAnsiTheme="majorHAnsi" w:cstheme="majorHAnsi"/>
                <w:color w:val="FFFFFF" w:themeColor="background1"/>
                <w:sz w:val="18"/>
                <w:szCs w:val="18"/>
              </w:rPr>
              <w:t>Nazwa linii</w:t>
            </w:r>
          </w:p>
        </w:tc>
        <w:tc>
          <w:tcPr>
            <w:tcW w:w="1559" w:type="dxa"/>
            <w:tcBorders>
              <w:top w:val="single" w:sz="4" w:space="0" w:color="FFFFFF" w:themeColor="background1"/>
              <w:left w:val="single" w:sz="4" w:space="0" w:color="FFFFFF" w:themeColor="background1"/>
              <w:bottom w:val="nil"/>
              <w:right w:val="single" w:sz="4" w:space="0" w:color="FFFFFF" w:themeColor="background1"/>
            </w:tcBorders>
            <w:shd w:val="clear" w:color="auto" w:fill="92D050"/>
            <w:vAlign w:val="center"/>
          </w:tcPr>
          <w:p w14:paraId="55C81A14" w14:textId="77777777" w:rsidR="00EA2B5F" w:rsidRPr="008543EA" w:rsidRDefault="00EA2B5F" w:rsidP="008543EA">
            <w:pPr>
              <w:jc w:val="center"/>
              <w:rPr>
                <w:rFonts w:asciiTheme="majorHAnsi" w:hAnsiTheme="majorHAnsi" w:cstheme="majorHAnsi"/>
                <w:color w:val="FFFFFF" w:themeColor="background1"/>
                <w:sz w:val="18"/>
                <w:szCs w:val="18"/>
              </w:rPr>
            </w:pPr>
            <w:r w:rsidRPr="008543EA">
              <w:rPr>
                <w:rFonts w:asciiTheme="majorHAnsi" w:hAnsiTheme="majorHAnsi" w:cstheme="majorHAnsi"/>
                <w:color w:val="FFFFFF" w:themeColor="background1"/>
                <w:sz w:val="18"/>
                <w:szCs w:val="18"/>
              </w:rPr>
              <w:t>Znaczenie linii</w:t>
            </w:r>
          </w:p>
        </w:tc>
        <w:tc>
          <w:tcPr>
            <w:tcW w:w="1985" w:type="dxa"/>
            <w:tcBorders>
              <w:top w:val="single" w:sz="4" w:space="0" w:color="FFFFFF" w:themeColor="background1"/>
              <w:left w:val="single" w:sz="4" w:space="0" w:color="FFFFFF" w:themeColor="background1"/>
              <w:bottom w:val="nil"/>
              <w:right w:val="single" w:sz="4" w:space="0" w:color="FFFFFF" w:themeColor="background1"/>
            </w:tcBorders>
            <w:shd w:val="clear" w:color="auto" w:fill="92D050"/>
            <w:vAlign w:val="center"/>
          </w:tcPr>
          <w:p w14:paraId="789D44F5" w14:textId="77777777" w:rsidR="00EA2B5F" w:rsidRPr="008543EA" w:rsidRDefault="00EA2B5F" w:rsidP="008543EA">
            <w:pPr>
              <w:jc w:val="center"/>
              <w:rPr>
                <w:rFonts w:asciiTheme="majorHAnsi" w:hAnsiTheme="majorHAnsi" w:cstheme="majorHAnsi"/>
                <w:color w:val="FFFFFF" w:themeColor="background1"/>
                <w:sz w:val="18"/>
                <w:szCs w:val="18"/>
              </w:rPr>
            </w:pPr>
            <w:r w:rsidRPr="008543EA">
              <w:rPr>
                <w:rFonts w:asciiTheme="majorHAnsi" w:hAnsiTheme="majorHAnsi" w:cstheme="majorHAnsi"/>
                <w:color w:val="FFFFFF" w:themeColor="background1"/>
                <w:sz w:val="18"/>
                <w:szCs w:val="18"/>
              </w:rPr>
              <w:t>Kategoria linii</w:t>
            </w:r>
          </w:p>
        </w:tc>
        <w:tc>
          <w:tcPr>
            <w:tcW w:w="3755" w:type="dxa"/>
            <w:tcBorders>
              <w:top w:val="single" w:sz="4" w:space="0" w:color="FFFFFF" w:themeColor="background1"/>
              <w:left w:val="single" w:sz="4" w:space="0" w:color="FFFFFF" w:themeColor="background1"/>
              <w:bottom w:val="nil"/>
              <w:right w:val="single" w:sz="4" w:space="0" w:color="FFFFFF" w:themeColor="background1"/>
            </w:tcBorders>
            <w:shd w:val="clear" w:color="auto" w:fill="92D050"/>
            <w:vAlign w:val="center"/>
          </w:tcPr>
          <w:p w14:paraId="446B6716" w14:textId="77777777" w:rsidR="00EA2B5F" w:rsidRPr="008543EA" w:rsidRDefault="00EA2B5F" w:rsidP="008543EA">
            <w:pPr>
              <w:jc w:val="center"/>
              <w:rPr>
                <w:rFonts w:asciiTheme="majorHAnsi" w:hAnsiTheme="majorHAnsi" w:cstheme="majorHAnsi"/>
                <w:color w:val="FFFFFF" w:themeColor="background1"/>
                <w:sz w:val="18"/>
                <w:szCs w:val="18"/>
              </w:rPr>
            </w:pPr>
            <w:r w:rsidRPr="008543EA">
              <w:rPr>
                <w:rFonts w:asciiTheme="majorHAnsi" w:hAnsiTheme="majorHAnsi" w:cstheme="majorHAnsi"/>
                <w:color w:val="FFFFFF" w:themeColor="background1"/>
                <w:sz w:val="18"/>
                <w:szCs w:val="18"/>
              </w:rPr>
              <w:t>Uwagi</w:t>
            </w:r>
          </w:p>
        </w:tc>
      </w:tr>
      <w:tr w:rsidR="00EA2B5F" w:rsidRPr="00F25EBD" w14:paraId="0C8589E1" w14:textId="77777777" w:rsidTr="008543EA">
        <w:trPr>
          <w:jc w:val="center"/>
        </w:trPr>
        <w:tc>
          <w:tcPr>
            <w:tcW w:w="637" w:type="dxa"/>
            <w:tcBorders>
              <w:top w:val="nil"/>
              <w:left w:val="nil"/>
              <w:bottom w:val="single" w:sz="4" w:space="0" w:color="808080" w:themeColor="background1" w:themeShade="80"/>
              <w:right w:val="nil"/>
            </w:tcBorders>
            <w:vAlign w:val="center"/>
          </w:tcPr>
          <w:p w14:paraId="30BC1A80" w14:textId="77777777" w:rsidR="00EA2B5F" w:rsidRPr="00F25EBD" w:rsidRDefault="00EA2B5F" w:rsidP="008543EA">
            <w:pPr>
              <w:jc w:val="center"/>
              <w:rPr>
                <w:rFonts w:asciiTheme="majorHAnsi" w:hAnsiTheme="majorHAnsi" w:cstheme="majorHAnsi"/>
                <w:sz w:val="18"/>
                <w:szCs w:val="18"/>
              </w:rPr>
            </w:pPr>
            <w:r w:rsidRPr="00F25EBD">
              <w:rPr>
                <w:rFonts w:asciiTheme="majorHAnsi" w:hAnsiTheme="majorHAnsi" w:cstheme="majorHAnsi"/>
                <w:sz w:val="18"/>
                <w:szCs w:val="18"/>
              </w:rPr>
              <w:t>35</w:t>
            </w:r>
          </w:p>
        </w:tc>
        <w:tc>
          <w:tcPr>
            <w:tcW w:w="1276" w:type="dxa"/>
            <w:tcBorders>
              <w:top w:val="nil"/>
              <w:left w:val="nil"/>
              <w:bottom w:val="single" w:sz="4" w:space="0" w:color="808080" w:themeColor="background1" w:themeShade="80"/>
              <w:right w:val="nil"/>
            </w:tcBorders>
            <w:vAlign w:val="center"/>
          </w:tcPr>
          <w:p w14:paraId="3B51807C" w14:textId="77777777" w:rsidR="00EA2B5F" w:rsidRPr="00F25EBD" w:rsidRDefault="00EA2B5F" w:rsidP="008543EA">
            <w:pPr>
              <w:jc w:val="center"/>
              <w:rPr>
                <w:rFonts w:asciiTheme="majorHAnsi" w:hAnsiTheme="majorHAnsi" w:cstheme="majorHAnsi"/>
                <w:sz w:val="18"/>
                <w:szCs w:val="18"/>
              </w:rPr>
            </w:pPr>
            <w:r w:rsidRPr="00F25EBD">
              <w:rPr>
                <w:rFonts w:asciiTheme="majorHAnsi" w:hAnsiTheme="majorHAnsi" w:cstheme="majorHAnsi"/>
                <w:sz w:val="18"/>
                <w:szCs w:val="18"/>
              </w:rPr>
              <w:t>Ostrołęka</w:t>
            </w:r>
            <w:r w:rsidR="00336D76" w:rsidRPr="00F25EBD">
              <w:rPr>
                <w:rFonts w:asciiTheme="majorHAnsi" w:hAnsiTheme="majorHAnsi" w:cstheme="majorHAnsi"/>
                <w:sz w:val="18"/>
                <w:szCs w:val="18"/>
              </w:rPr>
              <w:t xml:space="preserve"> - </w:t>
            </w:r>
            <w:r w:rsidRPr="00F25EBD">
              <w:rPr>
                <w:rFonts w:asciiTheme="majorHAnsi" w:hAnsiTheme="majorHAnsi" w:cstheme="majorHAnsi"/>
                <w:sz w:val="18"/>
                <w:szCs w:val="18"/>
              </w:rPr>
              <w:t>Szczytno</w:t>
            </w:r>
          </w:p>
        </w:tc>
        <w:tc>
          <w:tcPr>
            <w:tcW w:w="1559" w:type="dxa"/>
            <w:tcBorders>
              <w:top w:val="nil"/>
              <w:left w:val="nil"/>
              <w:bottom w:val="single" w:sz="4" w:space="0" w:color="808080" w:themeColor="background1" w:themeShade="80"/>
              <w:right w:val="nil"/>
            </w:tcBorders>
            <w:vAlign w:val="center"/>
          </w:tcPr>
          <w:p w14:paraId="40BAE2AC" w14:textId="77777777" w:rsidR="00EA2B5F" w:rsidRPr="00F25EBD" w:rsidRDefault="00EA2B5F" w:rsidP="008543EA">
            <w:pPr>
              <w:jc w:val="center"/>
              <w:rPr>
                <w:rFonts w:asciiTheme="majorHAnsi" w:hAnsiTheme="majorHAnsi" w:cstheme="majorHAnsi"/>
                <w:sz w:val="18"/>
                <w:szCs w:val="18"/>
              </w:rPr>
            </w:pPr>
            <w:r w:rsidRPr="00F25EBD">
              <w:rPr>
                <w:rFonts w:asciiTheme="majorHAnsi" w:hAnsiTheme="majorHAnsi" w:cstheme="majorHAnsi"/>
                <w:sz w:val="18"/>
                <w:szCs w:val="18"/>
              </w:rPr>
              <w:t>regionalna</w:t>
            </w:r>
          </w:p>
        </w:tc>
        <w:tc>
          <w:tcPr>
            <w:tcW w:w="1985" w:type="dxa"/>
            <w:tcBorders>
              <w:top w:val="nil"/>
              <w:left w:val="nil"/>
              <w:bottom w:val="single" w:sz="4" w:space="0" w:color="808080" w:themeColor="background1" w:themeShade="80"/>
              <w:right w:val="nil"/>
            </w:tcBorders>
            <w:vAlign w:val="center"/>
          </w:tcPr>
          <w:p w14:paraId="5C96C137" w14:textId="77777777" w:rsidR="00EA2B5F" w:rsidRPr="00F25EBD" w:rsidRDefault="00EA2B5F" w:rsidP="008543EA">
            <w:pPr>
              <w:jc w:val="center"/>
              <w:rPr>
                <w:rFonts w:asciiTheme="majorHAnsi" w:hAnsiTheme="majorHAnsi" w:cstheme="majorHAnsi"/>
                <w:sz w:val="18"/>
                <w:szCs w:val="18"/>
              </w:rPr>
            </w:pPr>
            <w:r w:rsidRPr="00F25EBD">
              <w:rPr>
                <w:rFonts w:asciiTheme="majorHAnsi" w:hAnsiTheme="majorHAnsi" w:cstheme="majorHAnsi"/>
                <w:sz w:val="18"/>
                <w:szCs w:val="18"/>
              </w:rPr>
              <w:t xml:space="preserve">pierwszorzędna </w:t>
            </w:r>
            <w:r w:rsidRPr="00F25EBD">
              <w:rPr>
                <w:rFonts w:asciiTheme="majorHAnsi" w:hAnsiTheme="majorHAnsi" w:cstheme="majorHAnsi"/>
                <w:sz w:val="18"/>
                <w:szCs w:val="18"/>
              </w:rPr>
              <w:br/>
              <w:t>(gr. woj.</w:t>
            </w:r>
            <w:r w:rsidR="00336D76" w:rsidRPr="00F25EBD">
              <w:rPr>
                <w:rFonts w:asciiTheme="majorHAnsi" w:hAnsiTheme="majorHAnsi" w:cstheme="majorHAnsi"/>
                <w:sz w:val="18"/>
                <w:szCs w:val="18"/>
              </w:rPr>
              <w:t xml:space="preserve"> - </w:t>
            </w:r>
            <w:r w:rsidRPr="00F25EBD">
              <w:rPr>
                <w:rFonts w:asciiTheme="majorHAnsi" w:hAnsiTheme="majorHAnsi" w:cstheme="majorHAnsi"/>
                <w:sz w:val="18"/>
                <w:szCs w:val="18"/>
              </w:rPr>
              <w:t>Wielbark); drugorzędna (Wielbark</w:t>
            </w:r>
            <w:r w:rsidR="00336D76" w:rsidRPr="00F25EBD">
              <w:rPr>
                <w:rFonts w:asciiTheme="majorHAnsi" w:hAnsiTheme="majorHAnsi" w:cstheme="majorHAnsi"/>
                <w:sz w:val="18"/>
                <w:szCs w:val="18"/>
              </w:rPr>
              <w:t xml:space="preserve"> - </w:t>
            </w:r>
            <w:r w:rsidRPr="00F25EBD">
              <w:rPr>
                <w:rFonts w:asciiTheme="majorHAnsi" w:hAnsiTheme="majorHAnsi" w:cstheme="majorHAnsi"/>
                <w:sz w:val="18"/>
                <w:szCs w:val="18"/>
              </w:rPr>
              <w:t>Szczytno)</w:t>
            </w:r>
          </w:p>
        </w:tc>
        <w:tc>
          <w:tcPr>
            <w:tcW w:w="3755" w:type="dxa"/>
            <w:tcBorders>
              <w:top w:val="nil"/>
              <w:left w:val="nil"/>
              <w:bottom w:val="single" w:sz="4" w:space="0" w:color="808080" w:themeColor="background1" w:themeShade="80"/>
              <w:right w:val="nil"/>
            </w:tcBorders>
            <w:vAlign w:val="center"/>
          </w:tcPr>
          <w:p w14:paraId="1E7F47EE" w14:textId="77777777" w:rsidR="00EA2B5F" w:rsidRPr="00F25EBD" w:rsidRDefault="00EA2B5F" w:rsidP="008543EA">
            <w:pPr>
              <w:jc w:val="center"/>
              <w:rPr>
                <w:rFonts w:asciiTheme="majorHAnsi" w:hAnsiTheme="majorHAnsi" w:cstheme="majorHAnsi"/>
                <w:sz w:val="18"/>
                <w:szCs w:val="18"/>
              </w:rPr>
            </w:pPr>
            <w:r w:rsidRPr="00F25EBD">
              <w:rPr>
                <w:rFonts w:asciiTheme="majorHAnsi" w:hAnsiTheme="majorHAnsi" w:cstheme="majorHAnsi"/>
                <w:sz w:val="18"/>
                <w:szCs w:val="18"/>
              </w:rPr>
              <w:t>Niezelektryfikowana, 1 tor.</w:t>
            </w:r>
          </w:p>
          <w:p w14:paraId="13F72CFC" w14:textId="77777777" w:rsidR="00EA2B5F" w:rsidRPr="00F25EBD" w:rsidRDefault="00EA2B5F" w:rsidP="008543EA">
            <w:pPr>
              <w:jc w:val="center"/>
              <w:rPr>
                <w:rFonts w:asciiTheme="majorHAnsi" w:hAnsiTheme="majorHAnsi" w:cstheme="majorHAnsi"/>
                <w:sz w:val="18"/>
                <w:szCs w:val="18"/>
              </w:rPr>
            </w:pPr>
            <w:r w:rsidRPr="00F25EBD">
              <w:rPr>
                <w:rFonts w:asciiTheme="majorHAnsi" w:hAnsiTheme="majorHAnsi" w:cstheme="majorHAnsi"/>
                <w:sz w:val="18"/>
                <w:szCs w:val="18"/>
              </w:rPr>
              <w:t>Przewozy osobowe na odcinku Szymany</w:t>
            </w:r>
            <w:r w:rsidR="00336D76" w:rsidRPr="00F25EBD">
              <w:rPr>
                <w:rFonts w:asciiTheme="majorHAnsi" w:hAnsiTheme="majorHAnsi" w:cstheme="majorHAnsi"/>
                <w:sz w:val="18"/>
                <w:szCs w:val="18"/>
              </w:rPr>
              <w:t xml:space="preserve"> - </w:t>
            </w:r>
            <w:r w:rsidRPr="00F25EBD">
              <w:rPr>
                <w:rFonts w:asciiTheme="majorHAnsi" w:hAnsiTheme="majorHAnsi" w:cstheme="majorHAnsi"/>
                <w:sz w:val="18"/>
                <w:szCs w:val="18"/>
              </w:rPr>
              <w:t>Szczytno, przewozy towarowe zawieszone na całej długości, na odcinku gr. woj.</w:t>
            </w:r>
            <w:r w:rsidR="00336D76" w:rsidRPr="00F25EBD">
              <w:rPr>
                <w:rFonts w:asciiTheme="majorHAnsi" w:hAnsiTheme="majorHAnsi" w:cstheme="majorHAnsi"/>
                <w:sz w:val="18"/>
                <w:szCs w:val="18"/>
              </w:rPr>
              <w:t xml:space="preserve"> - </w:t>
            </w:r>
            <w:r w:rsidRPr="00F25EBD">
              <w:rPr>
                <w:rFonts w:asciiTheme="majorHAnsi" w:hAnsiTheme="majorHAnsi" w:cstheme="majorHAnsi"/>
                <w:sz w:val="18"/>
                <w:szCs w:val="18"/>
              </w:rPr>
              <w:t>Szymany linia nieeksploatowana.</w:t>
            </w:r>
          </w:p>
        </w:tc>
      </w:tr>
      <w:tr w:rsidR="00EA2B5F" w:rsidRPr="00F25EBD" w14:paraId="41C1279E" w14:textId="77777777" w:rsidTr="008543EA">
        <w:trPr>
          <w:jc w:val="center"/>
        </w:trPr>
        <w:tc>
          <w:tcPr>
            <w:tcW w:w="637" w:type="dxa"/>
            <w:tcBorders>
              <w:top w:val="single" w:sz="4" w:space="0" w:color="808080" w:themeColor="background1" w:themeShade="80"/>
              <w:left w:val="nil"/>
              <w:bottom w:val="single" w:sz="4" w:space="0" w:color="808080" w:themeColor="background1" w:themeShade="80"/>
              <w:right w:val="nil"/>
            </w:tcBorders>
            <w:vAlign w:val="center"/>
          </w:tcPr>
          <w:p w14:paraId="7A073767" w14:textId="77777777" w:rsidR="00EA2B5F" w:rsidRPr="00F25EBD" w:rsidRDefault="00EA2B5F" w:rsidP="008543EA">
            <w:pPr>
              <w:jc w:val="center"/>
              <w:rPr>
                <w:rFonts w:asciiTheme="majorHAnsi" w:hAnsiTheme="majorHAnsi" w:cstheme="majorHAnsi"/>
                <w:sz w:val="18"/>
                <w:szCs w:val="18"/>
              </w:rPr>
            </w:pPr>
            <w:r w:rsidRPr="00F25EBD">
              <w:rPr>
                <w:rFonts w:asciiTheme="majorHAnsi" w:hAnsiTheme="majorHAnsi" w:cstheme="majorHAnsi"/>
                <w:sz w:val="18"/>
                <w:szCs w:val="18"/>
              </w:rPr>
              <w:t>208</w:t>
            </w:r>
          </w:p>
        </w:tc>
        <w:tc>
          <w:tcPr>
            <w:tcW w:w="1276" w:type="dxa"/>
            <w:tcBorders>
              <w:top w:val="single" w:sz="4" w:space="0" w:color="808080" w:themeColor="background1" w:themeShade="80"/>
              <w:left w:val="nil"/>
              <w:bottom w:val="single" w:sz="4" w:space="0" w:color="808080" w:themeColor="background1" w:themeShade="80"/>
              <w:right w:val="nil"/>
            </w:tcBorders>
            <w:vAlign w:val="center"/>
          </w:tcPr>
          <w:p w14:paraId="01E5733E" w14:textId="77777777" w:rsidR="00EA2B5F" w:rsidRPr="00F25EBD" w:rsidRDefault="00EA2B5F" w:rsidP="008543EA">
            <w:pPr>
              <w:jc w:val="center"/>
              <w:rPr>
                <w:rFonts w:asciiTheme="majorHAnsi" w:hAnsiTheme="majorHAnsi" w:cstheme="majorHAnsi"/>
                <w:sz w:val="18"/>
                <w:szCs w:val="18"/>
              </w:rPr>
            </w:pPr>
            <w:r w:rsidRPr="00F25EBD">
              <w:rPr>
                <w:rFonts w:asciiTheme="majorHAnsi" w:hAnsiTheme="majorHAnsi" w:cstheme="majorHAnsi"/>
                <w:sz w:val="18"/>
                <w:szCs w:val="18"/>
              </w:rPr>
              <w:t>Działdowo</w:t>
            </w:r>
            <w:r w:rsidR="00336D76" w:rsidRPr="00F25EBD">
              <w:rPr>
                <w:rFonts w:asciiTheme="majorHAnsi" w:hAnsiTheme="majorHAnsi" w:cstheme="majorHAnsi"/>
                <w:sz w:val="18"/>
                <w:szCs w:val="18"/>
              </w:rPr>
              <w:t xml:space="preserve"> - </w:t>
            </w:r>
            <w:r w:rsidRPr="00F25EBD">
              <w:rPr>
                <w:rFonts w:asciiTheme="majorHAnsi" w:hAnsiTheme="majorHAnsi" w:cstheme="majorHAnsi"/>
                <w:sz w:val="18"/>
                <w:szCs w:val="18"/>
              </w:rPr>
              <w:t>Chojnice</w:t>
            </w:r>
          </w:p>
        </w:tc>
        <w:tc>
          <w:tcPr>
            <w:tcW w:w="1559" w:type="dxa"/>
            <w:tcBorders>
              <w:top w:val="single" w:sz="4" w:space="0" w:color="808080" w:themeColor="background1" w:themeShade="80"/>
              <w:left w:val="nil"/>
              <w:bottom w:val="single" w:sz="4" w:space="0" w:color="808080" w:themeColor="background1" w:themeShade="80"/>
              <w:right w:val="nil"/>
            </w:tcBorders>
            <w:vAlign w:val="center"/>
          </w:tcPr>
          <w:p w14:paraId="5A82B8B6" w14:textId="77777777" w:rsidR="00EA2B5F" w:rsidRPr="00F25EBD" w:rsidRDefault="00EA2B5F" w:rsidP="008543EA">
            <w:pPr>
              <w:jc w:val="center"/>
              <w:rPr>
                <w:rFonts w:asciiTheme="majorHAnsi" w:hAnsiTheme="majorHAnsi" w:cstheme="majorHAnsi"/>
                <w:sz w:val="18"/>
                <w:szCs w:val="18"/>
              </w:rPr>
            </w:pPr>
            <w:r w:rsidRPr="00F25EBD">
              <w:rPr>
                <w:rFonts w:asciiTheme="majorHAnsi" w:hAnsiTheme="majorHAnsi" w:cstheme="majorHAnsi"/>
                <w:sz w:val="18"/>
                <w:szCs w:val="18"/>
              </w:rPr>
              <w:t>regionalna</w:t>
            </w:r>
          </w:p>
        </w:tc>
        <w:tc>
          <w:tcPr>
            <w:tcW w:w="1985" w:type="dxa"/>
            <w:tcBorders>
              <w:top w:val="single" w:sz="4" w:space="0" w:color="808080" w:themeColor="background1" w:themeShade="80"/>
              <w:left w:val="nil"/>
              <w:bottom w:val="single" w:sz="4" w:space="0" w:color="808080" w:themeColor="background1" w:themeShade="80"/>
              <w:right w:val="nil"/>
            </w:tcBorders>
            <w:vAlign w:val="center"/>
          </w:tcPr>
          <w:p w14:paraId="63F4F7E2" w14:textId="77777777" w:rsidR="00EA2B5F" w:rsidRPr="00F25EBD" w:rsidRDefault="00EA2B5F" w:rsidP="008543EA">
            <w:pPr>
              <w:jc w:val="center"/>
              <w:rPr>
                <w:rFonts w:asciiTheme="majorHAnsi" w:hAnsiTheme="majorHAnsi" w:cstheme="majorHAnsi"/>
                <w:sz w:val="18"/>
                <w:szCs w:val="18"/>
              </w:rPr>
            </w:pPr>
            <w:r w:rsidRPr="00F25EBD">
              <w:rPr>
                <w:rFonts w:asciiTheme="majorHAnsi" w:hAnsiTheme="majorHAnsi" w:cstheme="majorHAnsi"/>
                <w:sz w:val="18"/>
                <w:szCs w:val="18"/>
              </w:rPr>
              <w:t>pierwszorzędna</w:t>
            </w:r>
          </w:p>
        </w:tc>
        <w:tc>
          <w:tcPr>
            <w:tcW w:w="3755" w:type="dxa"/>
            <w:tcBorders>
              <w:top w:val="single" w:sz="4" w:space="0" w:color="808080" w:themeColor="background1" w:themeShade="80"/>
              <w:left w:val="nil"/>
              <w:bottom w:val="single" w:sz="4" w:space="0" w:color="808080" w:themeColor="background1" w:themeShade="80"/>
              <w:right w:val="nil"/>
            </w:tcBorders>
            <w:vAlign w:val="center"/>
          </w:tcPr>
          <w:p w14:paraId="47D67ACF" w14:textId="77777777" w:rsidR="00EA2B5F" w:rsidRPr="00F25EBD" w:rsidRDefault="00EA2B5F" w:rsidP="008543EA">
            <w:pPr>
              <w:jc w:val="center"/>
              <w:rPr>
                <w:rFonts w:asciiTheme="majorHAnsi" w:hAnsiTheme="majorHAnsi" w:cstheme="majorHAnsi"/>
                <w:sz w:val="18"/>
                <w:szCs w:val="18"/>
              </w:rPr>
            </w:pPr>
            <w:r w:rsidRPr="00F25EBD">
              <w:rPr>
                <w:rFonts w:asciiTheme="majorHAnsi" w:hAnsiTheme="majorHAnsi" w:cstheme="majorHAnsi"/>
                <w:sz w:val="18"/>
                <w:szCs w:val="18"/>
              </w:rPr>
              <w:t>Niezelektryfikowana, 1 tor.</w:t>
            </w:r>
          </w:p>
          <w:p w14:paraId="0A322BA6" w14:textId="77777777" w:rsidR="00EA2B5F" w:rsidRPr="00F25EBD" w:rsidRDefault="00EA2B5F" w:rsidP="008543EA">
            <w:pPr>
              <w:jc w:val="center"/>
              <w:rPr>
                <w:rFonts w:asciiTheme="majorHAnsi" w:hAnsiTheme="majorHAnsi" w:cstheme="majorHAnsi"/>
                <w:sz w:val="18"/>
                <w:szCs w:val="18"/>
              </w:rPr>
            </w:pPr>
            <w:r w:rsidRPr="00F25EBD">
              <w:rPr>
                <w:rFonts w:asciiTheme="majorHAnsi" w:hAnsiTheme="majorHAnsi" w:cstheme="majorHAnsi"/>
                <w:sz w:val="18"/>
                <w:szCs w:val="18"/>
              </w:rPr>
              <w:t>Linia wyłączona z eksploatacji (tylko komercyjne przewozy towarowe).</w:t>
            </w:r>
          </w:p>
        </w:tc>
      </w:tr>
      <w:tr w:rsidR="00EA2B5F" w:rsidRPr="00F25EBD" w14:paraId="19556A46" w14:textId="77777777" w:rsidTr="008543EA">
        <w:trPr>
          <w:jc w:val="center"/>
        </w:trPr>
        <w:tc>
          <w:tcPr>
            <w:tcW w:w="637" w:type="dxa"/>
            <w:tcBorders>
              <w:top w:val="single" w:sz="4" w:space="0" w:color="808080" w:themeColor="background1" w:themeShade="80"/>
              <w:left w:val="nil"/>
              <w:bottom w:val="single" w:sz="4" w:space="0" w:color="808080" w:themeColor="background1" w:themeShade="80"/>
              <w:right w:val="nil"/>
            </w:tcBorders>
            <w:vAlign w:val="center"/>
          </w:tcPr>
          <w:p w14:paraId="2A19A799" w14:textId="77777777" w:rsidR="00EA2B5F" w:rsidRPr="00F25EBD" w:rsidRDefault="00EA2B5F" w:rsidP="008543EA">
            <w:pPr>
              <w:jc w:val="center"/>
              <w:rPr>
                <w:rFonts w:asciiTheme="majorHAnsi" w:hAnsiTheme="majorHAnsi" w:cstheme="majorHAnsi"/>
                <w:sz w:val="18"/>
                <w:szCs w:val="18"/>
              </w:rPr>
            </w:pPr>
            <w:r w:rsidRPr="00F25EBD">
              <w:rPr>
                <w:rFonts w:asciiTheme="majorHAnsi" w:hAnsiTheme="majorHAnsi" w:cstheme="majorHAnsi"/>
                <w:sz w:val="18"/>
                <w:szCs w:val="18"/>
              </w:rPr>
              <w:t>216</w:t>
            </w:r>
          </w:p>
        </w:tc>
        <w:tc>
          <w:tcPr>
            <w:tcW w:w="1276" w:type="dxa"/>
            <w:tcBorders>
              <w:top w:val="single" w:sz="4" w:space="0" w:color="808080" w:themeColor="background1" w:themeShade="80"/>
              <w:left w:val="nil"/>
              <w:bottom w:val="single" w:sz="4" w:space="0" w:color="808080" w:themeColor="background1" w:themeShade="80"/>
              <w:right w:val="nil"/>
            </w:tcBorders>
            <w:vAlign w:val="center"/>
          </w:tcPr>
          <w:p w14:paraId="353F7232" w14:textId="77777777" w:rsidR="00EA2B5F" w:rsidRPr="00F25EBD" w:rsidRDefault="00EA2B5F" w:rsidP="008543EA">
            <w:pPr>
              <w:jc w:val="center"/>
              <w:rPr>
                <w:rFonts w:asciiTheme="majorHAnsi" w:hAnsiTheme="majorHAnsi" w:cstheme="majorHAnsi"/>
                <w:sz w:val="18"/>
                <w:szCs w:val="18"/>
              </w:rPr>
            </w:pPr>
            <w:r w:rsidRPr="00F25EBD">
              <w:rPr>
                <w:rFonts w:asciiTheme="majorHAnsi" w:hAnsiTheme="majorHAnsi" w:cstheme="majorHAnsi"/>
                <w:sz w:val="18"/>
                <w:szCs w:val="18"/>
              </w:rPr>
              <w:t>Działdowo</w:t>
            </w:r>
            <w:r w:rsidR="00336D76" w:rsidRPr="00F25EBD">
              <w:rPr>
                <w:rFonts w:asciiTheme="majorHAnsi" w:hAnsiTheme="majorHAnsi" w:cstheme="majorHAnsi"/>
                <w:sz w:val="18"/>
                <w:szCs w:val="18"/>
              </w:rPr>
              <w:t xml:space="preserve"> - </w:t>
            </w:r>
            <w:r w:rsidRPr="00F25EBD">
              <w:rPr>
                <w:rFonts w:asciiTheme="majorHAnsi" w:hAnsiTheme="majorHAnsi" w:cstheme="majorHAnsi"/>
                <w:sz w:val="18"/>
                <w:szCs w:val="18"/>
              </w:rPr>
              <w:t>Olsztyn Główny</w:t>
            </w:r>
          </w:p>
        </w:tc>
        <w:tc>
          <w:tcPr>
            <w:tcW w:w="1559" w:type="dxa"/>
            <w:tcBorders>
              <w:top w:val="single" w:sz="4" w:space="0" w:color="808080" w:themeColor="background1" w:themeShade="80"/>
              <w:left w:val="nil"/>
              <w:bottom w:val="single" w:sz="4" w:space="0" w:color="808080" w:themeColor="background1" w:themeShade="80"/>
              <w:right w:val="nil"/>
            </w:tcBorders>
            <w:vAlign w:val="center"/>
          </w:tcPr>
          <w:p w14:paraId="5E0CCB4B" w14:textId="77777777" w:rsidR="00EA2B5F" w:rsidRPr="00F25EBD" w:rsidRDefault="00EA2B5F" w:rsidP="008543EA">
            <w:pPr>
              <w:jc w:val="center"/>
              <w:rPr>
                <w:rFonts w:asciiTheme="majorHAnsi" w:hAnsiTheme="majorHAnsi" w:cstheme="majorHAnsi"/>
                <w:sz w:val="18"/>
                <w:szCs w:val="18"/>
              </w:rPr>
            </w:pPr>
            <w:r w:rsidRPr="00F25EBD">
              <w:rPr>
                <w:rFonts w:asciiTheme="majorHAnsi" w:hAnsiTheme="majorHAnsi" w:cstheme="majorHAnsi"/>
                <w:sz w:val="18"/>
                <w:szCs w:val="18"/>
              </w:rPr>
              <w:t>państwowa</w:t>
            </w:r>
          </w:p>
        </w:tc>
        <w:tc>
          <w:tcPr>
            <w:tcW w:w="1985" w:type="dxa"/>
            <w:tcBorders>
              <w:top w:val="single" w:sz="4" w:space="0" w:color="808080" w:themeColor="background1" w:themeShade="80"/>
              <w:left w:val="nil"/>
              <w:bottom w:val="single" w:sz="4" w:space="0" w:color="808080" w:themeColor="background1" w:themeShade="80"/>
              <w:right w:val="nil"/>
            </w:tcBorders>
            <w:vAlign w:val="center"/>
          </w:tcPr>
          <w:p w14:paraId="2BDFE200" w14:textId="77777777" w:rsidR="00EA2B5F" w:rsidRPr="00F25EBD" w:rsidRDefault="00EA2B5F" w:rsidP="008543EA">
            <w:pPr>
              <w:jc w:val="center"/>
              <w:rPr>
                <w:rFonts w:asciiTheme="majorHAnsi" w:hAnsiTheme="majorHAnsi" w:cstheme="majorHAnsi"/>
                <w:sz w:val="18"/>
                <w:szCs w:val="18"/>
              </w:rPr>
            </w:pPr>
            <w:r w:rsidRPr="00F25EBD">
              <w:rPr>
                <w:rFonts w:asciiTheme="majorHAnsi" w:hAnsiTheme="majorHAnsi" w:cstheme="majorHAnsi"/>
                <w:sz w:val="18"/>
                <w:szCs w:val="18"/>
              </w:rPr>
              <w:t>pierwszorzędna</w:t>
            </w:r>
          </w:p>
        </w:tc>
        <w:tc>
          <w:tcPr>
            <w:tcW w:w="3755" w:type="dxa"/>
            <w:tcBorders>
              <w:top w:val="single" w:sz="4" w:space="0" w:color="808080" w:themeColor="background1" w:themeShade="80"/>
              <w:left w:val="nil"/>
              <w:bottom w:val="single" w:sz="4" w:space="0" w:color="808080" w:themeColor="background1" w:themeShade="80"/>
              <w:right w:val="nil"/>
            </w:tcBorders>
            <w:vAlign w:val="center"/>
          </w:tcPr>
          <w:p w14:paraId="46EDE71A" w14:textId="77777777" w:rsidR="00EA2B5F" w:rsidRPr="00F25EBD" w:rsidRDefault="00EA2B5F" w:rsidP="008543EA">
            <w:pPr>
              <w:jc w:val="center"/>
              <w:rPr>
                <w:rFonts w:asciiTheme="majorHAnsi" w:hAnsiTheme="majorHAnsi" w:cstheme="majorHAnsi"/>
                <w:sz w:val="18"/>
                <w:szCs w:val="18"/>
              </w:rPr>
            </w:pPr>
            <w:r w:rsidRPr="00F25EBD">
              <w:rPr>
                <w:rFonts w:asciiTheme="majorHAnsi" w:hAnsiTheme="majorHAnsi" w:cstheme="majorHAnsi"/>
                <w:sz w:val="18"/>
                <w:szCs w:val="18"/>
              </w:rPr>
              <w:t>Zelektryfikowana, 1 tor.</w:t>
            </w:r>
          </w:p>
          <w:p w14:paraId="2FC7A6C4" w14:textId="77777777" w:rsidR="00EA2B5F" w:rsidRPr="00F25EBD" w:rsidRDefault="00EA2B5F" w:rsidP="008543EA">
            <w:pPr>
              <w:jc w:val="center"/>
              <w:rPr>
                <w:rFonts w:asciiTheme="majorHAnsi" w:hAnsiTheme="majorHAnsi" w:cstheme="majorHAnsi"/>
                <w:sz w:val="18"/>
                <w:szCs w:val="18"/>
              </w:rPr>
            </w:pPr>
            <w:r w:rsidRPr="00F25EBD">
              <w:rPr>
                <w:rFonts w:asciiTheme="majorHAnsi" w:hAnsiTheme="majorHAnsi" w:cstheme="majorHAnsi"/>
                <w:sz w:val="18"/>
                <w:szCs w:val="18"/>
              </w:rPr>
              <w:t>Przewozy osobowe i towarowe.</w:t>
            </w:r>
          </w:p>
        </w:tc>
      </w:tr>
      <w:tr w:rsidR="00EA2B5F" w:rsidRPr="00F25EBD" w14:paraId="748E0A11" w14:textId="77777777" w:rsidTr="008543EA">
        <w:trPr>
          <w:jc w:val="center"/>
        </w:trPr>
        <w:tc>
          <w:tcPr>
            <w:tcW w:w="637" w:type="dxa"/>
            <w:tcBorders>
              <w:top w:val="single" w:sz="4" w:space="0" w:color="808080" w:themeColor="background1" w:themeShade="80"/>
              <w:left w:val="nil"/>
              <w:bottom w:val="single" w:sz="4" w:space="0" w:color="808080" w:themeColor="background1" w:themeShade="80"/>
              <w:right w:val="nil"/>
            </w:tcBorders>
            <w:vAlign w:val="center"/>
          </w:tcPr>
          <w:p w14:paraId="7CDAB453" w14:textId="77777777" w:rsidR="00EA2B5F" w:rsidRPr="00F25EBD" w:rsidRDefault="00EA2B5F" w:rsidP="008543EA">
            <w:pPr>
              <w:jc w:val="center"/>
              <w:rPr>
                <w:rFonts w:asciiTheme="majorHAnsi" w:hAnsiTheme="majorHAnsi" w:cstheme="majorHAnsi"/>
                <w:sz w:val="18"/>
                <w:szCs w:val="18"/>
              </w:rPr>
            </w:pPr>
            <w:r w:rsidRPr="00F25EBD">
              <w:rPr>
                <w:rFonts w:asciiTheme="majorHAnsi" w:hAnsiTheme="majorHAnsi" w:cstheme="majorHAnsi"/>
                <w:sz w:val="18"/>
                <w:szCs w:val="18"/>
              </w:rPr>
              <w:t>223</w:t>
            </w:r>
          </w:p>
        </w:tc>
        <w:tc>
          <w:tcPr>
            <w:tcW w:w="1276" w:type="dxa"/>
            <w:tcBorders>
              <w:top w:val="single" w:sz="4" w:space="0" w:color="808080" w:themeColor="background1" w:themeShade="80"/>
              <w:left w:val="nil"/>
              <w:bottom w:val="single" w:sz="4" w:space="0" w:color="808080" w:themeColor="background1" w:themeShade="80"/>
              <w:right w:val="nil"/>
            </w:tcBorders>
            <w:vAlign w:val="center"/>
          </w:tcPr>
          <w:p w14:paraId="6D44DD7E" w14:textId="77777777" w:rsidR="00EA2B5F" w:rsidRPr="00F25EBD" w:rsidRDefault="00EA2B5F" w:rsidP="008543EA">
            <w:pPr>
              <w:jc w:val="center"/>
              <w:rPr>
                <w:rFonts w:asciiTheme="majorHAnsi" w:hAnsiTheme="majorHAnsi" w:cstheme="majorHAnsi"/>
                <w:sz w:val="18"/>
                <w:szCs w:val="18"/>
              </w:rPr>
            </w:pPr>
            <w:r w:rsidRPr="00F25EBD">
              <w:rPr>
                <w:rFonts w:asciiTheme="majorHAnsi" w:hAnsiTheme="majorHAnsi" w:cstheme="majorHAnsi"/>
                <w:sz w:val="18"/>
                <w:szCs w:val="18"/>
              </w:rPr>
              <w:t>Czerwonka</w:t>
            </w:r>
            <w:r w:rsidR="00336D76" w:rsidRPr="00F25EBD">
              <w:rPr>
                <w:rFonts w:asciiTheme="majorHAnsi" w:hAnsiTheme="majorHAnsi" w:cstheme="majorHAnsi"/>
                <w:sz w:val="18"/>
                <w:szCs w:val="18"/>
              </w:rPr>
              <w:t xml:space="preserve"> - </w:t>
            </w:r>
            <w:r w:rsidRPr="00F25EBD">
              <w:rPr>
                <w:rFonts w:asciiTheme="majorHAnsi" w:hAnsiTheme="majorHAnsi" w:cstheme="majorHAnsi"/>
                <w:sz w:val="18"/>
                <w:szCs w:val="18"/>
              </w:rPr>
              <w:t>Ełk</w:t>
            </w:r>
          </w:p>
        </w:tc>
        <w:tc>
          <w:tcPr>
            <w:tcW w:w="1559" w:type="dxa"/>
            <w:tcBorders>
              <w:top w:val="single" w:sz="4" w:space="0" w:color="808080" w:themeColor="background1" w:themeShade="80"/>
              <w:left w:val="nil"/>
              <w:bottom w:val="single" w:sz="4" w:space="0" w:color="808080" w:themeColor="background1" w:themeShade="80"/>
              <w:right w:val="nil"/>
            </w:tcBorders>
            <w:vAlign w:val="center"/>
          </w:tcPr>
          <w:p w14:paraId="05F22908" w14:textId="77777777" w:rsidR="00EA2B5F" w:rsidRPr="00F25EBD" w:rsidRDefault="00EA2B5F" w:rsidP="008543EA">
            <w:pPr>
              <w:jc w:val="center"/>
              <w:rPr>
                <w:rFonts w:asciiTheme="majorHAnsi" w:hAnsiTheme="majorHAnsi" w:cstheme="majorHAnsi"/>
                <w:sz w:val="18"/>
                <w:szCs w:val="18"/>
              </w:rPr>
            </w:pPr>
            <w:r w:rsidRPr="00F25EBD">
              <w:rPr>
                <w:rFonts w:asciiTheme="majorHAnsi" w:hAnsiTheme="majorHAnsi" w:cstheme="majorHAnsi"/>
                <w:sz w:val="18"/>
                <w:szCs w:val="18"/>
              </w:rPr>
              <w:t>państwowa (Orzysz</w:t>
            </w:r>
            <w:r w:rsidR="00336D76" w:rsidRPr="00F25EBD">
              <w:rPr>
                <w:rFonts w:asciiTheme="majorHAnsi" w:hAnsiTheme="majorHAnsi" w:cstheme="majorHAnsi"/>
                <w:sz w:val="18"/>
                <w:szCs w:val="18"/>
              </w:rPr>
              <w:t xml:space="preserve"> - </w:t>
            </w:r>
            <w:r w:rsidRPr="00F25EBD">
              <w:rPr>
                <w:rFonts w:asciiTheme="majorHAnsi" w:hAnsiTheme="majorHAnsi" w:cstheme="majorHAnsi"/>
                <w:sz w:val="18"/>
                <w:szCs w:val="18"/>
              </w:rPr>
              <w:t>Ełk); regionalna (Czerwonka</w:t>
            </w:r>
            <w:r w:rsidR="00336D76" w:rsidRPr="00F25EBD">
              <w:rPr>
                <w:rFonts w:asciiTheme="majorHAnsi" w:hAnsiTheme="majorHAnsi" w:cstheme="majorHAnsi"/>
                <w:sz w:val="18"/>
                <w:szCs w:val="18"/>
              </w:rPr>
              <w:t xml:space="preserve"> - </w:t>
            </w:r>
            <w:r w:rsidRPr="00F25EBD">
              <w:rPr>
                <w:rFonts w:asciiTheme="majorHAnsi" w:hAnsiTheme="majorHAnsi" w:cstheme="majorHAnsi"/>
                <w:sz w:val="18"/>
                <w:szCs w:val="18"/>
              </w:rPr>
              <w:t>Orzysz)</w:t>
            </w:r>
          </w:p>
        </w:tc>
        <w:tc>
          <w:tcPr>
            <w:tcW w:w="1985" w:type="dxa"/>
            <w:tcBorders>
              <w:top w:val="single" w:sz="4" w:space="0" w:color="808080" w:themeColor="background1" w:themeShade="80"/>
              <w:left w:val="nil"/>
              <w:bottom w:val="single" w:sz="4" w:space="0" w:color="808080" w:themeColor="background1" w:themeShade="80"/>
              <w:right w:val="nil"/>
            </w:tcBorders>
            <w:vAlign w:val="center"/>
          </w:tcPr>
          <w:p w14:paraId="361CCDEE" w14:textId="77777777" w:rsidR="00EA2B5F" w:rsidRPr="00F25EBD" w:rsidRDefault="00EA2B5F" w:rsidP="008543EA">
            <w:pPr>
              <w:jc w:val="center"/>
              <w:rPr>
                <w:rFonts w:asciiTheme="majorHAnsi" w:hAnsiTheme="majorHAnsi" w:cstheme="majorHAnsi"/>
                <w:sz w:val="18"/>
                <w:szCs w:val="18"/>
              </w:rPr>
            </w:pPr>
            <w:r w:rsidRPr="00F25EBD">
              <w:rPr>
                <w:rFonts w:asciiTheme="majorHAnsi" w:hAnsiTheme="majorHAnsi" w:cstheme="majorHAnsi"/>
                <w:sz w:val="18"/>
                <w:szCs w:val="18"/>
              </w:rPr>
              <w:t>drugorzędna</w:t>
            </w:r>
          </w:p>
        </w:tc>
        <w:tc>
          <w:tcPr>
            <w:tcW w:w="3755" w:type="dxa"/>
            <w:tcBorders>
              <w:top w:val="single" w:sz="4" w:space="0" w:color="808080" w:themeColor="background1" w:themeShade="80"/>
              <w:left w:val="nil"/>
              <w:bottom w:val="single" w:sz="4" w:space="0" w:color="808080" w:themeColor="background1" w:themeShade="80"/>
              <w:right w:val="nil"/>
            </w:tcBorders>
            <w:vAlign w:val="center"/>
          </w:tcPr>
          <w:p w14:paraId="0A14FBE1" w14:textId="77777777" w:rsidR="00EA2B5F" w:rsidRPr="00F25EBD" w:rsidRDefault="00EA2B5F" w:rsidP="008543EA">
            <w:pPr>
              <w:jc w:val="center"/>
              <w:rPr>
                <w:rFonts w:asciiTheme="majorHAnsi" w:hAnsiTheme="majorHAnsi" w:cstheme="majorHAnsi"/>
                <w:sz w:val="18"/>
                <w:szCs w:val="18"/>
              </w:rPr>
            </w:pPr>
            <w:r w:rsidRPr="00F25EBD">
              <w:rPr>
                <w:rFonts w:asciiTheme="majorHAnsi" w:hAnsiTheme="majorHAnsi" w:cstheme="majorHAnsi"/>
                <w:sz w:val="18"/>
                <w:szCs w:val="18"/>
              </w:rPr>
              <w:t>Niezelektryfikowana, 1 tor.</w:t>
            </w:r>
          </w:p>
          <w:p w14:paraId="620FA71A" w14:textId="77777777" w:rsidR="00EA2B5F" w:rsidRPr="00F25EBD" w:rsidRDefault="00EA2B5F" w:rsidP="008543EA">
            <w:pPr>
              <w:jc w:val="center"/>
              <w:rPr>
                <w:rFonts w:asciiTheme="majorHAnsi" w:hAnsiTheme="majorHAnsi" w:cstheme="majorHAnsi"/>
                <w:sz w:val="18"/>
                <w:szCs w:val="18"/>
              </w:rPr>
            </w:pPr>
            <w:r w:rsidRPr="00F25EBD">
              <w:rPr>
                <w:rFonts w:asciiTheme="majorHAnsi" w:hAnsiTheme="majorHAnsi" w:cstheme="majorHAnsi"/>
                <w:sz w:val="18"/>
                <w:szCs w:val="18"/>
              </w:rPr>
              <w:t>Przewozy towarowe na odcinku Orzysz</w:t>
            </w:r>
            <w:r w:rsidR="00336D76" w:rsidRPr="00F25EBD">
              <w:rPr>
                <w:rFonts w:asciiTheme="majorHAnsi" w:hAnsiTheme="majorHAnsi" w:cstheme="majorHAnsi"/>
                <w:sz w:val="18"/>
                <w:szCs w:val="18"/>
              </w:rPr>
              <w:t xml:space="preserve"> - </w:t>
            </w:r>
            <w:r w:rsidRPr="00F25EBD">
              <w:rPr>
                <w:rFonts w:asciiTheme="majorHAnsi" w:hAnsiTheme="majorHAnsi" w:cstheme="majorHAnsi"/>
                <w:sz w:val="18"/>
                <w:szCs w:val="18"/>
              </w:rPr>
              <w:t>Ełk, przewozy osobowe</w:t>
            </w:r>
          </w:p>
          <w:p w14:paraId="0D8A6B69" w14:textId="77777777" w:rsidR="00EA2B5F" w:rsidRPr="00F25EBD" w:rsidRDefault="00EA2B5F" w:rsidP="008543EA">
            <w:pPr>
              <w:jc w:val="center"/>
              <w:rPr>
                <w:rFonts w:asciiTheme="majorHAnsi" w:hAnsiTheme="majorHAnsi" w:cstheme="majorHAnsi"/>
                <w:sz w:val="18"/>
                <w:szCs w:val="18"/>
              </w:rPr>
            </w:pPr>
            <w:r w:rsidRPr="00F25EBD">
              <w:rPr>
                <w:rFonts w:asciiTheme="majorHAnsi" w:hAnsiTheme="majorHAnsi" w:cstheme="majorHAnsi"/>
                <w:sz w:val="18"/>
                <w:szCs w:val="18"/>
              </w:rPr>
              <w:t>zawieszone na całej długości, linia wyłączona z eksploatacji na odcinku</w:t>
            </w:r>
          </w:p>
          <w:p w14:paraId="12476241" w14:textId="77777777" w:rsidR="00EA2B5F" w:rsidRPr="00F25EBD" w:rsidRDefault="00EA2B5F" w:rsidP="008543EA">
            <w:pPr>
              <w:jc w:val="center"/>
              <w:rPr>
                <w:rFonts w:asciiTheme="majorHAnsi" w:hAnsiTheme="majorHAnsi" w:cstheme="majorHAnsi"/>
                <w:sz w:val="18"/>
                <w:szCs w:val="18"/>
              </w:rPr>
            </w:pPr>
            <w:r w:rsidRPr="00F25EBD">
              <w:rPr>
                <w:rFonts w:asciiTheme="majorHAnsi" w:hAnsiTheme="majorHAnsi" w:cstheme="majorHAnsi"/>
                <w:sz w:val="18"/>
                <w:szCs w:val="18"/>
              </w:rPr>
              <w:t>Czerwonka</w:t>
            </w:r>
            <w:r w:rsidR="00336D76" w:rsidRPr="00F25EBD">
              <w:rPr>
                <w:rFonts w:asciiTheme="majorHAnsi" w:hAnsiTheme="majorHAnsi" w:cstheme="majorHAnsi"/>
                <w:sz w:val="18"/>
                <w:szCs w:val="18"/>
              </w:rPr>
              <w:t xml:space="preserve"> - </w:t>
            </w:r>
            <w:r w:rsidRPr="00F25EBD">
              <w:rPr>
                <w:rFonts w:asciiTheme="majorHAnsi" w:hAnsiTheme="majorHAnsi" w:cstheme="majorHAnsi"/>
                <w:sz w:val="18"/>
                <w:szCs w:val="18"/>
              </w:rPr>
              <w:t>Orzysz (na odcinku Czerwonka</w:t>
            </w:r>
            <w:r w:rsidR="00336D76" w:rsidRPr="00F25EBD">
              <w:rPr>
                <w:rFonts w:asciiTheme="majorHAnsi" w:hAnsiTheme="majorHAnsi" w:cstheme="majorHAnsi"/>
                <w:sz w:val="18"/>
                <w:szCs w:val="18"/>
              </w:rPr>
              <w:t xml:space="preserve"> - </w:t>
            </w:r>
            <w:r w:rsidRPr="00F25EBD">
              <w:rPr>
                <w:rFonts w:asciiTheme="majorHAnsi" w:hAnsiTheme="majorHAnsi" w:cstheme="majorHAnsi"/>
                <w:sz w:val="18"/>
                <w:szCs w:val="18"/>
              </w:rPr>
              <w:t>Mrągowo przewozy</w:t>
            </w:r>
          </w:p>
          <w:p w14:paraId="5791198D" w14:textId="77777777" w:rsidR="00EA2B5F" w:rsidRPr="00F25EBD" w:rsidRDefault="00EA2B5F" w:rsidP="008543EA">
            <w:pPr>
              <w:jc w:val="center"/>
              <w:rPr>
                <w:rFonts w:asciiTheme="majorHAnsi" w:hAnsiTheme="majorHAnsi" w:cstheme="majorHAnsi"/>
                <w:sz w:val="18"/>
                <w:szCs w:val="18"/>
              </w:rPr>
            </w:pPr>
            <w:r w:rsidRPr="00F25EBD">
              <w:rPr>
                <w:rFonts w:asciiTheme="majorHAnsi" w:hAnsiTheme="majorHAnsi" w:cstheme="majorHAnsi"/>
                <w:sz w:val="18"/>
                <w:szCs w:val="18"/>
              </w:rPr>
              <w:t>towarowe komercyjne).</w:t>
            </w:r>
          </w:p>
        </w:tc>
      </w:tr>
      <w:tr w:rsidR="00EA2B5F" w:rsidRPr="00F25EBD" w14:paraId="7472EAC1" w14:textId="77777777" w:rsidTr="008543EA">
        <w:trPr>
          <w:jc w:val="center"/>
        </w:trPr>
        <w:tc>
          <w:tcPr>
            <w:tcW w:w="637" w:type="dxa"/>
            <w:tcBorders>
              <w:top w:val="single" w:sz="4" w:space="0" w:color="808080" w:themeColor="background1" w:themeShade="80"/>
              <w:left w:val="nil"/>
              <w:bottom w:val="single" w:sz="4" w:space="0" w:color="808080" w:themeColor="background1" w:themeShade="80"/>
              <w:right w:val="nil"/>
            </w:tcBorders>
            <w:vAlign w:val="center"/>
          </w:tcPr>
          <w:p w14:paraId="082511D6" w14:textId="77777777" w:rsidR="00EA2B5F" w:rsidRPr="00F25EBD" w:rsidRDefault="00EA2B5F" w:rsidP="008543EA">
            <w:pPr>
              <w:jc w:val="center"/>
              <w:rPr>
                <w:rFonts w:asciiTheme="majorHAnsi" w:hAnsiTheme="majorHAnsi" w:cstheme="majorHAnsi"/>
                <w:sz w:val="18"/>
                <w:szCs w:val="18"/>
              </w:rPr>
            </w:pPr>
            <w:r w:rsidRPr="00F25EBD">
              <w:rPr>
                <w:rFonts w:asciiTheme="majorHAnsi" w:hAnsiTheme="majorHAnsi" w:cstheme="majorHAnsi"/>
                <w:sz w:val="18"/>
                <w:szCs w:val="18"/>
              </w:rPr>
              <w:t>225</w:t>
            </w:r>
          </w:p>
        </w:tc>
        <w:tc>
          <w:tcPr>
            <w:tcW w:w="1276" w:type="dxa"/>
            <w:tcBorders>
              <w:top w:val="single" w:sz="4" w:space="0" w:color="808080" w:themeColor="background1" w:themeShade="80"/>
              <w:left w:val="nil"/>
              <w:bottom w:val="single" w:sz="4" w:space="0" w:color="808080" w:themeColor="background1" w:themeShade="80"/>
              <w:right w:val="nil"/>
            </w:tcBorders>
            <w:vAlign w:val="center"/>
          </w:tcPr>
          <w:p w14:paraId="1129E256" w14:textId="77777777" w:rsidR="00EA2B5F" w:rsidRPr="00F25EBD" w:rsidRDefault="00EA2B5F" w:rsidP="008543EA">
            <w:pPr>
              <w:jc w:val="center"/>
              <w:rPr>
                <w:rFonts w:asciiTheme="majorHAnsi" w:hAnsiTheme="majorHAnsi" w:cstheme="majorHAnsi"/>
                <w:sz w:val="18"/>
                <w:szCs w:val="18"/>
              </w:rPr>
            </w:pPr>
            <w:r w:rsidRPr="00F25EBD">
              <w:rPr>
                <w:rFonts w:asciiTheme="majorHAnsi" w:hAnsiTheme="majorHAnsi" w:cstheme="majorHAnsi"/>
                <w:sz w:val="18"/>
                <w:szCs w:val="18"/>
              </w:rPr>
              <w:t>Nidzica</w:t>
            </w:r>
            <w:r w:rsidR="00336D76" w:rsidRPr="00F25EBD">
              <w:rPr>
                <w:rFonts w:asciiTheme="majorHAnsi" w:hAnsiTheme="majorHAnsi" w:cstheme="majorHAnsi"/>
                <w:sz w:val="18"/>
                <w:szCs w:val="18"/>
              </w:rPr>
              <w:t xml:space="preserve"> - </w:t>
            </w:r>
            <w:r w:rsidRPr="00F25EBD">
              <w:rPr>
                <w:rFonts w:asciiTheme="majorHAnsi" w:hAnsiTheme="majorHAnsi" w:cstheme="majorHAnsi"/>
                <w:sz w:val="18"/>
                <w:szCs w:val="18"/>
              </w:rPr>
              <w:t>Wielbark</w:t>
            </w:r>
          </w:p>
        </w:tc>
        <w:tc>
          <w:tcPr>
            <w:tcW w:w="1559" w:type="dxa"/>
            <w:tcBorders>
              <w:top w:val="single" w:sz="4" w:space="0" w:color="808080" w:themeColor="background1" w:themeShade="80"/>
              <w:left w:val="nil"/>
              <w:bottom w:val="single" w:sz="4" w:space="0" w:color="808080" w:themeColor="background1" w:themeShade="80"/>
              <w:right w:val="nil"/>
            </w:tcBorders>
            <w:vAlign w:val="center"/>
          </w:tcPr>
          <w:p w14:paraId="0EDCBB70" w14:textId="77777777" w:rsidR="00EA2B5F" w:rsidRPr="00F25EBD" w:rsidRDefault="00EA2B5F" w:rsidP="008543EA">
            <w:pPr>
              <w:jc w:val="center"/>
              <w:rPr>
                <w:rFonts w:asciiTheme="majorHAnsi" w:hAnsiTheme="majorHAnsi" w:cstheme="majorHAnsi"/>
                <w:sz w:val="18"/>
                <w:szCs w:val="18"/>
              </w:rPr>
            </w:pPr>
            <w:r w:rsidRPr="00F25EBD">
              <w:rPr>
                <w:rFonts w:asciiTheme="majorHAnsi" w:hAnsiTheme="majorHAnsi" w:cstheme="majorHAnsi"/>
                <w:sz w:val="18"/>
                <w:szCs w:val="18"/>
              </w:rPr>
              <w:t>regionalna</w:t>
            </w:r>
          </w:p>
        </w:tc>
        <w:tc>
          <w:tcPr>
            <w:tcW w:w="1985" w:type="dxa"/>
            <w:tcBorders>
              <w:top w:val="single" w:sz="4" w:space="0" w:color="808080" w:themeColor="background1" w:themeShade="80"/>
              <w:left w:val="nil"/>
              <w:bottom w:val="single" w:sz="4" w:space="0" w:color="808080" w:themeColor="background1" w:themeShade="80"/>
              <w:right w:val="nil"/>
            </w:tcBorders>
            <w:vAlign w:val="center"/>
          </w:tcPr>
          <w:p w14:paraId="450F6206" w14:textId="77777777" w:rsidR="00EA2B5F" w:rsidRPr="00F25EBD" w:rsidRDefault="00EA2B5F" w:rsidP="008543EA">
            <w:pPr>
              <w:jc w:val="center"/>
              <w:rPr>
                <w:rFonts w:asciiTheme="majorHAnsi" w:hAnsiTheme="majorHAnsi" w:cstheme="majorHAnsi"/>
                <w:sz w:val="18"/>
                <w:szCs w:val="18"/>
              </w:rPr>
            </w:pPr>
            <w:r w:rsidRPr="00F25EBD">
              <w:rPr>
                <w:rFonts w:asciiTheme="majorHAnsi" w:hAnsiTheme="majorHAnsi" w:cstheme="majorHAnsi"/>
                <w:sz w:val="18"/>
                <w:szCs w:val="18"/>
              </w:rPr>
              <w:t>pierwszorzędna</w:t>
            </w:r>
          </w:p>
        </w:tc>
        <w:tc>
          <w:tcPr>
            <w:tcW w:w="3755" w:type="dxa"/>
            <w:tcBorders>
              <w:top w:val="single" w:sz="4" w:space="0" w:color="808080" w:themeColor="background1" w:themeShade="80"/>
              <w:left w:val="nil"/>
              <w:bottom w:val="single" w:sz="4" w:space="0" w:color="808080" w:themeColor="background1" w:themeShade="80"/>
              <w:right w:val="nil"/>
            </w:tcBorders>
            <w:vAlign w:val="center"/>
          </w:tcPr>
          <w:p w14:paraId="7A304BB4" w14:textId="77777777" w:rsidR="00EA2B5F" w:rsidRPr="00F25EBD" w:rsidRDefault="00EA2B5F" w:rsidP="008543EA">
            <w:pPr>
              <w:jc w:val="center"/>
              <w:rPr>
                <w:rFonts w:asciiTheme="majorHAnsi" w:hAnsiTheme="majorHAnsi" w:cstheme="majorHAnsi"/>
                <w:sz w:val="18"/>
                <w:szCs w:val="18"/>
              </w:rPr>
            </w:pPr>
            <w:r w:rsidRPr="00F25EBD">
              <w:rPr>
                <w:rFonts w:asciiTheme="majorHAnsi" w:hAnsiTheme="majorHAnsi" w:cstheme="majorHAnsi"/>
                <w:sz w:val="18"/>
                <w:szCs w:val="18"/>
              </w:rPr>
              <w:t>Niezelektryfikowana, 1 tor.</w:t>
            </w:r>
          </w:p>
          <w:p w14:paraId="29D53C31" w14:textId="77777777" w:rsidR="00EA2B5F" w:rsidRPr="00F25EBD" w:rsidRDefault="00EA2B5F" w:rsidP="008543EA">
            <w:pPr>
              <w:jc w:val="center"/>
              <w:rPr>
                <w:rFonts w:asciiTheme="majorHAnsi" w:hAnsiTheme="majorHAnsi" w:cstheme="majorHAnsi"/>
                <w:sz w:val="18"/>
                <w:szCs w:val="18"/>
              </w:rPr>
            </w:pPr>
            <w:r w:rsidRPr="00F25EBD">
              <w:rPr>
                <w:rFonts w:asciiTheme="majorHAnsi" w:hAnsiTheme="majorHAnsi" w:cstheme="majorHAnsi"/>
                <w:sz w:val="18"/>
                <w:szCs w:val="18"/>
              </w:rPr>
              <w:t>Linia wyłączona z eksploatacji.</w:t>
            </w:r>
          </w:p>
        </w:tc>
      </w:tr>
    </w:tbl>
    <w:p w14:paraId="77A4EED6" w14:textId="77777777" w:rsidR="00EA2B5F" w:rsidRPr="00F25EBD" w:rsidRDefault="00EA2B5F" w:rsidP="008543EA">
      <w:pPr>
        <w:pStyle w:val="rdo"/>
      </w:pPr>
      <w:r w:rsidRPr="00F25EBD">
        <w:t xml:space="preserve">Źródło: </w:t>
      </w:r>
      <w:r w:rsidRPr="00F25EBD">
        <w:rPr>
          <w:iCs/>
        </w:rPr>
        <w:t>Plan Zagospodarowania Przestrzennego Województwa Warmińsko-Mazurskiego</w:t>
      </w:r>
      <w:r w:rsidRPr="00F25EBD">
        <w:t>. 2018. Warmińsko-Mazurskie Biuro Planowania Przestrzennego, Olsztyn.</w:t>
      </w:r>
    </w:p>
    <w:p w14:paraId="0D6B8A58" w14:textId="77777777" w:rsidR="00EA2B5F" w:rsidRPr="00F25EBD" w:rsidRDefault="00EA2B5F" w:rsidP="00FC7062">
      <w:pPr>
        <w:spacing w:after="0" w:line="276" w:lineRule="auto"/>
        <w:jc w:val="both"/>
        <w:rPr>
          <w:rFonts w:asciiTheme="majorHAnsi" w:hAnsiTheme="majorHAnsi" w:cstheme="majorHAnsi"/>
        </w:rPr>
      </w:pPr>
    </w:p>
    <w:p w14:paraId="71A71C85" w14:textId="77777777" w:rsidR="00EA2B5F" w:rsidRPr="00F25EBD" w:rsidRDefault="00EA2B5F" w:rsidP="008A3FED">
      <w:pPr>
        <w:spacing w:line="276" w:lineRule="auto"/>
        <w:jc w:val="both"/>
        <w:rPr>
          <w:rFonts w:asciiTheme="majorHAnsi" w:hAnsiTheme="majorHAnsi" w:cstheme="majorHAnsi"/>
        </w:rPr>
      </w:pPr>
      <w:r w:rsidRPr="00F25EBD">
        <w:rPr>
          <w:rFonts w:asciiTheme="majorHAnsi" w:hAnsiTheme="majorHAnsi" w:cstheme="majorHAnsi"/>
        </w:rPr>
        <w:t>Najistotniejszymi stacjami dla obsługi ruchu towarowego są: Lidzbark, Działdowo i Nidzica, a dla obsługi ruchu osobowego: Działdowo, Szczytno i Nidzica.</w:t>
      </w:r>
    </w:p>
    <w:p w14:paraId="57C263DB" w14:textId="77777777" w:rsidR="00EA2B5F" w:rsidRPr="00F25EBD" w:rsidRDefault="00EA2B5F" w:rsidP="0054382A">
      <w:pPr>
        <w:spacing w:after="0" w:line="276" w:lineRule="auto"/>
        <w:jc w:val="both"/>
        <w:rPr>
          <w:rFonts w:asciiTheme="majorHAnsi" w:hAnsiTheme="majorHAnsi" w:cstheme="majorHAnsi"/>
        </w:rPr>
      </w:pPr>
      <w:r w:rsidRPr="00F25EBD">
        <w:rPr>
          <w:rFonts w:asciiTheme="majorHAnsi" w:hAnsiTheme="majorHAnsi" w:cstheme="majorHAnsi"/>
        </w:rPr>
        <w:t>Do najważniejszych działań inwestycyjnych w zakresie modernizacji linii kolejowej można zaliczyć:</w:t>
      </w:r>
    </w:p>
    <w:p w14:paraId="577DA505" w14:textId="77777777" w:rsidR="00EA2B5F" w:rsidRPr="00F25EBD" w:rsidRDefault="00EA2B5F" w:rsidP="0054382A">
      <w:pPr>
        <w:pStyle w:val="Akapitzlist"/>
        <w:numPr>
          <w:ilvl w:val="0"/>
          <w:numId w:val="39"/>
        </w:numPr>
        <w:spacing w:after="0" w:line="276" w:lineRule="auto"/>
        <w:jc w:val="both"/>
        <w:rPr>
          <w:rFonts w:asciiTheme="majorHAnsi" w:hAnsiTheme="majorHAnsi" w:cstheme="majorHAnsi"/>
        </w:rPr>
      </w:pPr>
      <w:r w:rsidRPr="00F25EBD">
        <w:rPr>
          <w:rFonts w:asciiTheme="majorHAnsi" w:hAnsiTheme="majorHAnsi" w:cstheme="majorHAnsi"/>
        </w:rPr>
        <w:t>modernizację magistrali kolejowej nr 9 (E65) i przystosowanie do prędkości 160-200 km/h dla pociągów pasażerskich i 120 km/h dla pociągów towarowych,</w:t>
      </w:r>
    </w:p>
    <w:p w14:paraId="0A309034" w14:textId="77777777" w:rsidR="00EA2B5F" w:rsidRPr="00F25EBD" w:rsidRDefault="00EA2B5F" w:rsidP="0054382A">
      <w:pPr>
        <w:pStyle w:val="Akapitzlist"/>
        <w:numPr>
          <w:ilvl w:val="0"/>
          <w:numId w:val="39"/>
        </w:numPr>
        <w:spacing w:line="276" w:lineRule="auto"/>
        <w:jc w:val="both"/>
        <w:rPr>
          <w:rFonts w:asciiTheme="majorHAnsi" w:hAnsiTheme="majorHAnsi" w:cstheme="majorHAnsi"/>
        </w:rPr>
      </w:pPr>
      <w:r w:rsidRPr="00F25EBD">
        <w:rPr>
          <w:rFonts w:asciiTheme="majorHAnsi" w:hAnsiTheme="majorHAnsi" w:cstheme="majorHAnsi"/>
        </w:rPr>
        <w:t>modernizację połączenia kolejowego Olsztyn</w:t>
      </w:r>
      <w:r w:rsidR="00336D76" w:rsidRPr="00F25EBD">
        <w:rPr>
          <w:rFonts w:asciiTheme="majorHAnsi" w:hAnsiTheme="majorHAnsi" w:cstheme="majorHAnsi"/>
        </w:rPr>
        <w:t xml:space="preserve"> - </w:t>
      </w:r>
      <w:r w:rsidRPr="00F25EBD">
        <w:rPr>
          <w:rFonts w:asciiTheme="majorHAnsi" w:hAnsiTheme="majorHAnsi" w:cstheme="majorHAnsi"/>
        </w:rPr>
        <w:t>Port Lotniczy Olsztyn</w:t>
      </w:r>
      <w:r w:rsidR="00336D76" w:rsidRPr="00F25EBD">
        <w:rPr>
          <w:rFonts w:asciiTheme="majorHAnsi" w:hAnsiTheme="majorHAnsi" w:cstheme="majorHAnsi"/>
        </w:rPr>
        <w:t xml:space="preserve"> - </w:t>
      </w:r>
      <w:r w:rsidRPr="00F25EBD">
        <w:rPr>
          <w:rFonts w:asciiTheme="majorHAnsi" w:hAnsiTheme="majorHAnsi" w:cstheme="majorHAnsi"/>
        </w:rPr>
        <w:t>Mazury w Szymanach. Inwestycja objęła rewitalizację linii kolejowych nr 219 na odcinku Olsztyn-Szczytno i nr 35 na odcinku Szczytno-Szymany oraz budowę nowej linii odchodzącej od linii nr 35 do terminala Portu Lotniczego Olsztyn</w:t>
      </w:r>
      <w:r w:rsidR="00336D76" w:rsidRPr="00F25EBD">
        <w:rPr>
          <w:rFonts w:asciiTheme="majorHAnsi" w:hAnsiTheme="majorHAnsi" w:cstheme="majorHAnsi"/>
        </w:rPr>
        <w:t xml:space="preserve"> - </w:t>
      </w:r>
      <w:r w:rsidRPr="00F25EBD">
        <w:rPr>
          <w:rFonts w:asciiTheme="majorHAnsi" w:hAnsiTheme="majorHAnsi" w:cstheme="majorHAnsi"/>
        </w:rPr>
        <w:t xml:space="preserve">Mazury (ok. 1,6 km). </w:t>
      </w:r>
    </w:p>
    <w:p w14:paraId="48020EB0" w14:textId="00335A8C" w:rsidR="00EA2B5F" w:rsidRPr="00F25EBD" w:rsidRDefault="00EA2B5F" w:rsidP="008A3FED">
      <w:pPr>
        <w:spacing w:line="276" w:lineRule="auto"/>
        <w:jc w:val="both"/>
        <w:rPr>
          <w:rFonts w:asciiTheme="majorHAnsi" w:hAnsiTheme="majorHAnsi" w:cstheme="majorHAnsi"/>
        </w:rPr>
      </w:pPr>
      <w:r w:rsidRPr="00F25EBD">
        <w:rPr>
          <w:rFonts w:asciiTheme="majorHAnsi" w:hAnsiTheme="majorHAnsi" w:cstheme="majorHAnsi"/>
        </w:rPr>
        <w:t>Zauważalnym trendem jest spadek liczby przewozów towarowych i osobowych na eksploatowanych odcinkach. Ponadto linie kolejowe ulegają zawieszaniu i likwidacji (przykładem takiego działania jest likwidacja linii nr 262 Biskupiec</w:t>
      </w:r>
      <w:r w:rsidR="00336D76" w:rsidRPr="00F25EBD">
        <w:rPr>
          <w:rFonts w:asciiTheme="majorHAnsi" w:hAnsiTheme="majorHAnsi" w:cstheme="majorHAnsi"/>
        </w:rPr>
        <w:t xml:space="preserve"> - </w:t>
      </w:r>
      <w:r w:rsidRPr="00F25EBD">
        <w:rPr>
          <w:rFonts w:asciiTheme="majorHAnsi" w:hAnsiTheme="majorHAnsi" w:cstheme="majorHAnsi"/>
        </w:rPr>
        <w:t>Szczytno, prace rozbiórkowe zakończono w 2015</w:t>
      </w:r>
      <w:r w:rsidR="00F7062F">
        <w:rPr>
          <w:rFonts w:asciiTheme="majorHAnsi" w:hAnsiTheme="majorHAnsi" w:cstheme="majorHAnsi"/>
        </w:rPr>
        <w:t>r.</w:t>
      </w:r>
      <w:r w:rsidRPr="00F25EBD">
        <w:rPr>
          <w:rFonts w:asciiTheme="majorHAnsi" w:hAnsiTheme="majorHAnsi" w:cstheme="majorHAnsi"/>
        </w:rPr>
        <w:t>), co przyczyniło się do całkowitego braku powiązań kolejowych w północno-wschodniej części województwa.</w:t>
      </w:r>
    </w:p>
    <w:p w14:paraId="4D3D5B29" w14:textId="541044B8" w:rsidR="00EA2B5F" w:rsidRPr="00F25EBD" w:rsidRDefault="00EA2B5F" w:rsidP="008A3FED">
      <w:pPr>
        <w:spacing w:line="276" w:lineRule="auto"/>
        <w:jc w:val="both"/>
        <w:rPr>
          <w:rFonts w:asciiTheme="majorHAnsi" w:hAnsiTheme="majorHAnsi" w:cstheme="majorHAnsi"/>
        </w:rPr>
      </w:pPr>
      <w:r w:rsidRPr="00F25EBD">
        <w:rPr>
          <w:rFonts w:asciiTheme="majorHAnsi" w:hAnsiTheme="majorHAnsi" w:cstheme="majorHAnsi"/>
        </w:rPr>
        <w:t>Obiekty dworcowe charakteryzują się złym stanem technicznym. Utrzymanie i remonty wymagają dużych nakładów finansowych. Problem stanowią zwłaszcza te obiekty, które uznano za zabytkowe. Obiekty zbędne dla kolei (nieczynne lub zlikwidowane linie kolejowe, dworce) stanowią potencjał możliwy do zagospodarowania na inne cele, np. turystyczne</w:t>
      </w:r>
      <w:r w:rsidRPr="00F25EBD">
        <w:rPr>
          <w:rStyle w:val="Odwoanieprzypisudolnego"/>
          <w:rFonts w:asciiTheme="majorHAnsi" w:hAnsiTheme="majorHAnsi" w:cstheme="majorHAnsi"/>
        </w:rPr>
        <w:footnoteReference w:id="25"/>
      </w:r>
      <w:r w:rsidRPr="00F25EBD">
        <w:rPr>
          <w:rFonts w:asciiTheme="majorHAnsi" w:hAnsiTheme="majorHAnsi" w:cstheme="majorHAnsi"/>
        </w:rPr>
        <w:t>.</w:t>
      </w:r>
    </w:p>
    <w:p w14:paraId="45DF099D" w14:textId="77777777" w:rsidR="00EA2B5F" w:rsidRPr="00F25EBD" w:rsidRDefault="00EA2B5F" w:rsidP="00FC7062">
      <w:pPr>
        <w:spacing w:after="0" w:line="276" w:lineRule="auto"/>
        <w:jc w:val="both"/>
        <w:rPr>
          <w:rFonts w:asciiTheme="majorHAnsi" w:hAnsiTheme="majorHAnsi" w:cstheme="majorHAnsi"/>
        </w:rPr>
      </w:pPr>
    </w:p>
    <w:p w14:paraId="18809E16" w14:textId="77777777" w:rsidR="00EA2B5F" w:rsidRPr="00F25EBD" w:rsidRDefault="00EA2B5F" w:rsidP="002C7D64">
      <w:pPr>
        <w:pStyle w:val="Norm"/>
      </w:pPr>
      <w:r w:rsidRPr="00F25EBD">
        <w:t>Transport lotniczy</w:t>
      </w:r>
    </w:p>
    <w:p w14:paraId="62D2251E" w14:textId="77777777" w:rsidR="00EA2B5F" w:rsidRPr="00F25EBD" w:rsidRDefault="00EA2B5F" w:rsidP="00FC7062">
      <w:pPr>
        <w:spacing w:after="0" w:line="276" w:lineRule="auto"/>
        <w:jc w:val="both"/>
        <w:rPr>
          <w:rFonts w:asciiTheme="majorHAnsi" w:hAnsiTheme="majorHAnsi" w:cstheme="majorHAnsi"/>
        </w:rPr>
      </w:pPr>
      <w:r w:rsidRPr="00F25EBD">
        <w:rPr>
          <w:rFonts w:asciiTheme="majorHAnsi" w:hAnsiTheme="majorHAnsi" w:cstheme="majorHAnsi"/>
        </w:rPr>
        <w:t>Infrastrukturę transportu lotniczego Południowych Mazur tworzą (rys.):</w:t>
      </w:r>
    </w:p>
    <w:p w14:paraId="32E6E3E3" w14:textId="77777777" w:rsidR="00EA2B5F" w:rsidRPr="00F25EBD" w:rsidRDefault="00EA2B5F" w:rsidP="00624F1F">
      <w:pPr>
        <w:pStyle w:val="Akapitzlist"/>
        <w:numPr>
          <w:ilvl w:val="0"/>
          <w:numId w:val="7"/>
        </w:numPr>
        <w:spacing w:after="0" w:line="276" w:lineRule="auto"/>
        <w:jc w:val="both"/>
        <w:rPr>
          <w:rFonts w:asciiTheme="majorHAnsi" w:hAnsiTheme="majorHAnsi" w:cstheme="majorHAnsi"/>
        </w:rPr>
      </w:pPr>
      <w:r w:rsidRPr="00F25EBD">
        <w:rPr>
          <w:rFonts w:asciiTheme="majorHAnsi" w:hAnsiTheme="majorHAnsi" w:cstheme="majorHAnsi"/>
        </w:rPr>
        <w:t>Regionalny Port Lotniczy Olsztyn</w:t>
      </w:r>
      <w:r w:rsidR="00336D76" w:rsidRPr="00F25EBD">
        <w:rPr>
          <w:rFonts w:asciiTheme="majorHAnsi" w:hAnsiTheme="majorHAnsi" w:cstheme="majorHAnsi"/>
        </w:rPr>
        <w:t xml:space="preserve"> - </w:t>
      </w:r>
      <w:r w:rsidRPr="00F25EBD">
        <w:rPr>
          <w:rFonts w:asciiTheme="majorHAnsi" w:hAnsiTheme="majorHAnsi" w:cstheme="majorHAnsi"/>
        </w:rPr>
        <w:t>Mazury w Szymanach;</w:t>
      </w:r>
    </w:p>
    <w:p w14:paraId="5EC15C32" w14:textId="77777777" w:rsidR="00EA2B5F" w:rsidRPr="00F25EBD" w:rsidRDefault="00EA2B5F" w:rsidP="00624F1F">
      <w:pPr>
        <w:pStyle w:val="Akapitzlist"/>
        <w:numPr>
          <w:ilvl w:val="0"/>
          <w:numId w:val="7"/>
        </w:numPr>
        <w:spacing w:after="0" w:line="276" w:lineRule="auto"/>
        <w:jc w:val="both"/>
        <w:rPr>
          <w:rFonts w:asciiTheme="majorHAnsi" w:hAnsiTheme="majorHAnsi" w:cstheme="majorHAnsi"/>
        </w:rPr>
      </w:pPr>
      <w:r w:rsidRPr="00F25EBD">
        <w:rPr>
          <w:rFonts w:asciiTheme="majorHAnsi" w:hAnsiTheme="majorHAnsi" w:cstheme="majorHAnsi"/>
        </w:rPr>
        <w:t>lądowiska samolotowe i śmigłowcowe zlokalizowane w</w:t>
      </w:r>
      <w:r w:rsidRPr="00F25EBD">
        <w:rPr>
          <w:rStyle w:val="Odwoanieprzypisudolnego"/>
          <w:rFonts w:asciiTheme="majorHAnsi" w:hAnsiTheme="majorHAnsi" w:cstheme="majorHAnsi"/>
        </w:rPr>
        <w:footnoteReference w:id="26"/>
      </w:r>
      <w:r w:rsidRPr="00F25EBD">
        <w:rPr>
          <w:rFonts w:asciiTheme="majorHAnsi" w:hAnsiTheme="majorHAnsi" w:cstheme="majorHAnsi"/>
        </w:rPr>
        <w:t xml:space="preserve">: </w:t>
      </w:r>
    </w:p>
    <w:p w14:paraId="3AFAD71C" w14:textId="77777777" w:rsidR="00EA2B5F" w:rsidRPr="00F25EBD" w:rsidRDefault="00EA2B5F" w:rsidP="00624F1F">
      <w:pPr>
        <w:pStyle w:val="Akapitzlist"/>
        <w:numPr>
          <w:ilvl w:val="0"/>
          <w:numId w:val="8"/>
        </w:numPr>
        <w:spacing w:after="0" w:line="276" w:lineRule="auto"/>
        <w:jc w:val="both"/>
        <w:rPr>
          <w:rFonts w:asciiTheme="majorHAnsi" w:hAnsiTheme="majorHAnsi" w:cstheme="majorHAnsi"/>
        </w:rPr>
      </w:pPr>
      <w:r w:rsidRPr="00F25EBD">
        <w:rPr>
          <w:rFonts w:asciiTheme="majorHAnsi" w:hAnsiTheme="majorHAnsi" w:cstheme="majorHAnsi"/>
        </w:rPr>
        <w:t>Pisz-Rostki</w:t>
      </w:r>
      <w:r w:rsidR="00336D76" w:rsidRPr="00F25EBD">
        <w:rPr>
          <w:rFonts w:asciiTheme="majorHAnsi" w:hAnsiTheme="majorHAnsi" w:cstheme="majorHAnsi"/>
        </w:rPr>
        <w:t xml:space="preserve"> - </w:t>
      </w:r>
      <w:r w:rsidRPr="00F25EBD">
        <w:rPr>
          <w:rFonts w:asciiTheme="majorHAnsi" w:hAnsiTheme="majorHAnsi" w:cstheme="majorHAnsi"/>
        </w:rPr>
        <w:t>lotnisko samolotowe wojskowe znajdujące się na terenie czynnego poligonu wojskowego OSP WL Orzysz</w:t>
      </w:r>
      <w:r w:rsidR="00336D76" w:rsidRPr="00F25EBD">
        <w:rPr>
          <w:rFonts w:asciiTheme="majorHAnsi" w:hAnsiTheme="majorHAnsi" w:cstheme="majorHAnsi"/>
        </w:rPr>
        <w:t xml:space="preserve"> - </w:t>
      </w:r>
      <w:r w:rsidRPr="00F25EBD">
        <w:rPr>
          <w:rFonts w:asciiTheme="majorHAnsi" w:hAnsiTheme="majorHAnsi" w:cstheme="majorHAnsi"/>
        </w:rPr>
        <w:t>teren zamknięty;</w:t>
      </w:r>
    </w:p>
    <w:p w14:paraId="441B2B0F" w14:textId="77777777" w:rsidR="00EA2B5F" w:rsidRPr="00F25EBD" w:rsidRDefault="00EA2B5F" w:rsidP="00624F1F">
      <w:pPr>
        <w:pStyle w:val="Akapitzlist"/>
        <w:numPr>
          <w:ilvl w:val="0"/>
          <w:numId w:val="8"/>
        </w:numPr>
        <w:spacing w:after="0" w:line="276" w:lineRule="auto"/>
        <w:jc w:val="both"/>
        <w:rPr>
          <w:rFonts w:asciiTheme="majorHAnsi" w:hAnsiTheme="majorHAnsi" w:cstheme="majorHAnsi"/>
        </w:rPr>
      </w:pPr>
      <w:r w:rsidRPr="00F25EBD">
        <w:rPr>
          <w:rFonts w:asciiTheme="majorHAnsi" w:hAnsiTheme="majorHAnsi" w:cstheme="majorHAnsi"/>
        </w:rPr>
        <w:t>Babięta</w:t>
      </w:r>
      <w:r w:rsidR="00336D76" w:rsidRPr="00F25EBD">
        <w:rPr>
          <w:rFonts w:asciiTheme="majorHAnsi" w:hAnsiTheme="majorHAnsi" w:cstheme="majorHAnsi"/>
        </w:rPr>
        <w:t xml:space="preserve"> - </w:t>
      </w:r>
      <w:r w:rsidRPr="00F25EBD">
        <w:rPr>
          <w:rFonts w:asciiTheme="majorHAnsi" w:hAnsiTheme="majorHAnsi" w:cstheme="majorHAnsi"/>
        </w:rPr>
        <w:t xml:space="preserve">lotnisko samolotowe, którego właścicielem jest Maestro </w:t>
      </w:r>
      <w:proofErr w:type="spellStart"/>
      <w:r w:rsidRPr="00F25EBD">
        <w:rPr>
          <w:rFonts w:asciiTheme="majorHAnsi" w:hAnsiTheme="majorHAnsi" w:cstheme="majorHAnsi"/>
        </w:rPr>
        <w:t>Investments</w:t>
      </w:r>
      <w:proofErr w:type="spellEnd"/>
      <w:r w:rsidRPr="00F25EBD">
        <w:rPr>
          <w:rFonts w:asciiTheme="majorHAnsi" w:hAnsiTheme="majorHAnsi" w:cstheme="majorHAnsi"/>
        </w:rPr>
        <w:t xml:space="preserve"> sp. z o.o.;</w:t>
      </w:r>
    </w:p>
    <w:p w14:paraId="614FA8C7" w14:textId="77777777" w:rsidR="00EA2B5F" w:rsidRPr="00F25EBD" w:rsidRDefault="00EA2B5F" w:rsidP="00624F1F">
      <w:pPr>
        <w:pStyle w:val="Akapitzlist"/>
        <w:numPr>
          <w:ilvl w:val="0"/>
          <w:numId w:val="8"/>
        </w:numPr>
        <w:spacing w:after="0" w:line="276" w:lineRule="auto"/>
        <w:jc w:val="both"/>
        <w:rPr>
          <w:rFonts w:asciiTheme="majorHAnsi" w:hAnsiTheme="majorHAnsi" w:cstheme="majorHAnsi"/>
        </w:rPr>
      </w:pPr>
      <w:r w:rsidRPr="00F25EBD">
        <w:rPr>
          <w:rFonts w:asciiTheme="majorHAnsi" w:hAnsiTheme="majorHAnsi" w:cstheme="majorHAnsi"/>
        </w:rPr>
        <w:t>Lidzbark Warmiński-</w:t>
      </w:r>
      <w:proofErr w:type="spellStart"/>
      <w:r w:rsidRPr="00F25EBD">
        <w:rPr>
          <w:rFonts w:asciiTheme="majorHAnsi" w:hAnsiTheme="majorHAnsi" w:cstheme="majorHAnsi"/>
        </w:rPr>
        <w:t>Polmlek</w:t>
      </w:r>
      <w:proofErr w:type="spellEnd"/>
      <w:r w:rsidR="00336D76" w:rsidRPr="00F25EBD">
        <w:rPr>
          <w:rFonts w:asciiTheme="majorHAnsi" w:hAnsiTheme="majorHAnsi" w:cstheme="majorHAnsi"/>
        </w:rPr>
        <w:t xml:space="preserve"> - </w:t>
      </w:r>
      <w:r w:rsidRPr="00F25EBD">
        <w:rPr>
          <w:rFonts w:asciiTheme="majorHAnsi" w:hAnsiTheme="majorHAnsi" w:cstheme="majorHAnsi"/>
        </w:rPr>
        <w:t xml:space="preserve">lotnisko śmigłowcowe należące do firmy </w:t>
      </w:r>
      <w:proofErr w:type="spellStart"/>
      <w:r w:rsidRPr="00F25EBD">
        <w:rPr>
          <w:rFonts w:asciiTheme="majorHAnsi" w:hAnsiTheme="majorHAnsi" w:cstheme="majorHAnsi"/>
        </w:rPr>
        <w:t>Polmlek</w:t>
      </w:r>
      <w:proofErr w:type="spellEnd"/>
      <w:r w:rsidRPr="00F25EBD">
        <w:rPr>
          <w:rFonts w:asciiTheme="majorHAnsi" w:hAnsiTheme="majorHAnsi" w:cstheme="majorHAnsi"/>
        </w:rPr>
        <w:t xml:space="preserve"> sp. z o.o.;</w:t>
      </w:r>
    </w:p>
    <w:p w14:paraId="480ABB53" w14:textId="77777777" w:rsidR="00EA2B5F" w:rsidRPr="00F25EBD" w:rsidRDefault="00EA2B5F" w:rsidP="00624F1F">
      <w:pPr>
        <w:pStyle w:val="Akapitzlist"/>
        <w:numPr>
          <w:ilvl w:val="0"/>
          <w:numId w:val="8"/>
        </w:numPr>
        <w:spacing w:after="0" w:line="276" w:lineRule="auto"/>
        <w:jc w:val="both"/>
        <w:rPr>
          <w:rFonts w:asciiTheme="majorHAnsi" w:hAnsiTheme="majorHAnsi" w:cstheme="majorHAnsi"/>
        </w:rPr>
      </w:pPr>
      <w:r w:rsidRPr="00F25EBD">
        <w:rPr>
          <w:rFonts w:asciiTheme="majorHAnsi" w:hAnsiTheme="majorHAnsi" w:cstheme="majorHAnsi"/>
        </w:rPr>
        <w:t>Działdowo-Szpital</w:t>
      </w:r>
      <w:r w:rsidR="00336D76" w:rsidRPr="00F25EBD">
        <w:rPr>
          <w:rFonts w:asciiTheme="majorHAnsi" w:hAnsiTheme="majorHAnsi" w:cstheme="majorHAnsi"/>
        </w:rPr>
        <w:t xml:space="preserve"> - </w:t>
      </w:r>
      <w:r w:rsidRPr="00F25EBD">
        <w:rPr>
          <w:rFonts w:asciiTheme="majorHAnsi" w:hAnsiTheme="majorHAnsi" w:cstheme="majorHAnsi"/>
        </w:rPr>
        <w:t>lądowisko śmigłowcowe (sanitarne) należące do Samodzielnego Publicznego Zakładu Opieki Zdrowotnej w Działdowie;</w:t>
      </w:r>
    </w:p>
    <w:p w14:paraId="5EC1419B" w14:textId="77777777" w:rsidR="00EA2B5F" w:rsidRPr="00F25EBD" w:rsidRDefault="00EA2B5F" w:rsidP="00624F1F">
      <w:pPr>
        <w:pStyle w:val="Akapitzlist"/>
        <w:numPr>
          <w:ilvl w:val="0"/>
          <w:numId w:val="8"/>
        </w:numPr>
        <w:spacing w:after="0" w:line="276" w:lineRule="auto"/>
        <w:jc w:val="both"/>
        <w:rPr>
          <w:rFonts w:asciiTheme="majorHAnsi" w:hAnsiTheme="majorHAnsi" w:cstheme="majorHAnsi"/>
        </w:rPr>
      </w:pPr>
      <w:r w:rsidRPr="00F25EBD">
        <w:rPr>
          <w:rFonts w:asciiTheme="majorHAnsi" w:hAnsiTheme="majorHAnsi" w:cstheme="majorHAnsi"/>
        </w:rPr>
        <w:t>Szczytno-Szpital</w:t>
      </w:r>
      <w:r w:rsidR="00336D76" w:rsidRPr="00F25EBD">
        <w:rPr>
          <w:rFonts w:asciiTheme="majorHAnsi" w:hAnsiTheme="majorHAnsi" w:cstheme="majorHAnsi"/>
        </w:rPr>
        <w:t xml:space="preserve"> - </w:t>
      </w:r>
      <w:r w:rsidRPr="00F25EBD">
        <w:rPr>
          <w:rFonts w:asciiTheme="majorHAnsi" w:hAnsiTheme="majorHAnsi" w:cstheme="majorHAnsi"/>
        </w:rPr>
        <w:t>lądowisko śmigłowcowe (sanitarne) należące do Zespołu Opieki Zdrowotnej w Szczytnie;</w:t>
      </w:r>
    </w:p>
    <w:p w14:paraId="36FECB13" w14:textId="77777777" w:rsidR="00EA2B5F" w:rsidRPr="00F25EBD" w:rsidRDefault="00EA2B5F" w:rsidP="00624F1F">
      <w:pPr>
        <w:pStyle w:val="Akapitzlist"/>
        <w:numPr>
          <w:ilvl w:val="0"/>
          <w:numId w:val="8"/>
        </w:numPr>
        <w:spacing w:after="0" w:line="276" w:lineRule="auto"/>
        <w:jc w:val="both"/>
        <w:rPr>
          <w:rFonts w:asciiTheme="majorHAnsi" w:hAnsiTheme="majorHAnsi" w:cstheme="majorHAnsi"/>
        </w:rPr>
      </w:pPr>
      <w:r w:rsidRPr="00F25EBD">
        <w:rPr>
          <w:rFonts w:asciiTheme="majorHAnsi" w:hAnsiTheme="majorHAnsi" w:cstheme="majorHAnsi"/>
        </w:rPr>
        <w:t>Szpital-Pisz</w:t>
      </w:r>
      <w:r w:rsidR="00336D76" w:rsidRPr="00F25EBD">
        <w:rPr>
          <w:rFonts w:asciiTheme="majorHAnsi" w:hAnsiTheme="majorHAnsi" w:cstheme="majorHAnsi"/>
        </w:rPr>
        <w:t xml:space="preserve"> - </w:t>
      </w:r>
      <w:r w:rsidRPr="00F25EBD">
        <w:rPr>
          <w:rFonts w:asciiTheme="majorHAnsi" w:hAnsiTheme="majorHAnsi" w:cstheme="majorHAnsi"/>
        </w:rPr>
        <w:t>lądowisko śmigłowcowe (przyszpitalne) należące do Samodzielnego Publicznego Zakładu Opieki Zdrowotnej Szpital Powiatowy.</w:t>
      </w:r>
    </w:p>
    <w:p w14:paraId="011BCFE2" w14:textId="2B5E3267" w:rsidR="00EA2B5F" w:rsidRPr="00F25EBD" w:rsidRDefault="00EA2B5F" w:rsidP="008543EA">
      <w:pPr>
        <w:pStyle w:val="nad"/>
      </w:pPr>
      <w:bookmarkStart w:id="46" w:name="_Toc81301545"/>
      <w:r w:rsidRPr="00F25EBD">
        <w:t xml:space="preserve">Rysunek </w:t>
      </w:r>
      <w:r w:rsidRPr="00F25EBD">
        <w:rPr>
          <w:noProof/>
        </w:rPr>
        <w:fldChar w:fldCharType="begin"/>
      </w:r>
      <w:r w:rsidRPr="00F25EBD">
        <w:rPr>
          <w:noProof/>
        </w:rPr>
        <w:instrText xml:space="preserve"> SEQ Rysunek \* ARABIC </w:instrText>
      </w:r>
      <w:r w:rsidRPr="00F25EBD">
        <w:rPr>
          <w:noProof/>
        </w:rPr>
        <w:fldChar w:fldCharType="separate"/>
      </w:r>
      <w:r w:rsidR="006C7815">
        <w:rPr>
          <w:noProof/>
        </w:rPr>
        <w:t>17</w:t>
      </w:r>
      <w:r w:rsidRPr="00F25EBD">
        <w:rPr>
          <w:noProof/>
        </w:rPr>
        <w:fldChar w:fldCharType="end"/>
      </w:r>
      <w:r w:rsidRPr="00F25EBD">
        <w:t>. Lotniska i lądowiska Południowych Mazur (2017</w:t>
      </w:r>
      <w:r w:rsidR="00F7062F">
        <w:t>r.</w:t>
      </w:r>
      <w:r w:rsidRPr="00F25EBD">
        <w:t>)</w:t>
      </w:r>
      <w:bookmarkEnd w:id="46"/>
    </w:p>
    <w:p w14:paraId="2302C780" w14:textId="77777777" w:rsidR="00EA2B5F" w:rsidRPr="00F25EBD" w:rsidRDefault="00EA2B5F" w:rsidP="00FC7062">
      <w:pPr>
        <w:spacing w:after="0" w:line="276" w:lineRule="auto"/>
        <w:jc w:val="center"/>
        <w:rPr>
          <w:rFonts w:asciiTheme="majorHAnsi" w:hAnsiTheme="majorHAnsi" w:cstheme="majorHAnsi"/>
        </w:rPr>
      </w:pPr>
      <w:r w:rsidRPr="00F25EBD">
        <w:rPr>
          <w:rFonts w:asciiTheme="majorHAnsi" w:hAnsiTheme="majorHAnsi" w:cstheme="majorHAnsi"/>
          <w:noProof/>
          <w:lang w:eastAsia="pl-PL"/>
        </w:rPr>
        <w:drawing>
          <wp:inline distT="0" distB="0" distL="0" distR="0" wp14:anchorId="6C8703E7" wp14:editId="12AD979A">
            <wp:extent cx="4664748" cy="2815200"/>
            <wp:effectExtent l="0" t="0" r="2540" b="4445"/>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4F7FF.tmp"/>
                    <pic:cNvPicPr/>
                  </pic:nvPicPr>
                  <pic:blipFill>
                    <a:blip r:embed="rId29">
                      <a:extLst>
                        <a:ext uri="{28A0092B-C50C-407E-A947-70E740481C1C}">
                          <a14:useLocalDpi xmlns:a14="http://schemas.microsoft.com/office/drawing/2010/main" val="0"/>
                        </a:ext>
                      </a:extLst>
                    </a:blip>
                    <a:stretch>
                      <a:fillRect/>
                    </a:stretch>
                  </pic:blipFill>
                  <pic:spPr>
                    <a:xfrm>
                      <a:off x="0" y="0"/>
                      <a:ext cx="4664748" cy="2815200"/>
                    </a:xfrm>
                    <a:prstGeom prst="rect">
                      <a:avLst/>
                    </a:prstGeom>
                  </pic:spPr>
                </pic:pic>
              </a:graphicData>
            </a:graphic>
          </wp:inline>
        </w:drawing>
      </w:r>
    </w:p>
    <w:p w14:paraId="3CAC4E65" w14:textId="77777777" w:rsidR="00EA2B5F" w:rsidRPr="00F25EBD" w:rsidRDefault="00EA2B5F" w:rsidP="008543EA">
      <w:pPr>
        <w:pStyle w:val="rdo"/>
      </w:pPr>
      <w:r w:rsidRPr="00F25EBD">
        <w:t xml:space="preserve">Źródło: </w:t>
      </w:r>
      <w:r w:rsidRPr="00F25EBD">
        <w:rPr>
          <w:iCs/>
        </w:rPr>
        <w:t>Plan Zagospodarowania Przestrzennego Województwa Warmińsko-Mazurskiego</w:t>
      </w:r>
      <w:r w:rsidRPr="00F25EBD">
        <w:t>. 2018. Warmińsko-Mazurskie Biuro Planowania Przestrzennego, Olsztyn.</w:t>
      </w:r>
    </w:p>
    <w:p w14:paraId="39485651" w14:textId="77777777" w:rsidR="00EA2B5F" w:rsidRPr="00F25EBD" w:rsidRDefault="00EA2B5F" w:rsidP="00FC7062">
      <w:pPr>
        <w:spacing w:after="0" w:line="276" w:lineRule="auto"/>
        <w:jc w:val="both"/>
        <w:rPr>
          <w:rFonts w:asciiTheme="majorHAnsi" w:hAnsiTheme="majorHAnsi" w:cstheme="majorHAnsi"/>
        </w:rPr>
      </w:pPr>
    </w:p>
    <w:p w14:paraId="27242683" w14:textId="0C3DC639" w:rsidR="00EA2B5F" w:rsidRPr="00F25EBD" w:rsidRDefault="00EA2B5F" w:rsidP="008A3FED">
      <w:pPr>
        <w:spacing w:line="276" w:lineRule="auto"/>
        <w:jc w:val="both"/>
        <w:rPr>
          <w:rFonts w:asciiTheme="majorHAnsi" w:hAnsiTheme="majorHAnsi" w:cstheme="majorHAnsi"/>
        </w:rPr>
      </w:pPr>
      <w:r w:rsidRPr="00F25EBD">
        <w:rPr>
          <w:rFonts w:asciiTheme="majorHAnsi" w:hAnsiTheme="majorHAnsi" w:cstheme="majorHAnsi"/>
        </w:rPr>
        <w:t>Największym i jedynym portem lotniczym w regionie jest Regionalny Port Lotniczy Olsztyn-Mazury w</w:t>
      </w:r>
      <w:r w:rsidR="001676E7">
        <w:rPr>
          <w:rFonts w:asciiTheme="majorHAnsi" w:hAnsiTheme="majorHAnsi" w:cstheme="majorHAnsi"/>
        </w:rPr>
        <w:t> </w:t>
      </w:r>
      <w:r w:rsidRPr="00F25EBD">
        <w:rPr>
          <w:rFonts w:asciiTheme="majorHAnsi" w:hAnsiTheme="majorHAnsi" w:cstheme="majorHAnsi"/>
        </w:rPr>
        <w:t>Szymanach, który został oddany do użytku w styczniu 2016</w:t>
      </w:r>
      <w:r w:rsidR="00F7062F">
        <w:rPr>
          <w:rFonts w:asciiTheme="majorHAnsi" w:hAnsiTheme="majorHAnsi" w:cstheme="majorHAnsi"/>
        </w:rPr>
        <w:t>r.</w:t>
      </w:r>
      <w:r w:rsidRPr="00F25EBD">
        <w:rPr>
          <w:rFonts w:asciiTheme="majorHAnsi" w:hAnsiTheme="majorHAnsi" w:cstheme="majorHAnsi"/>
        </w:rPr>
        <w:t xml:space="preserve"> Zarządcą portu jest powołana przez Sejmik Województwa Warmińsko-Mazurskiego Spółka „Warmia i</w:t>
      </w:r>
      <w:r w:rsidR="007B04A7">
        <w:rPr>
          <w:rFonts w:asciiTheme="majorHAnsi" w:hAnsiTheme="majorHAnsi" w:cstheme="majorHAnsi"/>
        </w:rPr>
        <w:t xml:space="preserve"> </w:t>
      </w:r>
      <w:r w:rsidRPr="00F25EBD">
        <w:rPr>
          <w:rFonts w:asciiTheme="majorHAnsi" w:hAnsiTheme="majorHAnsi" w:cstheme="majorHAnsi"/>
        </w:rPr>
        <w:t>Mazury” sp. z o.o. Prace inwestycyjne dotyczyły zarówno budowy obiektów i urządzeń niezbędnych do funkcjonowania portu lotniczego, jak również budowy i modernizacji infrastruktury kolejowej potrzebnych do bezpośredniego skomunikowania Olsztyna z portem lotniczym</w:t>
      </w:r>
      <w:r w:rsidRPr="00F25EBD">
        <w:rPr>
          <w:rStyle w:val="Odwoanieprzypisudolnego"/>
          <w:rFonts w:asciiTheme="majorHAnsi" w:hAnsiTheme="majorHAnsi" w:cstheme="majorHAnsi"/>
        </w:rPr>
        <w:footnoteReference w:id="27"/>
      </w:r>
      <w:r w:rsidRPr="00F25EBD">
        <w:rPr>
          <w:rFonts w:asciiTheme="majorHAnsi" w:hAnsiTheme="majorHAnsi" w:cstheme="majorHAnsi"/>
        </w:rPr>
        <w:t>.</w:t>
      </w:r>
    </w:p>
    <w:p w14:paraId="0A93B58E" w14:textId="70C30F02" w:rsidR="00EA2B5F" w:rsidRPr="00F25EBD" w:rsidRDefault="00EA2B5F" w:rsidP="008A3FED">
      <w:pPr>
        <w:spacing w:line="276" w:lineRule="auto"/>
        <w:jc w:val="both"/>
        <w:rPr>
          <w:rFonts w:asciiTheme="majorHAnsi" w:hAnsiTheme="majorHAnsi" w:cstheme="majorHAnsi"/>
        </w:rPr>
      </w:pPr>
      <w:r w:rsidRPr="00F25EBD">
        <w:rPr>
          <w:rFonts w:asciiTheme="majorHAnsi" w:hAnsiTheme="majorHAnsi" w:cstheme="majorHAnsi"/>
        </w:rPr>
        <w:t>W 2019</w:t>
      </w:r>
      <w:r w:rsidR="00F7062F">
        <w:rPr>
          <w:rFonts w:asciiTheme="majorHAnsi" w:hAnsiTheme="majorHAnsi" w:cstheme="majorHAnsi"/>
        </w:rPr>
        <w:t>r.</w:t>
      </w:r>
      <w:r w:rsidRPr="00F25EBD">
        <w:rPr>
          <w:rFonts w:asciiTheme="majorHAnsi" w:hAnsiTheme="majorHAnsi" w:cstheme="majorHAnsi"/>
        </w:rPr>
        <w:t xml:space="preserve"> na lotnisku odprawiono 154.319 pasażerów, co o 10% przekroczyło zakładany plan i o 27% wynik z 2018</w:t>
      </w:r>
      <w:r w:rsidR="00F7062F">
        <w:rPr>
          <w:rFonts w:asciiTheme="majorHAnsi" w:hAnsiTheme="majorHAnsi" w:cstheme="majorHAnsi"/>
        </w:rPr>
        <w:t>r.</w:t>
      </w:r>
      <w:r w:rsidRPr="00F25EBD">
        <w:rPr>
          <w:rStyle w:val="Odwoanieprzypisudolnego"/>
          <w:rFonts w:asciiTheme="majorHAnsi" w:hAnsiTheme="majorHAnsi" w:cstheme="majorHAnsi"/>
        </w:rPr>
        <w:footnoteReference w:id="28"/>
      </w:r>
      <w:r w:rsidRPr="00F25EBD">
        <w:rPr>
          <w:rFonts w:asciiTheme="majorHAnsi" w:hAnsiTheme="majorHAnsi" w:cstheme="majorHAnsi"/>
        </w:rPr>
        <w:t xml:space="preserve"> Niestety w 2020</w:t>
      </w:r>
      <w:r w:rsidR="00F7062F">
        <w:rPr>
          <w:rFonts w:asciiTheme="majorHAnsi" w:hAnsiTheme="majorHAnsi" w:cstheme="majorHAnsi"/>
        </w:rPr>
        <w:t>r.</w:t>
      </w:r>
      <w:r w:rsidRPr="00F25EBD">
        <w:rPr>
          <w:rFonts w:asciiTheme="majorHAnsi" w:hAnsiTheme="majorHAnsi" w:cstheme="majorHAnsi"/>
        </w:rPr>
        <w:t xml:space="preserve"> rozwój lotniska bardzo ograniczyła pandemia COVID-19. W</w:t>
      </w:r>
      <w:r w:rsidR="007B04A7">
        <w:rPr>
          <w:rFonts w:asciiTheme="majorHAnsi" w:hAnsiTheme="majorHAnsi" w:cstheme="majorHAnsi"/>
        </w:rPr>
        <w:t xml:space="preserve"> </w:t>
      </w:r>
      <w:r w:rsidRPr="00F25EBD">
        <w:rPr>
          <w:rFonts w:asciiTheme="majorHAnsi" w:hAnsiTheme="majorHAnsi" w:cstheme="majorHAnsi"/>
        </w:rPr>
        <w:t>lipcu tego roku z</w:t>
      </w:r>
      <w:r w:rsidR="007B04A7">
        <w:rPr>
          <w:rFonts w:asciiTheme="majorHAnsi" w:hAnsiTheme="majorHAnsi" w:cstheme="majorHAnsi"/>
        </w:rPr>
        <w:t xml:space="preserve"> </w:t>
      </w:r>
      <w:r w:rsidRPr="00F25EBD">
        <w:rPr>
          <w:rFonts w:asciiTheme="majorHAnsi" w:hAnsiTheme="majorHAnsi" w:cstheme="majorHAnsi"/>
        </w:rPr>
        <w:t>jego usług skorzystało jedynie 8.368 osób, tj. o 45,7% pasażerów mniej niż w tym samym okresie rok wcześniej</w:t>
      </w:r>
      <w:r w:rsidRPr="00F25EBD">
        <w:rPr>
          <w:rStyle w:val="Odwoanieprzypisudolnego"/>
          <w:rFonts w:asciiTheme="majorHAnsi" w:hAnsiTheme="majorHAnsi" w:cstheme="majorHAnsi"/>
        </w:rPr>
        <w:footnoteReference w:id="29"/>
      </w:r>
      <w:r w:rsidRPr="00F25EBD">
        <w:rPr>
          <w:rFonts w:asciiTheme="majorHAnsi" w:hAnsiTheme="majorHAnsi" w:cstheme="majorHAnsi"/>
        </w:rPr>
        <w:t xml:space="preserve">. </w:t>
      </w:r>
    </w:p>
    <w:p w14:paraId="67380400" w14:textId="248B3A71" w:rsidR="00EA2B5F" w:rsidRPr="00F25EBD" w:rsidRDefault="00EA2B5F" w:rsidP="008A3FED">
      <w:pPr>
        <w:spacing w:line="276" w:lineRule="auto"/>
        <w:jc w:val="both"/>
        <w:rPr>
          <w:rFonts w:asciiTheme="majorHAnsi" w:hAnsiTheme="majorHAnsi" w:cstheme="majorHAnsi"/>
        </w:rPr>
      </w:pPr>
      <w:r w:rsidRPr="00F25EBD">
        <w:rPr>
          <w:rFonts w:asciiTheme="majorHAnsi" w:hAnsiTheme="majorHAnsi" w:cstheme="majorHAnsi"/>
        </w:rPr>
        <w:t>We wrześniu 2020</w:t>
      </w:r>
      <w:r w:rsidR="00F7062F">
        <w:rPr>
          <w:rFonts w:asciiTheme="majorHAnsi" w:hAnsiTheme="majorHAnsi" w:cstheme="majorHAnsi"/>
        </w:rPr>
        <w:t>r.</w:t>
      </w:r>
      <w:r w:rsidRPr="00F25EBD">
        <w:rPr>
          <w:rFonts w:asciiTheme="majorHAnsi" w:hAnsiTheme="majorHAnsi" w:cstheme="majorHAnsi"/>
        </w:rPr>
        <w:t xml:space="preserve"> Regionalny Port Lotniczy Olsztyn-Mazury obsługiwał połączenia do Dortmundu, Londynu-</w:t>
      </w:r>
      <w:proofErr w:type="spellStart"/>
      <w:r w:rsidRPr="00F25EBD">
        <w:rPr>
          <w:rFonts w:asciiTheme="majorHAnsi" w:hAnsiTheme="majorHAnsi" w:cstheme="majorHAnsi"/>
        </w:rPr>
        <w:t>Luton</w:t>
      </w:r>
      <w:proofErr w:type="spellEnd"/>
      <w:r w:rsidRPr="00F25EBD">
        <w:rPr>
          <w:rFonts w:asciiTheme="majorHAnsi" w:hAnsiTheme="majorHAnsi" w:cstheme="majorHAnsi"/>
        </w:rPr>
        <w:t>, Londynu-</w:t>
      </w:r>
      <w:proofErr w:type="spellStart"/>
      <w:r w:rsidRPr="00F25EBD">
        <w:rPr>
          <w:rFonts w:asciiTheme="majorHAnsi" w:hAnsiTheme="majorHAnsi" w:cstheme="majorHAnsi"/>
        </w:rPr>
        <w:t>Stansted</w:t>
      </w:r>
      <w:proofErr w:type="spellEnd"/>
      <w:r w:rsidRPr="00F25EBD">
        <w:rPr>
          <w:rFonts w:asciiTheme="majorHAnsi" w:hAnsiTheme="majorHAnsi" w:cstheme="majorHAnsi"/>
        </w:rPr>
        <w:t xml:space="preserve"> i Krakowa.</w:t>
      </w:r>
    </w:p>
    <w:p w14:paraId="6AFE5DDF" w14:textId="77777777" w:rsidR="00EA2B5F" w:rsidRPr="00F25EBD" w:rsidRDefault="00EA2B5F" w:rsidP="00FC7062">
      <w:pPr>
        <w:spacing w:after="0" w:line="276" w:lineRule="auto"/>
        <w:jc w:val="both"/>
        <w:rPr>
          <w:rFonts w:asciiTheme="majorHAnsi" w:hAnsiTheme="majorHAnsi" w:cstheme="majorHAnsi"/>
        </w:rPr>
      </w:pPr>
    </w:p>
    <w:p w14:paraId="3B64271A" w14:textId="77777777" w:rsidR="00EA2B5F" w:rsidRPr="00F25EBD" w:rsidRDefault="00EA2B5F" w:rsidP="002C7D64">
      <w:pPr>
        <w:pStyle w:val="Norm"/>
      </w:pPr>
      <w:r w:rsidRPr="00F25EBD">
        <w:t>Ścieżki rowerowe</w:t>
      </w:r>
    </w:p>
    <w:p w14:paraId="17F4C432" w14:textId="2026E1C6" w:rsidR="00EA2B5F" w:rsidRPr="00F25EBD" w:rsidRDefault="00EA2B5F" w:rsidP="008A3FED">
      <w:pPr>
        <w:spacing w:line="276" w:lineRule="auto"/>
        <w:jc w:val="both"/>
        <w:rPr>
          <w:rFonts w:asciiTheme="majorHAnsi" w:hAnsiTheme="majorHAnsi" w:cstheme="majorHAnsi"/>
        </w:rPr>
      </w:pPr>
      <w:r w:rsidRPr="00F25EBD">
        <w:rPr>
          <w:rFonts w:asciiTheme="majorHAnsi" w:hAnsiTheme="majorHAnsi" w:cstheme="majorHAnsi"/>
        </w:rPr>
        <w:t>W 2019</w:t>
      </w:r>
      <w:r w:rsidR="00F7062F">
        <w:rPr>
          <w:rFonts w:asciiTheme="majorHAnsi" w:hAnsiTheme="majorHAnsi" w:cstheme="majorHAnsi"/>
        </w:rPr>
        <w:t>r.</w:t>
      </w:r>
      <w:r w:rsidRPr="00F25EBD">
        <w:rPr>
          <w:rFonts w:asciiTheme="majorHAnsi" w:hAnsiTheme="majorHAnsi" w:cstheme="majorHAnsi"/>
        </w:rPr>
        <w:t xml:space="preserve"> długość ścieżek rowerowych na obszarze Południowych Mazur wyniosła 96,0 km, z czego niemal połowa (46,3%) znajdowała się pod zarządem powiatu, 30,8%</w:t>
      </w:r>
      <w:r w:rsidR="00336D76" w:rsidRPr="00F25EBD">
        <w:rPr>
          <w:rFonts w:asciiTheme="majorHAnsi" w:hAnsiTheme="majorHAnsi" w:cstheme="majorHAnsi"/>
        </w:rPr>
        <w:t xml:space="preserve"> - </w:t>
      </w:r>
      <w:r w:rsidRPr="00F25EBD">
        <w:rPr>
          <w:rFonts w:asciiTheme="majorHAnsi" w:hAnsiTheme="majorHAnsi" w:cstheme="majorHAnsi"/>
        </w:rPr>
        <w:t>gminy, a 22,9%</w:t>
      </w:r>
      <w:r w:rsidR="00336D76" w:rsidRPr="00F25EBD">
        <w:rPr>
          <w:rFonts w:asciiTheme="majorHAnsi" w:hAnsiTheme="majorHAnsi" w:cstheme="majorHAnsi"/>
        </w:rPr>
        <w:t xml:space="preserve"> - </w:t>
      </w:r>
      <w:r w:rsidRPr="00F25EBD">
        <w:rPr>
          <w:rFonts w:asciiTheme="majorHAnsi" w:hAnsiTheme="majorHAnsi" w:cstheme="majorHAnsi"/>
        </w:rPr>
        <w:t xml:space="preserve">samorządu województwa. Największy odsetek ścieżek gminnych występował w powiecie </w:t>
      </w:r>
      <w:proofErr w:type="spellStart"/>
      <w:r w:rsidRPr="00F25EBD">
        <w:rPr>
          <w:rFonts w:asciiTheme="majorHAnsi" w:hAnsiTheme="majorHAnsi" w:cstheme="majorHAnsi"/>
        </w:rPr>
        <w:t>piskim</w:t>
      </w:r>
      <w:proofErr w:type="spellEnd"/>
      <w:r w:rsidRPr="00F25EBD">
        <w:rPr>
          <w:rFonts w:asciiTheme="majorHAnsi" w:hAnsiTheme="majorHAnsi" w:cstheme="majorHAnsi"/>
        </w:rPr>
        <w:t xml:space="preserve"> (41,2%), powiatowych w szczycieńskim (42,6%), zaś wojewódzkich w nidzickim (59,5%).</w:t>
      </w:r>
    </w:p>
    <w:p w14:paraId="3091D707" w14:textId="5902DFE3" w:rsidR="00EA2B5F" w:rsidRPr="00F25EBD" w:rsidRDefault="00EA2B5F" w:rsidP="008A3FED">
      <w:pPr>
        <w:spacing w:line="276" w:lineRule="auto"/>
        <w:jc w:val="both"/>
        <w:rPr>
          <w:rFonts w:asciiTheme="majorHAnsi" w:hAnsiTheme="majorHAnsi" w:cstheme="majorHAnsi"/>
        </w:rPr>
      </w:pPr>
      <w:r w:rsidRPr="00F25EBD">
        <w:rPr>
          <w:rFonts w:asciiTheme="majorHAnsi" w:hAnsiTheme="majorHAnsi" w:cstheme="majorHAnsi"/>
        </w:rPr>
        <w:t>Nasycenie ścieżkami rowerowymi określić można relatywizując ich długość względem powierzchni lub liczby mieszkańców. W pierwszym przypadku średnia wyznaczona dla Południowych Mazur wyniosła 1,83 km na100 km</w:t>
      </w:r>
      <w:r w:rsidRPr="00F25EBD">
        <w:rPr>
          <w:rFonts w:asciiTheme="majorHAnsi" w:hAnsiTheme="majorHAnsi" w:cstheme="majorHAnsi"/>
          <w:vertAlign w:val="superscript"/>
        </w:rPr>
        <w:t>2</w:t>
      </w:r>
      <w:r w:rsidRPr="00F25EBD">
        <w:rPr>
          <w:rFonts w:asciiTheme="majorHAnsi" w:hAnsiTheme="majorHAnsi" w:cstheme="majorHAnsi"/>
        </w:rPr>
        <w:t>, natomiast w drugim 4,66 km na 10 tys. osób. O ile pierwsze kryterium nie różnicowało zbyt mocno powiatów PM (różnica pomiędzy maksymalną i minimalną wartością wskaźnika wyniosła nieco ponad 1 km), o tyle drugie wyłoniło wyraźnego lidera. Okazał się nim powiat nidzicki, który z gęstością ścieżek wynoszącą 7,21 km na 10 tys. mieszkańcó</w:t>
      </w:r>
      <w:r w:rsidR="008543EA">
        <w:rPr>
          <w:rFonts w:asciiTheme="majorHAnsi" w:hAnsiTheme="majorHAnsi" w:cstheme="majorHAnsi"/>
        </w:rPr>
        <w:t>w o 4,26 km wyprzedził powiat z </w:t>
      </w:r>
      <w:r w:rsidRPr="00F25EBD">
        <w:rPr>
          <w:rFonts w:asciiTheme="majorHAnsi" w:hAnsiTheme="majorHAnsi" w:cstheme="majorHAnsi"/>
        </w:rPr>
        <w:t>najniższą wartością wskaźnika, tj. powiat działdowski, w którym na 10 tys. mieszkańców przypadało 2,95 km tras rowerowych.</w:t>
      </w:r>
    </w:p>
    <w:p w14:paraId="346C7696" w14:textId="38F28527" w:rsidR="00EA2B5F" w:rsidRPr="00F25EBD" w:rsidRDefault="00EA2B5F" w:rsidP="008A3FED">
      <w:pPr>
        <w:spacing w:line="276" w:lineRule="auto"/>
        <w:jc w:val="both"/>
        <w:rPr>
          <w:rFonts w:asciiTheme="majorHAnsi" w:hAnsiTheme="majorHAnsi" w:cstheme="majorHAnsi"/>
        </w:rPr>
      </w:pPr>
      <w:r w:rsidRPr="00F25EBD">
        <w:rPr>
          <w:rFonts w:asciiTheme="majorHAnsi" w:hAnsiTheme="majorHAnsi" w:cstheme="majorHAnsi"/>
        </w:rPr>
        <w:t>Trasy rowerowe na terenie Południowych Mazur stanowiły 15,1% ścieżek zlokalizowanych w</w:t>
      </w:r>
      <w:r w:rsidR="001676E7">
        <w:rPr>
          <w:rFonts w:asciiTheme="majorHAnsi" w:hAnsiTheme="majorHAnsi" w:cstheme="majorHAnsi"/>
        </w:rPr>
        <w:t> </w:t>
      </w:r>
      <w:r w:rsidRPr="00F25EBD">
        <w:rPr>
          <w:rFonts w:asciiTheme="majorHAnsi" w:hAnsiTheme="majorHAnsi" w:cstheme="majorHAnsi"/>
        </w:rPr>
        <w:t xml:space="preserve">województwie warmińsko-mazurskim i zgodnie z założeniami mają być włączone </w:t>
      </w:r>
      <w:r w:rsidR="008C60C6">
        <w:rPr>
          <w:rFonts w:asciiTheme="majorHAnsi" w:hAnsiTheme="majorHAnsi" w:cstheme="majorHAnsi"/>
        </w:rPr>
        <w:t xml:space="preserve">w </w:t>
      </w:r>
      <w:r w:rsidRPr="00F25EBD">
        <w:rPr>
          <w:rFonts w:asciiTheme="majorHAnsi" w:hAnsiTheme="majorHAnsi" w:cstheme="majorHAnsi"/>
        </w:rPr>
        <w:t>regionalny system tras rowerowych województwa. Realizacja spójnego systemu będzie miała istotny wpływ nie tylko na rozwój turystyki, ale również na aktywizację społeczno-gospodarczą tych obszarów</w:t>
      </w:r>
      <w:r w:rsidRPr="00F25EBD">
        <w:rPr>
          <w:rStyle w:val="Odwoanieprzypisudolnego"/>
          <w:rFonts w:asciiTheme="majorHAnsi" w:hAnsiTheme="majorHAnsi" w:cstheme="majorHAnsi"/>
        </w:rPr>
        <w:footnoteReference w:id="30"/>
      </w:r>
      <w:r w:rsidRPr="00F25EBD">
        <w:rPr>
          <w:rFonts w:asciiTheme="majorHAnsi" w:hAnsiTheme="majorHAnsi" w:cstheme="majorHAnsi"/>
        </w:rPr>
        <w:t>.</w:t>
      </w:r>
    </w:p>
    <w:p w14:paraId="400E3960" w14:textId="77777777" w:rsidR="004C64BD" w:rsidRDefault="004C64BD" w:rsidP="00FC7062">
      <w:pPr>
        <w:spacing w:line="276" w:lineRule="auto"/>
        <w:rPr>
          <w:rFonts w:asciiTheme="majorHAnsi" w:hAnsiTheme="majorHAnsi" w:cstheme="majorHAnsi"/>
        </w:rPr>
      </w:pPr>
      <w:r>
        <w:rPr>
          <w:rFonts w:asciiTheme="majorHAnsi" w:hAnsiTheme="majorHAnsi" w:cstheme="majorHAnsi"/>
        </w:rPr>
        <w:br w:type="page"/>
      </w:r>
    </w:p>
    <w:p w14:paraId="5068B455" w14:textId="0ADE2591" w:rsidR="00EA2B5F" w:rsidRPr="00F25EBD" w:rsidRDefault="00EA2B5F" w:rsidP="008543EA">
      <w:pPr>
        <w:pStyle w:val="nad"/>
      </w:pPr>
      <w:bookmarkStart w:id="47" w:name="_Toc81301546"/>
      <w:r w:rsidRPr="00F25EBD">
        <w:t xml:space="preserve">Rysunek </w:t>
      </w:r>
      <w:r w:rsidRPr="00F25EBD">
        <w:rPr>
          <w:noProof/>
        </w:rPr>
        <w:fldChar w:fldCharType="begin"/>
      </w:r>
      <w:r w:rsidRPr="00F25EBD">
        <w:rPr>
          <w:noProof/>
        </w:rPr>
        <w:instrText xml:space="preserve"> SEQ Rysunek \* ARABIC </w:instrText>
      </w:r>
      <w:r w:rsidRPr="00F25EBD">
        <w:rPr>
          <w:noProof/>
        </w:rPr>
        <w:fldChar w:fldCharType="separate"/>
      </w:r>
      <w:r w:rsidR="006C7815">
        <w:rPr>
          <w:noProof/>
        </w:rPr>
        <w:t>18</w:t>
      </w:r>
      <w:r w:rsidRPr="00F25EBD">
        <w:rPr>
          <w:noProof/>
        </w:rPr>
        <w:fldChar w:fldCharType="end"/>
      </w:r>
      <w:r w:rsidRPr="00F25EBD">
        <w:t>. Planowany regionalny system tras rowerowych</w:t>
      </w:r>
      <w:bookmarkEnd w:id="47"/>
    </w:p>
    <w:p w14:paraId="5BDB1265" w14:textId="77777777" w:rsidR="00EA2B5F" w:rsidRPr="00F25EBD" w:rsidRDefault="00EA2B5F" w:rsidP="00FC7062">
      <w:pPr>
        <w:spacing w:after="0" w:line="276" w:lineRule="auto"/>
        <w:jc w:val="both"/>
        <w:rPr>
          <w:rFonts w:asciiTheme="majorHAnsi" w:hAnsiTheme="majorHAnsi" w:cstheme="majorHAnsi"/>
        </w:rPr>
      </w:pPr>
      <w:r w:rsidRPr="00F25EBD">
        <w:rPr>
          <w:rFonts w:asciiTheme="majorHAnsi" w:hAnsiTheme="majorHAnsi" w:cstheme="majorHAnsi"/>
          <w:noProof/>
          <w:lang w:eastAsia="pl-PL"/>
        </w:rPr>
        <w:drawing>
          <wp:inline distT="0" distB="0" distL="0" distR="0" wp14:anchorId="289DAAF7" wp14:editId="43B48C2A">
            <wp:extent cx="5760720" cy="3780790"/>
            <wp:effectExtent l="0" t="0" r="0" b="0"/>
            <wp:docPr id="21" name="Obraz 21" descr="Obraz zawierający map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Obraz 21" descr="Obraz zawierający mapa&#10;&#10;Opis wygenerowany automatycznie"/>
                    <pic:cNvPicPr/>
                  </pic:nvPicPr>
                  <pic:blipFill>
                    <a:blip r:embed="rId30">
                      <a:extLst>
                        <a:ext uri="{28A0092B-C50C-407E-A947-70E740481C1C}">
                          <a14:useLocalDpi xmlns:a14="http://schemas.microsoft.com/office/drawing/2010/main" val="0"/>
                        </a:ext>
                      </a:extLst>
                    </a:blip>
                    <a:stretch>
                      <a:fillRect/>
                    </a:stretch>
                  </pic:blipFill>
                  <pic:spPr>
                    <a:xfrm>
                      <a:off x="0" y="0"/>
                      <a:ext cx="5760720" cy="3780790"/>
                    </a:xfrm>
                    <a:prstGeom prst="rect">
                      <a:avLst/>
                    </a:prstGeom>
                  </pic:spPr>
                </pic:pic>
              </a:graphicData>
            </a:graphic>
          </wp:inline>
        </w:drawing>
      </w:r>
    </w:p>
    <w:p w14:paraId="7E5D8DA5" w14:textId="77777777" w:rsidR="00EA2B5F" w:rsidRPr="00F25EBD" w:rsidRDefault="00EA2B5F" w:rsidP="008543EA">
      <w:pPr>
        <w:pStyle w:val="rdo"/>
      </w:pPr>
      <w:r w:rsidRPr="00F25EBD">
        <w:t xml:space="preserve">Źródło: </w:t>
      </w:r>
      <w:r w:rsidRPr="00F25EBD">
        <w:rPr>
          <w:iCs/>
        </w:rPr>
        <w:t>Plan Zagospodarowania Przestrzennego Województwa Warmińsko-Mazurskiego</w:t>
      </w:r>
      <w:r w:rsidRPr="00F25EBD">
        <w:t>. 2018. Warmińsko-Mazurskie Biuro Planowania Przestrzennego, Olsztyn.</w:t>
      </w:r>
    </w:p>
    <w:p w14:paraId="660FF4CA" w14:textId="77777777" w:rsidR="00EA2B5F" w:rsidRPr="00F25EBD" w:rsidRDefault="00EA2B5F" w:rsidP="00FC7062">
      <w:pPr>
        <w:spacing w:after="0" w:line="276" w:lineRule="auto"/>
        <w:jc w:val="both"/>
        <w:rPr>
          <w:rFonts w:asciiTheme="majorHAnsi" w:hAnsiTheme="majorHAnsi" w:cstheme="majorHAnsi"/>
        </w:rPr>
      </w:pPr>
    </w:p>
    <w:p w14:paraId="0D2EE159" w14:textId="60B6C86B" w:rsidR="00EA2B5F" w:rsidRPr="00F25EBD" w:rsidRDefault="008543EA" w:rsidP="008543EA">
      <w:pPr>
        <w:pStyle w:val="Nagwek2"/>
      </w:pPr>
      <w:bookmarkStart w:id="48" w:name="_Toc77070611"/>
      <w:r>
        <w:t xml:space="preserve">5.2 </w:t>
      </w:r>
      <w:r w:rsidR="00EA2B5F" w:rsidRPr="00F25EBD">
        <w:t>Infrastruktura sieciowa</w:t>
      </w:r>
      <w:bookmarkEnd w:id="48"/>
    </w:p>
    <w:p w14:paraId="24C631AD" w14:textId="77777777" w:rsidR="00EA2B5F" w:rsidRPr="00F25EBD" w:rsidRDefault="00EA2B5F" w:rsidP="002C7D64">
      <w:pPr>
        <w:pStyle w:val="Norm"/>
      </w:pPr>
      <w:r w:rsidRPr="00F25EBD">
        <w:t>Gaz</w:t>
      </w:r>
    </w:p>
    <w:p w14:paraId="783FD191" w14:textId="77777777" w:rsidR="00EA2B5F" w:rsidRPr="00F25EBD" w:rsidRDefault="00EA2B5F" w:rsidP="00FC7062">
      <w:pPr>
        <w:spacing w:after="0" w:line="276" w:lineRule="auto"/>
        <w:jc w:val="both"/>
        <w:rPr>
          <w:rFonts w:asciiTheme="majorHAnsi" w:hAnsiTheme="majorHAnsi" w:cstheme="majorHAnsi"/>
        </w:rPr>
      </w:pPr>
      <w:r w:rsidRPr="00F25EBD">
        <w:rPr>
          <w:rFonts w:asciiTheme="majorHAnsi" w:hAnsiTheme="majorHAnsi" w:cstheme="majorHAnsi"/>
        </w:rPr>
        <w:t>Województwo warmińsko-mazurskie zaopatrywane jest w gaz ziemny z krajowego systemu przesyłowego z dwóch kierunków. Główne zasilenie centralnej części województwa w gaz przewodowy realizowane jest przez dwa gazociągi przesyłowe wysokiego ciśnienia relacji Płońsk</w:t>
      </w:r>
      <w:r w:rsidR="00336D76" w:rsidRPr="00F25EBD">
        <w:rPr>
          <w:rFonts w:asciiTheme="majorHAnsi" w:hAnsiTheme="majorHAnsi" w:cstheme="majorHAnsi"/>
        </w:rPr>
        <w:t xml:space="preserve"> - </w:t>
      </w:r>
      <w:r w:rsidRPr="00F25EBD">
        <w:rPr>
          <w:rFonts w:asciiTheme="majorHAnsi" w:hAnsiTheme="majorHAnsi" w:cstheme="majorHAnsi"/>
        </w:rPr>
        <w:t>Ciechanów</w:t>
      </w:r>
      <w:r w:rsidR="00336D76" w:rsidRPr="00F25EBD">
        <w:rPr>
          <w:rFonts w:asciiTheme="majorHAnsi" w:hAnsiTheme="majorHAnsi" w:cstheme="majorHAnsi"/>
        </w:rPr>
        <w:t xml:space="preserve"> - </w:t>
      </w:r>
      <w:r w:rsidRPr="00F25EBD">
        <w:rPr>
          <w:rFonts w:asciiTheme="majorHAnsi" w:hAnsiTheme="majorHAnsi" w:cstheme="majorHAnsi"/>
        </w:rPr>
        <w:t>Uniszki Zawadzkie z węzła Rembelszczyzna koło Warszawy. Część zachodnia województwa zasilana jest przez odgałęzienia z gazociągów wysokiego ciśnienia:</w:t>
      </w:r>
    </w:p>
    <w:p w14:paraId="43579D2A" w14:textId="77777777" w:rsidR="00EA2B5F" w:rsidRPr="00F25EBD" w:rsidRDefault="00EA2B5F" w:rsidP="002106E4">
      <w:pPr>
        <w:pStyle w:val="Akapitzlist"/>
        <w:numPr>
          <w:ilvl w:val="0"/>
          <w:numId w:val="40"/>
        </w:numPr>
        <w:spacing w:after="0" w:line="276" w:lineRule="auto"/>
        <w:jc w:val="both"/>
        <w:rPr>
          <w:rFonts w:asciiTheme="majorHAnsi" w:hAnsiTheme="majorHAnsi" w:cstheme="majorHAnsi"/>
        </w:rPr>
      </w:pPr>
      <w:r w:rsidRPr="00F25EBD">
        <w:rPr>
          <w:rFonts w:asciiTheme="majorHAnsi" w:hAnsiTheme="majorHAnsi" w:cstheme="majorHAnsi"/>
        </w:rPr>
        <w:t>relacji Sztumska Wieś</w:t>
      </w:r>
      <w:r w:rsidR="00336D76" w:rsidRPr="00F25EBD">
        <w:rPr>
          <w:rFonts w:asciiTheme="majorHAnsi" w:hAnsiTheme="majorHAnsi" w:cstheme="majorHAnsi"/>
        </w:rPr>
        <w:t xml:space="preserve"> - </w:t>
      </w:r>
      <w:r w:rsidRPr="00F25EBD">
        <w:rPr>
          <w:rFonts w:asciiTheme="majorHAnsi" w:hAnsiTheme="majorHAnsi" w:cstheme="majorHAnsi"/>
        </w:rPr>
        <w:t>Raczki</w:t>
      </w:r>
      <w:r w:rsidR="00336D76" w:rsidRPr="00F25EBD">
        <w:rPr>
          <w:rFonts w:asciiTheme="majorHAnsi" w:hAnsiTheme="majorHAnsi" w:cstheme="majorHAnsi"/>
        </w:rPr>
        <w:t xml:space="preserve"> - </w:t>
      </w:r>
      <w:r w:rsidRPr="00F25EBD">
        <w:rPr>
          <w:rFonts w:asciiTheme="majorHAnsi" w:hAnsiTheme="majorHAnsi" w:cstheme="majorHAnsi"/>
        </w:rPr>
        <w:t>zaopatrzenie miasta Elbląg,</w:t>
      </w:r>
    </w:p>
    <w:p w14:paraId="133526E8" w14:textId="77777777" w:rsidR="00EA2B5F" w:rsidRPr="00F25EBD" w:rsidRDefault="00EA2B5F" w:rsidP="002106E4">
      <w:pPr>
        <w:pStyle w:val="Akapitzlist"/>
        <w:numPr>
          <w:ilvl w:val="0"/>
          <w:numId w:val="40"/>
        </w:numPr>
        <w:spacing w:after="0" w:line="276" w:lineRule="auto"/>
        <w:jc w:val="both"/>
        <w:rPr>
          <w:rFonts w:asciiTheme="majorHAnsi" w:hAnsiTheme="majorHAnsi" w:cstheme="majorHAnsi"/>
        </w:rPr>
      </w:pPr>
      <w:r w:rsidRPr="00F25EBD">
        <w:rPr>
          <w:rFonts w:asciiTheme="majorHAnsi" w:hAnsiTheme="majorHAnsi" w:cstheme="majorHAnsi"/>
        </w:rPr>
        <w:t>relacji Kwidzyn</w:t>
      </w:r>
      <w:r w:rsidR="00336D76" w:rsidRPr="00F25EBD">
        <w:rPr>
          <w:rFonts w:asciiTheme="majorHAnsi" w:hAnsiTheme="majorHAnsi" w:cstheme="majorHAnsi"/>
        </w:rPr>
        <w:t xml:space="preserve"> - </w:t>
      </w:r>
      <w:r w:rsidRPr="00F25EBD">
        <w:rPr>
          <w:rFonts w:asciiTheme="majorHAnsi" w:hAnsiTheme="majorHAnsi" w:cstheme="majorHAnsi"/>
        </w:rPr>
        <w:t>Susz</w:t>
      </w:r>
      <w:r w:rsidR="00336D76" w:rsidRPr="00F25EBD">
        <w:rPr>
          <w:rFonts w:asciiTheme="majorHAnsi" w:hAnsiTheme="majorHAnsi" w:cstheme="majorHAnsi"/>
        </w:rPr>
        <w:t xml:space="preserve"> - </w:t>
      </w:r>
      <w:r w:rsidRPr="00F25EBD">
        <w:rPr>
          <w:rFonts w:asciiTheme="majorHAnsi" w:hAnsiTheme="majorHAnsi" w:cstheme="majorHAnsi"/>
        </w:rPr>
        <w:t>zaopatrzenie miasta Susz,</w:t>
      </w:r>
    </w:p>
    <w:p w14:paraId="7922532A" w14:textId="77777777" w:rsidR="00EA2B5F" w:rsidRPr="00F25EBD" w:rsidRDefault="00EA2B5F" w:rsidP="002106E4">
      <w:pPr>
        <w:pStyle w:val="Akapitzlist"/>
        <w:numPr>
          <w:ilvl w:val="0"/>
          <w:numId w:val="40"/>
        </w:numPr>
        <w:spacing w:line="276" w:lineRule="auto"/>
        <w:jc w:val="both"/>
        <w:rPr>
          <w:rFonts w:asciiTheme="majorHAnsi" w:hAnsiTheme="majorHAnsi" w:cstheme="majorHAnsi"/>
        </w:rPr>
      </w:pPr>
      <w:r w:rsidRPr="00F25EBD">
        <w:rPr>
          <w:rFonts w:asciiTheme="majorHAnsi" w:hAnsiTheme="majorHAnsi" w:cstheme="majorHAnsi"/>
        </w:rPr>
        <w:t>relacji Brodnica</w:t>
      </w:r>
      <w:r w:rsidR="00336D76" w:rsidRPr="00F25EBD">
        <w:rPr>
          <w:rFonts w:asciiTheme="majorHAnsi" w:hAnsiTheme="majorHAnsi" w:cstheme="majorHAnsi"/>
        </w:rPr>
        <w:t xml:space="preserve"> - </w:t>
      </w:r>
      <w:r w:rsidRPr="00F25EBD">
        <w:rPr>
          <w:rFonts w:asciiTheme="majorHAnsi" w:hAnsiTheme="majorHAnsi" w:cstheme="majorHAnsi"/>
        </w:rPr>
        <w:t>Nowe Miasto Lubawskie</w:t>
      </w:r>
      <w:r w:rsidR="00336D76" w:rsidRPr="00F25EBD">
        <w:rPr>
          <w:rFonts w:asciiTheme="majorHAnsi" w:hAnsiTheme="majorHAnsi" w:cstheme="majorHAnsi"/>
        </w:rPr>
        <w:t xml:space="preserve"> - </w:t>
      </w:r>
      <w:r w:rsidRPr="00F25EBD">
        <w:rPr>
          <w:rFonts w:asciiTheme="majorHAnsi" w:hAnsiTheme="majorHAnsi" w:cstheme="majorHAnsi"/>
        </w:rPr>
        <w:t>Iława.</w:t>
      </w:r>
    </w:p>
    <w:p w14:paraId="34DD7E00" w14:textId="735CE7D5" w:rsidR="00EA2B5F" w:rsidRPr="00F25EBD" w:rsidRDefault="00EA2B5F" w:rsidP="00FC7062">
      <w:pPr>
        <w:spacing w:after="0" w:line="276" w:lineRule="auto"/>
        <w:jc w:val="both"/>
        <w:rPr>
          <w:rFonts w:asciiTheme="majorHAnsi" w:hAnsiTheme="majorHAnsi" w:cstheme="majorHAnsi"/>
        </w:rPr>
      </w:pPr>
      <w:r w:rsidRPr="00F25EBD">
        <w:rPr>
          <w:rFonts w:asciiTheme="majorHAnsi" w:hAnsiTheme="majorHAnsi" w:cstheme="majorHAnsi"/>
        </w:rPr>
        <w:t>Brak jest systemowych połączeń gazociągów wysokiego ciśnienia części zachodniej z centralną. W</w:t>
      </w:r>
      <w:r w:rsidR="001676E7">
        <w:rPr>
          <w:rFonts w:asciiTheme="majorHAnsi" w:hAnsiTheme="majorHAnsi" w:cstheme="majorHAnsi"/>
        </w:rPr>
        <w:t> </w:t>
      </w:r>
      <w:r w:rsidRPr="00F25EBD">
        <w:rPr>
          <w:rFonts w:asciiTheme="majorHAnsi" w:hAnsiTheme="majorHAnsi" w:cstheme="majorHAnsi"/>
        </w:rPr>
        <w:t>przypadku poważnej awarii głównego zasilenia centralnej części województwa może nastąpić częściowe odcięcie tego fragmentu województwa od dostaw gazu</w:t>
      </w:r>
      <w:r w:rsidRPr="00F25EBD">
        <w:rPr>
          <w:rStyle w:val="Odwoanieprzypisudolnego"/>
          <w:rFonts w:asciiTheme="majorHAnsi" w:hAnsiTheme="majorHAnsi" w:cstheme="majorHAnsi"/>
        </w:rPr>
        <w:footnoteReference w:id="31"/>
      </w:r>
      <w:r w:rsidRPr="00F25EBD">
        <w:rPr>
          <w:rFonts w:asciiTheme="majorHAnsi" w:hAnsiTheme="majorHAnsi" w:cstheme="majorHAnsi"/>
        </w:rPr>
        <w:t>.</w:t>
      </w:r>
    </w:p>
    <w:p w14:paraId="303796B3" w14:textId="77777777" w:rsidR="00EA2B5F" w:rsidRPr="00F25EBD" w:rsidRDefault="00EA2B5F" w:rsidP="00FC7062">
      <w:pPr>
        <w:spacing w:after="0" w:line="276" w:lineRule="auto"/>
        <w:jc w:val="both"/>
        <w:rPr>
          <w:rFonts w:asciiTheme="majorHAnsi" w:hAnsiTheme="majorHAnsi" w:cstheme="majorHAnsi"/>
        </w:rPr>
      </w:pPr>
    </w:p>
    <w:p w14:paraId="5F9D1C8E" w14:textId="49F9E6EB" w:rsidR="00EA2B5F" w:rsidRPr="00F25EBD" w:rsidRDefault="00EA2B5F" w:rsidP="008543EA">
      <w:pPr>
        <w:pStyle w:val="nad"/>
      </w:pPr>
      <w:bookmarkStart w:id="49" w:name="_Toc81301547"/>
      <w:r w:rsidRPr="00F25EBD">
        <w:t xml:space="preserve">Rysunek </w:t>
      </w:r>
      <w:r w:rsidRPr="00F25EBD">
        <w:rPr>
          <w:noProof/>
        </w:rPr>
        <w:fldChar w:fldCharType="begin"/>
      </w:r>
      <w:r w:rsidRPr="00F25EBD">
        <w:rPr>
          <w:noProof/>
        </w:rPr>
        <w:instrText xml:space="preserve"> SEQ Rysunek \* ARABIC </w:instrText>
      </w:r>
      <w:r w:rsidRPr="00F25EBD">
        <w:rPr>
          <w:noProof/>
        </w:rPr>
        <w:fldChar w:fldCharType="separate"/>
      </w:r>
      <w:r w:rsidR="006C7815">
        <w:rPr>
          <w:noProof/>
        </w:rPr>
        <w:t>19</w:t>
      </w:r>
      <w:r w:rsidRPr="00F25EBD">
        <w:rPr>
          <w:noProof/>
        </w:rPr>
        <w:fldChar w:fldCharType="end"/>
      </w:r>
      <w:r w:rsidRPr="00F25EBD">
        <w:t>. Główne kierunki zasilania województwa warmińsko-mazurskiego w gaz przewodowy</w:t>
      </w:r>
      <w:bookmarkEnd w:id="49"/>
    </w:p>
    <w:p w14:paraId="295D5106" w14:textId="77777777" w:rsidR="00EA2B5F" w:rsidRPr="00F25EBD" w:rsidRDefault="00EA2B5F" w:rsidP="00FC7062">
      <w:pPr>
        <w:spacing w:after="0" w:line="276" w:lineRule="auto"/>
        <w:jc w:val="both"/>
        <w:rPr>
          <w:rFonts w:asciiTheme="majorHAnsi" w:hAnsiTheme="majorHAnsi" w:cstheme="majorHAnsi"/>
        </w:rPr>
      </w:pPr>
      <w:r w:rsidRPr="00F25EBD">
        <w:rPr>
          <w:rFonts w:asciiTheme="majorHAnsi" w:hAnsiTheme="majorHAnsi" w:cstheme="majorHAnsi"/>
          <w:noProof/>
          <w:lang w:eastAsia="pl-PL"/>
        </w:rPr>
        <w:drawing>
          <wp:inline distT="0" distB="0" distL="0" distR="0" wp14:anchorId="0071F736" wp14:editId="2F257ED4">
            <wp:extent cx="5760720" cy="3418840"/>
            <wp:effectExtent l="0" t="0" r="0" b="0"/>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Obraz 20"/>
                    <pic:cNvPicPr/>
                  </pic:nvPicPr>
                  <pic:blipFill>
                    <a:blip r:embed="rId31">
                      <a:extLst>
                        <a:ext uri="{28A0092B-C50C-407E-A947-70E740481C1C}">
                          <a14:useLocalDpi xmlns:a14="http://schemas.microsoft.com/office/drawing/2010/main" val="0"/>
                        </a:ext>
                      </a:extLst>
                    </a:blip>
                    <a:stretch>
                      <a:fillRect/>
                    </a:stretch>
                  </pic:blipFill>
                  <pic:spPr>
                    <a:xfrm>
                      <a:off x="0" y="0"/>
                      <a:ext cx="5760720" cy="3418840"/>
                    </a:xfrm>
                    <a:prstGeom prst="rect">
                      <a:avLst/>
                    </a:prstGeom>
                  </pic:spPr>
                </pic:pic>
              </a:graphicData>
            </a:graphic>
          </wp:inline>
        </w:drawing>
      </w:r>
    </w:p>
    <w:p w14:paraId="7BFA1A0F" w14:textId="77777777" w:rsidR="00EA2B5F" w:rsidRPr="00F25EBD" w:rsidRDefault="00EA2B5F" w:rsidP="008543EA">
      <w:pPr>
        <w:pStyle w:val="rdo"/>
      </w:pPr>
      <w:r w:rsidRPr="00F25EBD">
        <w:t xml:space="preserve">Źródło: </w:t>
      </w:r>
      <w:r w:rsidRPr="00F25EBD">
        <w:rPr>
          <w:iCs/>
        </w:rPr>
        <w:t>Plan Zagospodarowania Przestrzennego Województwa Warmińsko-Mazurskiego</w:t>
      </w:r>
      <w:r w:rsidRPr="00F25EBD">
        <w:t>. 2018. Warmińsko-Mazurskie Biuro Planowania Przestrzennego, Olsztyn.</w:t>
      </w:r>
    </w:p>
    <w:p w14:paraId="44C6AB35" w14:textId="77777777" w:rsidR="00EA2B5F" w:rsidRPr="00F25EBD" w:rsidRDefault="00EA2B5F" w:rsidP="00FC7062">
      <w:pPr>
        <w:spacing w:after="0" w:line="276" w:lineRule="auto"/>
        <w:jc w:val="both"/>
        <w:rPr>
          <w:rFonts w:asciiTheme="majorHAnsi" w:hAnsiTheme="majorHAnsi" w:cstheme="majorHAnsi"/>
        </w:rPr>
      </w:pPr>
    </w:p>
    <w:p w14:paraId="14A2F08A" w14:textId="77777777" w:rsidR="00EA2B5F" w:rsidRPr="00F25EBD" w:rsidRDefault="00EA2B5F" w:rsidP="008A3FED">
      <w:pPr>
        <w:spacing w:line="276" w:lineRule="auto"/>
        <w:jc w:val="both"/>
        <w:rPr>
          <w:rFonts w:asciiTheme="majorHAnsi" w:hAnsiTheme="majorHAnsi" w:cstheme="majorHAnsi"/>
        </w:rPr>
      </w:pPr>
      <w:r w:rsidRPr="00F25EBD">
        <w:rPr>
          <w:rFonts w:asciiTheme="majorHAnsi" w:hAnsiTheme="majorHAnsi" w:cstheme="majorHAnsi"/>
        </w:rPr>
        <w:t xml:space="preserve">Z gazu przewodowego korzystają przede wszystkim gminy położone bezpośrednio w sąsiedztwie istniejących gazociągów wysokiego ciśnienia. Wschodnia część województwa (w tym powiat piski) nie posiada sieci przesyłowej i dystrybucyjnej wysokiego ciśnienia, a rozprowadzany gaz pochodzi ze stacji </w:t>
      </w:r>
      <w:proofErr w:type="spellStart"/>
      <w:r w:rsidRPr="00F25EBD">
        <w:rPr>
          <w:rFonts w:asciiTheme="majorHAnsi" w:hAnsiTheme="majorHAnsi" w:cstheme="majorHAnsi"/>
        </w:rPr>
        <w:t>regazyfikacji</w:t>
      </w:r>
      <w:proofErr w:type="spellEnd"/>
      <w:r w:rsidRPr="00F25EBD">
        <w:rPr>
          <w:rFonts w:asciiTheme="majorHAnsi" w:hAnsiTheme="majorHAnsi" w:cstheme="majorHAnsi"/>
        </w:rPr>
        <w:t xml:space="preserve"> LNG. </w:t>
      </w:r>
    </w:p>
    <w:p w14:paraId="7C21A450" w14:textId="1535F3D8" w:rsidR="00EA2B5F" w:rsidRPr="00F25EBD" w:rsidRDefault="00EA2B5F" w:rsidP="008A3FED">
      <w:pPr>
        <w:spacing w:line="276" w:lineRule="auto"/>
        <w:jc w:val="both"/>
        <w:rPr>
          <w:rFonts w:asciiTheme="majorHAnsi" w:hAnsiTheme="majorHAnsi" w:cstheme="majorHAnsi"/>
        </w:rPr>
      </w:pPr>
      <w:r w:rsidRPr="00F25EBD">
        <w:rPr>
          <w:rFonts w:asciiTheme="majorHAnsi" w:hAnsiTheme="majorHAnsi" w:cstheme="majorHAnsi"/>
        </w:rPr>
        <w:t>W</w:t>
      </w:r>
      <w:r w:rsidR="007B04A7">
        <w:rPr>
          <w:rFonts w:asciiTheme="majorHAnsi" w:hAnsiTheme="majorHAnsi" w:cstheme="majorHAnsi"/>
        </w:rPr>
        <w:t xml:space="preserve"> </w:t>
      </w:r>
      <w:r w:rsidRPr="00F25EBD">
        <w:rPr>
          <w:rFonts w:asciiTheme="majorHAnsi" w:hAnsiTheme="majorHAnsi" w:cstheme="majorHAnsi"/>
        </w:rPr>
        <w:t>2019</w:t>
      </w:r>
      <w:r w:rsidR="00F7062F">
        <w:rPr>
          <w:rFonts w:asciiTheme="majorHAnsi" w:hAnsiTheme="majorHAnsi" w:cstheme="majorHAnsi"/>
        </w:rPr>
        <w:t>r.</w:t>
      </w:r>
      <w:r w:rsidRPr="00F25EBD">
        <w:rPr>
          <w:rFonts w:asciiTheme="majorHAnsi" w:hAnsiTheme="majorHAnsi" w:cstheme="majorHAnsi"/>
        </w:rPr>
        <w:t xml:space="preserve"> czynna sieć gazowa ogółem (przesyłowa i rozdzielcza) w powiatach Południowych Mazur miała długość 622,0 km, co stanowiło 18,4% sieci gazowej województwa warmińsko-mazurskiego. Jej rozmieszczenie w poszczególnych jednostkach nie było równomierne</w:t>
      </w:r>
      <w:r w:rsidR="00336D76" w:rsidRPr="00F25EBD">
        <w:rPr>
          <w:rFonts w:asciiTheme="majorHAnsi" w:hAnsiTheme="majorHAnsi" w:cstheme="majorHAnsi"/>
        </w:rPr>
        <w:t xml:space="preserve"> - </w:t>
      </w:r>
      <w:r w:rsidRPr="00F25EBD">
        <w:rPr>
          <w:rFonts w:asciiTheme="majorHAnsi" w:hAnsiTheme="majorHAnsi" w:cstheme="majorHAnsi"/>
        </w:rPr>
        <w:t>najdłuższy odcinek znajdował się na terenie powiatu działdowskiego (</w:t>
      </w:r>
      <w:r w:rsidRPr="00F25EBD">
        <w:rPr>
          <w:rFonts w:asciiTheme="majorHAnsi" w:eastAsia="Times New Roman" w:hAnsiTheme="majorHAnsi" w:cstheme="majorHAnsi"/>
          <w:lang w:eastAsia="pl-PL"/>
        </w:rPr>
        <w:t>229,2</w:t>
      </w:r>
      <w:r w:rsidRPr="00F25EBD">
        <w:rPr>
          <w:rFonts w:asciiTheme="majorHAnsi" w:hAnsiTheme="majorHAnsi" w:cstheme="majorHAnsi"/>
        </w:rPr>
        <w:t xml:space="preserve"> km), natomiast najkrótszy we wspomnianym już powiecie </w:t>
      </w:r>
      <w:proofErr w:type="spellStart"/>
      <w:r w:rsidRPr="00F25EBD">
        <w:rPr>
          <w:rFonts w:asciiTheme="majorHAnsi" w:hAnsiTheme="majorHAnsi" w:cstheme="majorHAnsi"/>
        </w:rPr>
        <w:t>piskim</w:t>
      </w:r>
      <w:proofErr w:type="spellEnd"/>
      <w:r w:rsidRPr="00F25EBD">
        <w:rPr>
          <w:rFonts w:asciiTheme="majorHAnsi" w:hAnsiTheme="majorHAnsi" w:cstheme="majorHAnsi"/>
        </w:rPr>
        <w:t xml:space="preserve"> (31,8 km).</w:t>
      </w:r>
    </w:p>
    <w:p w14:paraId="4E8D6E2D" w14:textId="50553544" w:rsidR="00EA2B5F" w:rsidRPr="00F25EBD" w:rsidRDefault="00EA2B5F" w:rsidP="008A3FED">
      <w:pPr>
        <w:spacing w:line="276" w:lineRule="auto"/>
        <w:jc w:val="both"/>
        <w:rPr>
          <w:rFonts w:asciiTheme="majorHAnsi" w:hAnsiTheme="majorHAnsi" w:cstheme="majorHAnsi"/>
        </w:rPr>
      </w:pPr>
      <w:r w:rsidRPr="00F25EBD">
        <w:rPr>
          <w:rFonts w:asciiTheme="majorHAnsi" w:hAnsiTheme="majorHAnsi" w:cstheme="majorHAnsi"/>
        </w:rPr>
        <w:t>W latach 2010-2019 przyrastała zarówno długość sieci przesyłowej (14,2 km), jak i rozdzielczej (27,5</w:t>
      </w:r>
      <w:r w:rsidR="007B04A7">
        <w:rPr>
          <w:rFonts w:asciiTheme="majorHAnsi" w:hAnsiTheme="majorHAnsi" w:cstheme="majorHAnsi"/>
        </w:rPr>
        <w:t xml:space="preserve"> </w:t>
      </w:r>
      <w:r w:rsidRPr="00F25EBD">
        <w:rPr>
          <w:rFonts w:asciiTheme="majorHAnsi" w:hAnsiTheme="majorHAnsi" w:cstheme="majorHAnsi"/>
        </w:rPr>
        <w:t xml:space="preserve">km), co widoczne jest na poniższym rysunku. </w:t>
      </w:r>
    </w:p>
    <w:p w14:paraId="22C886EC" w14:textId="77777777" w:rsidR="004C64BD" w:rsidRDefault="004C64BD" w:rsidP="00FC7062">
      <w:pPr>
        <w:spacing w:line="276" w:lineRule="auto"/>
        <w:rPr>
          <w:rFonts w:asciiTheme="majorHAnsi" w:hAnsiTheme="majorHAnsi" w:cstheme="majorHAnsi"/>
        </w:rPr>
      </w:pPr>
      <w:r>
        <w:rPr>
          <w:rFonts w:asciiTheme="majorHAnsi" w:hAnsiTheme="majorHAnsi" w:cstheme="majorHAnsi"/>
        </w:rPr>
        <w:br w:type="page"/>
      </w:r>
    </w:p>
    <w:p w14:paraId="7367812A" w14:textId="7EF59988" w:rsidR="00EA2B5F" w:rsidRPr="00F25EBD" w:rsidRDefault="00EA2B5F" w:rsidP="008543EA">
      <w:pPr>
        <w:pStyle w:val="nad"/>
      </w:pPr>
      <w:bookmarkStart w:id="50" w:name="_Toc81301548"/>
      <w:r w:rsidRPr="00F25EBD">
        <w:t xml:space="preserve">Rysunek </w:t>
      </w:r>
      <w:r w:rsidRPr="00F25EBD">
        <w:rPr>
          <w:noProof/>
        </w:rPr>
        <w:fldChar w:fldCharType="begin"/>
      </w:r>
      <w:r w:rsidRPr="00F25EBD">
        <w:rPr>
          <w:noProof/>
        </w:rPr>
        <w:instrText xml:space="preserve"> SEQ Rysunek \* ARABIC </w:instrText>
      </w:r>
      <w:r w:rsidRPr="00F25EBD">
        <w:rPr>
          <w:noProof/>
        </w:rPr>
        <w:fldChar w:fldCharType="separate"/>
      </w:r>
      <w:r w:rsidR="006C7815">
        <w:rPr>
          <w:noProof/>
        </w:rPr>
        <w:t>20</w:t>
      </w:r>
      <w:r w:rsidRPr="00F25EBD">
        <w:rPr>
          <w:noProof/>
        </w:rPr>
        <w:fldChar w:fldCharType="end"/>
      </w:r>
      <w:r w:rsidRPr="00F25EBD">
        <w:t>. Zmiany w zakresie długości sieci przesyłowej i rozdzielczej PM w latach 2010-2019 (w km)</w:t>
      </w:r>
      <w:bookmarkEnd w:id="50"/>
    </w:p>
    <w:p w14:paraId="64D31EDF" w14:textId="77777777" w:rsidR="00EA2B5F" w:rsidRPr="00F25EBD" w:rsidRDefault="00EA2B5F" w:rsidP="00FC7062">
      <w:pPr>
        <w:spacing w:after="0" w:line="276" w:lineRule="auto"/>
        <w:jc w:val="both"/>
        <w:rPr>
          <w:rFonts w:asciiTheme="majorHAnsi" w:hAnsiTheme="majorHAnsi" w:cstheme="majorHAnsi"/>
        </w:rPr>
      </w:pPr>
      <w:r w:rsidRPr="00F25EBD">
        <w:rPr>
          <w:rFonts w:asciiTheme="majorHAnsi" w:hAnsiTheme="majorHAnsi" w:cstheme="majorHAnsi"/>
          <w:noProof/>
          <w:lang w:eastAsia="pl-PL"/>
        </w:rPr>
        <w:drawing>
          <wp:inline distT="0" distB="0" distL="0" distR="0" wp14:anchorId="4C7F44F0" wp14:editId="498479D3">
            <wp:extent cx="5760720" cy="4554415"/>
            <wp:effectExtent l="0" t="0" r="0" b="0"/>
            <wp:docPr id="24" name="Wykres 24">
              <a:extLst xmlns:a="http://schemas.openxmlformats.org/drawingml/2006/main">
                <a:ext uri="{FF2B5EF4-FFF2-40B4-BE49-F238E27FC236}">
                  <a16:creationId xmlns:a16="http://schemas.microsoft.com/office/drawing/2014/main" id="{6E1C3817-8D8A-4135-8903-8E66DD9B368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12543019" w14:textId="77777777" w:rsidR="00EA2B5F" w:rsidRPr="00F25EBD" w:rsidRDefault="00EA2B5F" w:rsidP="008543EA">
      <w:pPr>
        <w:pStyle w:val="rdo"/>
      </w:pPr>
      <w:r w:rsidRPr="00F25EBD">
        <w:t>Źródło: opracowanie własne na podstawie danych BDL.</w:t>
      </w:r>
    </w:p>
    <w:p w14:paraId="42C5F5D1" w14:textId="77777777" w:rsidR="00EA2B5F" w:rsidRPr="00F25EBD" w:rsidRDefault="00EA2B5F" w:rsidP="00FC7062">
      <w:pPr>
        <w:spacing w:after="0" w:line="276" w:lineRule="auto"/>
        <w:jc w:val="both"/>
        <w:rPr>
          <w:rFonts w:asciiTheme="majorHAnsi" w:hAnsiTheme="majorHAnsi" w:cstheme="majorHAnsi"/>
        </w:rPr>
      </w:pPr>
    </w:p>
    <w:p w14:paraId="3F741862" w14:textId="75A21905" w:rsidR="00EA2B5F" w:rsidRPr="00F25EBD" w:rsidRDefault="00EA2B5F" w:rsidP="00FC7062">
      <w:pPr>
        <w:spacing w:after="0" w:line="276" w:lineRule="auto"/>
        <w:jc w:val="both"/>
        <w:rPr>
          <w:rFonts w:asciiTheme="majorHAnsi" w:hAnsiTheme="majorHAnsi" w:cstheme="majorHAnsi"/>
        </w:rPr>
      </w:pPr>
      <w:r w:rsidRPr="00F25EBD">
        <w:rPr>
          <w:rFonts w:asciiTheme="majorHAnsi" w:hAnsiTheme="majorHAnsi" w:cstheme="majorHAnsi"/>
        </w:rPr>
        <w:t>Z sieci gazowej funkcjonującej na terenie Południowych Mazur w 2018</w:t>
      </w:r>
      <w:r w:rsidR="00F7062F">
        <w:rPr>
          <w:rFonts w:asciiTheme="majorHAnsi" w:hAnsiTheme="majorHAnsi" w:cstheme="majorHAnsi"/>
        </w:rPr>
        <w:t>r.</w:t>
      </w:r>
      <w:r w:rsidRPr="00F25EBD">
        <w:rPr>
          <w:rFonts w:asciiTheme="majorHAnsi" w:hAnsiTheme="majorHAnsi" w:cstheme="majorHAnsi"/>
        </w:rPr>
        <w:t xml:space="preserve"> korzystało </w:t>
      </w:r>
      <w:r w:rsidRPr="00F25EBD">
        <w:rPr>
          <w:rFonts w:asciiTheme="majorHAnsi" w:eastAsia="Times New Roman" w:hAnsiTheme="majorHAnsi" w:cstheme="majorHAnsi"/>
          <w:lang w:eastAsia="pl-PL"/>
        </w:rPr>
        <w:t>79.068 osób, z</w:t>
      </w:r>
      <w:r w:rsidR="007B04A7">
        <w:rPr>
          <w:rFonts w:asciiTheme="majorHAnsi" w:eastAsia="Times New Roman" w:hAnsiTheme="majorHAnsi" w:cstheme="majorHAnsi"/>
          <w:lang w:eastAsia="pl-PL"/>
        </w:rPr>
        <w:t xml:space="preserve"> </w:t>
      </w:r>
      <w:r w:rsidRPr="00F25EBD">
        <w:rPr>
          <w:rFonts w:asciiTheme="majorHAnsi" w:eastAsia="Times New Roman" w:hAnsiTheme="majorHAnsi" w:cstheme="majorHAnsi"/>
          <w:lang w:eastAsia="pl-PL"/>
        </w:rPr>
        <w:t xml:space="preserve">czego 39,4% pochodziło z powiatu działdowskiego, 29,3% szczycieńskiego, 16,4% </w:t>
      </w:r>
      <w:proofErr w:type="spellStart"/>
      <w:r w:rsidRPr="00F25EBD">
        <w:rPr>
          <w:rFonts w:asciiTheme="majorHAnsi" w:eastAsia="Times New Roman" w:hAnsiTheme="majorHAnsi" w:cstheme="majorHAnsi"/>
          <w:lang w:eastAsia="pl-PL"/>
        </w:rPr>
        <w:t>piskiego</w:t>
      </w:r>
      <w:proofErr w:type="spellEnd"/>
      <w:r w:rsidRPr="00F25EBD">
        <w:rPr>
          <w:rFonts w:asciiTheme="majorHAnsi" w:eastAsia="Times New Roman" w:hAnsiTheme="majorHAnsi" w:cstheme="majorHAnsi"/>
          <w:lang w:eastAsia="pl-PL"/>
        </w:rPr>
        <w:t xml:space="preserve"> i 14,8% nidzickiego. Łącznie stanowili oni 12,8% użytkowników z województwa warmińsko-mazurskiego. Odbiorcy wykorzystywali gaz do różnych celów, w tym m.in. do ogrzewania mieszkań. Z wyjątkiem powiatu </w:t>
      </w:r>
      <w:proofErr w:type="spellStart"/>
      <w:r w:rsidRPr="00F25EBD">
        <w:rPr>
          <w:rFonts w:asciiTheme="majorHAnsi" w:eastAsia="Times New Roman" w:hAnsiTheme="majorHAnsi" w:cstheme="majorHAnsi"/>
          <w:lang w:eastAsia="pl-PL"/>
        </w:rPr>
        <w:t>piskiego</w:t>
      </w:r>
      <w:proofErr w:type="spellEnd"/>
      <w:r w:rsidRPr="00F25EBD">
        <w:rPr>
          <w:rFonts w:asciiTheme="majorHAnsi" w:eastAsia="Times New Roman" w:hAnsiTheme="majorHAnsi" w:cstheme="majorHAnsi"/>
          <w:lang w:eastAsia="pl-PL"/>
        </w:rPr>
        <w:t>, w którym odsetek odbiorców ogrzewających mieszkania gazem</w:t>
      </w:r>
      <w:r w:rsidR="008543EA">
        <w:rPr>
          <w:rFonts w:asciiTheme="majorHAnsi" w:eastAsia="Times New Roman" w:hAnsiTheme="majorHAnsi" w:cstheme="majorHAnsi"/>
          <w:lang w:eastAsia="pl-PL"/>
        </w:rPr>
        <w:t xml:space="preserve"> był bardzo niewielki (5,7%), w </w:t>
      </w:r>
      <w:r w:rsidRPr="00F25EBD">
        <w:rPr>
          <w:rFonts w:asciiTheme="majorHAnsi" w:eastAsia="Times New Roman" w:hAnsiTheme="majorHAnsi" w:cstheme="majorHAnsi"/>
          <w:lang w:eastAsia="pl-PL"/>
        </w:rPr>
        <w:t>pozostałych wahał się od 30,8% (powiat nidzicki) do 36,7% (powiat działdowski).</w:t>
      </w:r>
    </w:p>
    <w:p w14:paraId="63D8500D" w14:textId="77777777" w:rsidR="00EA2B5F" w:rsidRPr="00F25EBD" w:rsidRDefault="00EA2B5F" w:rsidP="00FC7062">
      <w:pPr>
        <w:spacing w:after="0" w:line="276" w:lineRule="auto"/>
        <w:jc w:val="both"/>
        <w:rPr>
          <w:rFonts w:asciiTheme="majorHAnsi" w:hAnsiTheme="majorHAnsi" w:cstheme="majorHAnsi"/>
        </w:rPr>
      </w:pPr>
    </w:p>
    <w:p w14:paraId="7C83E480" w14:textId="77777777" w:rsidR="00EA2B5F" w:rsidRPr="00F25EBD" w:rsidRDefault="00EA2B5F" w:rsidP="002C7D64">
      <w:pPr>
        <w:pStyle w:val="Norm"/>
      </w:pPr>
      <w:r w:rsidRPr="00F25EBD">
        <w:t>Energia</w:t>
      </w:r>
    </w:p>
    <w:p w14:paraId="7BCAE258" w14:textId="77777777" w:rsidR="00EA2B5F" w:rsidRPr="00F25EBD" w:rsidRDefault="00EA2B5F" w:rsidP="00FC7062">
      <w:pPr>
        <w:spacing w:after="0" w:line="276" w:lineRule="auto"/>
        <w:jc w:val="both"/>
        <w:rPr>
          <w:rFonts w:asciiTheme="majorHAnsi" w:hAnsiTheme="majorHAnsi" w:cstheme="majorHAnsi"/>
        </w:rPr>
      </w:pPr>
      <w:r w:rsidRPr="00F25EBD">
        <w:rPr>
          <w:rFonts w:asciiTheme="majorHAnsi" w:hAnsiTheme="majorHAnsi" w:cstheme="majorHAnsi"/>
        </w:rPr>
        <w:t>Na obszarze Południowych Mazur nie ma elektrowni systemowych oraz innych znaczących źródeł wytwórczych. Obszar ten jest zaopatrywany w energię elektryczną z krajowego systemu elektroenergetycznego następującymi liniami przesyłowymi najwyższych napięć:</w:t>
      </w:r>
    </w:p>
    <w:p w14:paraId="315A3FFB" w14:textId="77777777" w:rsidR="00EA2B5F" w:rsidRPr="00F25EBD" w:rsidRDefault="00EA2B5F" w:rsidP="002106E4">
      <w:pPr>
        <w:pStyle w:val="Akapitzlist"/>
        <w:numPr>
          <w:ilvl w:val="0"/>
          <w:numId w:val="41"/>
        </w:numPr>
        <w:spacing w:after="0" w:line="276" w:lineRule="auto"/>
        <w:jc w:val="both"/>
        <w:rPr>
          <w:rFonts w:asciiTheme="majorHAnsi" w:hAnsiTheme="majorHAnsi" w:cstheme="majorHAnsi"/>
        </w:rPr>
      </w:pPr>
      <w:r w:rsidRPr="00F25EBD">
        <w:rPr>
          <w:rFonts w:asciiTheme="majorHAnsi" w:hAnsiTheme="majorHAnsi" w:cstheme="majorHAnsi"/>
        </w:rPr>
        <w:t xml:space="preserve">linia 400 </w:t>
      </w:r>
      <w:proofErr w:type="spellStart"/>
      <w:r w:rsidRPr="00F25EBD">
        <w:rPr>
          <w:rFonts w:asciiTheme="majorHAnsi" w:hAnsiTheme="majorHAnsi" w:cstheme="majorHAnsi"/>
        </w:rPr>
        <w:t>kV</w:t>
      </w:r>
      <w:proofErr w:type="spellEnd"/>
      <w:r w:rsidRPr="00F25EBD">
        <w:rPr>
          <w:rFonts w:asciiTheme="majorHAnsi" w:hAnsiTheme="majorHAnsi" w:cstheme="majorHAnsi"/>
        </w:rPr>
        <w:t xml:space="preserve"> Ostrołęka</w:t>
      </w:r>
      <w:r w:rsidR="00336D76" w:rsidRPr="00F25EBD">
        <w:rPr>
          <w:rFonts w:asciiTheme="majorHAnsi" w:hAnsiTheme="majorHAnsi" w:cstheme="majorHAnsi"/>
        </w:rPr>
        <w:t xml:space="preserve"> - </w:t>
      </w:r>
      <w:r w:rsidRPr="00F25EBD">
        <w:rPr>
          <w:rFonts w:asciiTheme="majorHAnsi" w:hAnsiTheme="majorHAnsi" w:cstheme="majorHAnsi"/>
        </w:rPr>
        <w:t xml:space="preserve">Olsztyn Mątki (1 tor pracujący na napięciu 400 </w:t>
      </w:r>
      <w:proofErr w:type="spellStart"/>
      <w:r w:rsidRPr="00F25EBD">
        <w:rPr>
          <w:rFonts w:asciiTheme="majorHAnsi" w:hAnsiTheme="majorHAnsi" w:cstheme="majorHAnsi"/>
        </w:rPr>
        <w:t>kV</w:t>
      </w:r>
      <w:proofErr w:type="spellEnd"/>
      <w:r w:rsidRPr="00F25EBD">
        <w:rPr>
          <w:rFonts w:asciiTheme="majorHAnsi" w:hAnsiTheme="majorHAnsi" w:cstheme="majorHAnsi"/>
        </w:rPr>
        <w:t xml:space="preserve">, 2 tor pracujący na napięciu 220 </w:t>
      </w:r>
      <w:proofErr w:type="spellStart"/>
      <w:r w:rsidRPr="00F25EBD">
        <w:rPr>
          <w:rFonts w:asciiTheme="majorHAnsi" w:hAnsiTheme="majorHAnsi" w:cstheme="majorHAnsi"/>
        </w:rPr>
        <w:t>kV</w:t>
      </w:r>
      <w:proofErr w:type="spellEnd"/>
      <w:r w:rsidRPr="00F25EBD">
        <w:rPr>
          <w:rFonts w:asciiTheme="majorHAnsi" w:hAnsiTheme="majorHAnsi" w:cstheme="majorHAnsi"/>
        </w:rPr>
        <w:t>),</w:t>
      </w:r>
    </w:p>
    <w:p w14:paraId="6E555D51" w14:textId="77777777" w:rsidR="00EA2B5F" w:rsidRPr="00F25EBD" w:rsidRDefault="00EA2B5F" w:rsidP="002106E4">
      <w:pPr>
        <w:pStyle w:val="Akapitzlist"/>
        <w:numPr>
          <w:ilvl w:val="0"/>
          <w:numId w:val="41"/>
        </w:numPr>
        <w:spacing w:after="0" w:line="276" w:lineRule="auto"/>
        <w:jc w:val="both"/>
        <w:rPr>
          <w:rFonts w:asciiTheme="majorHAnsi" w:hAnsiTheme="majorHAnsi" w:cstheme="majorHAnsi"/>
        </w:rPr>
      </w:pPr>
      <w:r w:rsidRPr="00F25EBD">
        <w:rPr>
          <w:rFonts w:asciiTheme="majorHAnsi" w:hAnsiTheme="majorHAnsi" w:cstheme="majorHAnsi"/>
        </w:rPr>
        <w:t xml:space="preserve">linia 220 </w:t>
      </w:r>
      <w:proofErr w:type="spellStart"/>
      <w:r w:rsidRPr="00F25EBD">
        <w:rPr>
          <w:rFonts w:asciiTheme="majorHAnsi" w:hAnsiTheme="majorHAnsi" w:cstheme="majorHAnsi"/>
        </w:rPr>
        <w:t>kV</w:t>
      </w:r>
      <w:proofErr w:type="spellEnd"/>
      <w:r w:rsidRPr="00F25EBD">
        <w:rPr>
          <w:rFonts w:asciiTheme="majorHAnsi" w:hAnsiTheme="majorHAnsi" w:cstheme="majorHAnsi"/>
        </w:rPr>
        <w:t xml:space="preserve"> Włocławek Azoty</w:t>
      </w:r>
      <w:r w:rsidR="00336D76" w:rsidRPr="00F25EBD">
        <w:rPr>
          <w:rFonts w:asciiTheme="majorHAnsi" w:hAnsiTheme="majorHAnsi" w:cstheme="majorHAnsi"/>
        </w:rPr>
        <w:t xml:space="preserve"> - </w:t>
      </w:r>
      <w:r w:rsidRPr="00F25EBD">
        <w:rPr>
          <w:rFonts w:asciiTheme="majorHAnsi" w:hAnsiTheme="majorHAnsi" w:cstheme="majorHAnsi"/>
        </w:rPr>
        <w:t>Olsztyn 1.</w:t>
      </w:r>
    </w:p>
    <w:p w14:paraId="5BE9E429" w14:textId="77777777" w:rsidR="00EA2B5F" w:rsidRPr="00F25EBD" w:rsidRDefault="00EA2B5F" w:rsidP="00FC7062">
      <w:pPr>
        <w:pStyle w:val="Akapitzlist"/>
        <w:spacing w:after="0" w:line="276" w:lineRule="auto"/>
        <w:jc w:val="both"/>
        <w:rPr>
          <w:rFonts w:asciiTheme="majorHAnsi" w:hAnsiTheme="majorHAnsi" w:cstheme="majorHAnsi"/>
        </w:rPr>
      </w:pPr>
    </w:p>
    <w:p w14:paraId="36E2DCED" w14:textId="77777777" w:rsidR="00EA2B5F" w:rsidRPr="00F25EBD" w:rsidRDefault="00EA2B5F" w:rsidP="00FC7062">
      <w:pPr>
        <w:spacing w:after="0" w:line="276" w:lineRule="auto"/>
        <w:jc w:val="both"/>
        <w:rPr>
          <w:rFonts w:asciiTheme="majorHAnsi" w:hAnsiTheme="majorHAnsi" w:cstheme="majorHAnsi"/>
        </w:rPr>
      </w:pPr>
      <w:r w:rsidRPr="00F25EBD">
        <w:rPr>
          <w:rFonts w:asciiTheme="majorHAnsi" w:hAnsiTheme="majorHAnsi" w:cstheme="majorHAnsi"/>
        </w:rPr>
        <w:t>Przebieg linii przesyłowych najwyższych napięć przedstawiony jest na poniższym rysunku.</w:t>
      </w:r>
    </w:p>
    <w:p w14:paraId="38423662" w14:textId="77777777" w:rsidR="00EA2B5F" w:rsidRPr="00F25EBD" w:rsidRDefault="00EA2B5F" w:rsidP="00FC7062">
      <w:pPr>
        <w:spacing w:after="0" w:line="276" w:lineRule="auto"/>
        <w:jc w:val="both"/>
        <w:rPr>
          <w:rFonts w:asciiTheme="majorHAnsi" w:hAnsiTheme="majorHAnsi" w:cstheme="majorHAnsi"/>
        </w:rPr>
      </w:pPr>
    </w:p>
    <w:p w14:paraId="5F2D0F9D" w14:textId="10C17BD0" w:rsidR="00EA2B5F" w:rsidRPr="00F25EBD" w:rsidRDefault="00EA2B5F" w:rsidP="008543EA">
      <w:pPr>
        <w:pStyle w:val="nad"/>
      </w:pPr>
      <w:bookmarkStart w:id="51" w:name="_Toc81301549"/>
      <w:r w:rsidRPr="00F25EBD">
        <w:t xml:space="preserve">Rysunek </w:t>
      </w:r>
      <w:r w:rsidRPr="00F25EBD">
        <w:rPr>
          <w:noProof/>
        </w:rPr>
        <w:fldChar w:fldCharType="begin"/>
      </w:r>
      <w:r w:rsidRPr="00F25EBD">
        <w:rPr>
          <w:noProof/>
        </w:rPr>
        <w:instrText xml:space="preserve"> SEQ Rysunek \* ARABIC </w:instrText>
      </w:r>
      <w:r w:rsidRPr="00F25EBD">
        <w:rPr>
          <w:noProof/>
        </w:rPr>
        <w:fldChar w:fldCharType="separate"/>
      </w:r>
      <w:r w:rsidR="006C7815">
        <w:rPr>
          <w:noProof/>
        </w:rPr>
        <w:t>21</w:t>
      </w:r>
      <w:r w:rsidRPr="00F25EBD">
        <w:rPr>
          <w:noProof/>
        </w:rPr>
        <w:fldChar w:fldCharType="end"/>
      </w:r>
      <w:r w:rsidRPr="00F25EBD">
        <w:t>. Przebieg linii przesyłowych najwyższych napięć w województwie warmińsko-mazurskim</w:t>
      </w:r>
      <w:bookmarkEnd w:id="51"/>
    </w:p>
    <w:p w14:paraId="0D3E685E" w14:textId="77777777" w:rsidR="00EA2B5F" w:rsidRPr="00F25EBD" w:rsidRDefault="00EA2B5F" w:rsidP="00FC7062">
      <w:pPr>
        <w:spacing w:after="0" w:line="276" w:lineRule="auto"/>
        <w:jc w:val="both"/>
        <w:rPr>
          <w:rFonts w:asciiTheme="majorHAnsi" w:hAnsiTheme="majorHAnsi" w:cstheme="majorHAnsi"/>
        </w:rPr>
      </w:pPr>
      <w:r w:rsidRPr="00F25EBD">
        <w:rPr>
          <w:rFonts w:asciiTheme="majorHAnsi" w:hAnsiTheme="majorHAnsi" w:cstheme="majorHAnsi"/>
          <w:noProof/>
          <w:lang w:eastAsia="pl-PL"/>
        </w:rPr>
        <w:drawing>
          <wp:inline distT="0" distB="0" distL="0" distR="0" wp14:anchorId="7A427282" wp14:editId="6BD9766E">
            <wp:extent cx="5760720" cy="3076575"/>
            <wp:effectExtent l="0" t="0" r="0" b="9525"/>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Obraz 25"/>
                    <pic:cNvPicPr/>
                  </pic:nvPicPr>
                  <pic:blipFill>
                    <a:blip r:embed="rId33">
                      <a:extLst>
                        <a:ext uri="{28A0092B-C50C-407E-A947-70E740481C1C}">
                          <a14:useLocalDpi xmlns:a14="http://schemas.microsoft.com/office/drawing/2010/main" val="0"/>
                        </a:ext>
                      </a:extLst>
                    </a:blip>
                    <a:stretch>
                      <a:fillRect/>
                    </a:stretch>
                  </pic:blipFill>
                  <pic:spPr>
                    <a:xfrm>
                      <a:off x="0" y="0"/>
                      <a:ext cx="5760720" cy="3076575"/>
                    </a:xfrm>
                    <a:prstGeom prst="rect">
                      <a:avLst/>
                    </a:prstGeom>
                  </pic:spPr>
                </pic:pic>
              </a:graphicData>
            </a:graphic>
          </wp:inline>
        </w:drawing>
      </w:r>
    </w:p>
    <w:p w14:paraId="2E36A854" w14:textId="77777777" w:rsidR="00EA2B5F" w:rsidRPr="00F25EBD" w:rsidRDefault="00EA2B5F" w:rsidP="008543EA">
      <w:pPr>
        <w:pStyle w:val="rdo"/>
      </w:pPr>
      <w:r w:rsidRPr="00F25EBD">
        <w:t xml:space="preserve">Źródło: </w:t>
      </w:r>
      <w:r w:rsidRPr="00F25EBD">
        <w:rPr>
          <w:iCs/>
        </w:rPr>
        <w:t>Plan Zagospodarowania Przestrzennego Województwa Warmińsko-Mazurskiego</w:t>
      </w:r>
      <w:r w:rsidRPr="00F25EBD">
        <w:t>. 2018. Warmińsko-Mazurskie Biuro Planowania Przestrzennego, Olsztyn.</w:t>
      </w:r>
    </w:p>
    <w:p w14:paraId="33E7585F" w14:textId="28BFD891" w:rsidR="00EA2B5F" w:rsidRPr="00F25EBD" w:rsidRDefault="00EA2B5F" w:rsidP="008A3FED">
      <w:pPr>
        <w:spacing w:line="276" w:lineRule="auto"/>
        <w:jc w:val="both"/>
        <w:rPr>
          <w:rFonts w:asciiTheme="majorHAnsi" w:eastAsia="Times New Roman" w:hAnsiTheme="majorHAnsi" w:cstheme="majorHAnsi"/>
          <w:lang w:eastAsia="pl-PL"/>
        </w:rPr>
      </w:pPr>
      <w:r w:rsidRPr="00F25EBD">
        <w:rPr>
          <w:rFonts w:asciiTheme="majorHAnsi" w:hAnsiTheme="majorHAnsi" w:cstheme="majorHAnsi"/>
        </w:rPr>
        <w:t>W 2019</w:t>
      </w:r>
      <w:r w:rsidR="00F7062F">
        <w:rPr>
          <w:rFonts w:asciiTheme="majorHAnsi" w:hAnsiTheme="majorHAnsi" w:cstheme="majorHAnsi"/>
        </w:rPr>
        <w:t>r.</w:t>
      </w:r>
      <w:r w:rsidRPr="00F25EBD">
        <w:rPr>
          <w:rFonts w:asciiTheme="majorHAnsi" w:hAnsiTheme="majorHAnsi" w:cstheme="majorHAnsi"/>
        </w:rPr>
        <w:t xml:space="preserve"> z energii elektrycznej korzystało 77.694 odbiorców, z czego 31,5% pochodziło z powiatu szczycieńskiego, 29,1% z działdowskiego, 25,4% z </w:t>
      </w:r>
      <w:proofErr w:type="spellStart"/>
      <w:r w:rsidRPr="00F25EBD">
        <w:rPr>
          <w:rFonts w:asciiTheme="majorHAnsi" w:hAnsiTheme="majorHAnsi" w:cstheme="majorHAnsi"/>
        </w:rPr>
        <w:t>piskiego</w:t>
      </w:r>
      <w:proofErr w:type="spellEnd"/>
      <w:r w:rsidRPr="00F25EBD">
        <w:rPr>
          <w:rFonts w:asciiTheme="majorHAnsi" w:hAnsiTheme="majorHAnsi" w:cstheme="majorHAnsi"/>
        </w:rPr>
        <w:t xml:space="preserve"> i 14,0% z nidzickiego. Na przestrzeni lat 2010-2019 ich liczba sukcesywnie rosła, przy czym najwyższy przyrost widoczny był w powiecie nidzickim (8,5%), natomiast najniższy w szczycieńskim (3,7%). Wzrostowi liczby użytkowników towarzyszył spadek zużycia energii o 2,4%, co z punktu widzenia ochrony przyrody należy uznać za bardzo korzystny trend. Nie dotyczył on jednak wszystkich analizowanych powiatów w jednakowym stopniu. Najwyższy spadek zużycia energii elektrycznej w</w:t>
      </w:r>
      <w:r w:rsidR="007B04A7">
        <w:rPr>
          <w:rFonts w:asciiTheme="majorHAnsi" w:hAnsiTheme="majorHAnsi" w:cstheme="majorHAnsi"/>
        </w:rPr>
        <w:t xml:space="preserve"> </w:t>
      </w:r>
      <w:r w:rsidRPr="00F25EBD">
        <w:rPr>
          <w:rFonts w:asciiTheme="majorHAnsi" w:hAnsiTheme="majorHAnsi" w:cstheme="majorHAnsi"/>
        </w:rPr>
        <w:t>przeliczeniu na mieszkańca nastąpił w</w:t>
      </w:r>
      <w:r w:rsidR="007B04A7">
        <w:rPr>
          <w:rFonts w:asciiTheme="majorHAnsi" w:hAnsiTheme="majorHAnsi" w:cstheme="majorHAnsi"/>
        </w:rPr>
        <w:t xml:space="preserve"> </w:t>
      </w:r>
      <w:r w:rsidRPr="00F25EBD">
        <w:rPr>
          <w:rFonts w:asciiTheme="majorHAnsi" w:hAnsiTheme="majorHAnsi" w:cstheme="majorHAnsi"/>
        </w:rPr>
        <w:t xml:space="preserve">powiecie szczycieńskim (o </w:t>
      </w:r>
      <w:r w:rsidR="001676E7">
        <w:rPr>
          <w:rFonts w:asciiTheme="majorHAnsi" w:eastAsia="Times New Roman" w:hAnsiTheme="majorHAnsi" w:cstheme="majorHAnsi"/>
          <w:lang w:eastAsia="pl-PL"/>
        </w:rPr>
        <w:t>4,53%) i </w:t>
      </w:r>
      <w:r w:rsidRPr="00F25EBD">
        <w:rPr>
          <w:rFonts w:asciiTheme="majorHAnsi" w:eastAsia="Times New Roman" w:hAnsiTheme="majorHAnsi" w:cstheme="majorHAnsi"/>
          <w:lang w:eastAsia="pl-PL"/>
        </w:rPr>
        <w:t xml:space="preserve">nieco niższy w nidzickim (o 2,4%), natomiast w dwóch pozostałych miał miejsce wzrost, który wyniósł 2,8% w powiecie działdowskim i 7,3% w </w:t>
      </w:r>
      <w:proofErr w:type="spellStart"/>
      <w:r w:rsidRPr="00F25EBD">
        <w:rPr>
          <w:rFonts w:asciiTheme="majorHAnsi" w:eastAsia="Times New Roman" w:hAnsiTheme="majorHAnsi" w:cstheme="majorHAnsi"/>
          <w:lang w:eastAsia="pl-PL"/>
        </w:rPr>
        <w:t>piskim</w:t>
      </w:r>
      <w:proofErr w:type="spellEnd"/>
      <w:r w:rsidRPr="00F25EBD">
        <w:rPr>
          <w:rFonts w:asciiTheme="majorHAnsi" w:eastAsia="Times New Roman" w:hAnsiTheme="majorHAnsi" w:cstheme="majorHAnsi"/>
          <w:lang w:eastAsia="pl-PL"/>
        </w:rPr>
        <w:t>.</w:t>
      </w:r>
    </w:p>
    <w:p w14:paraId="2BD79222" w14:textId="77777777" w:rsidR="00EA2B5F" w:rsidRPr="00F25EBD" w:rsidRDefault="00EA2B5F" w:rsidP="008A3FED">
      <w:pPr>
        <w:spacing w:line="276" w:lineRule="auto"/>
        <w:jc w:val="both"/>
        <w:rPr>
          <w:rFonts w:asciiTheme="majorHAnsi" w:hAnsiTheme="majorHAnsi" w:cstheme="majorHAnsi"/>
        </w:rPr>
      </w:pPr>
      <w:r w:rsidRPr="00F25EBD">
        <w:rPr>
          <w:rFonts w:asciiTheme="majorHAnsi" w:hAnsiTheme="majorHAnsi" w:cstheme="majorHAnsi"/>
        </w:rPr>
        <w:t>Uzupełnieniem energii konwencjonalnej jest energia odnawialna uzyskiwana z naturalnych, powtarzających się procesów przyrodniczych (OZE). Do produkcji energii w regionie PM wykorzystywane są trzy odnawialne źródła, tj.: woda, wiatr i słońce. Liczbę dużych instalacji OZE zlokalizowanych na terenie Południowych Mazur zestawiono w tabeli poniżej.</w:t>
      </w:r>
    </w:p>
    <w:p w14:paraId="376C597B" w14:textId="61F7932B" w:rsidR="00EA2B5F" w:rsidRPr="00F25EBD" w:rsidRDefault="00EA2B5F" w:rsidP="00575FF9">
      <w:pPr>
        <w:pStyle w:val="nad"/>
      </w:pPr>
      <w:bookmarkStart w:id="52" w:name="_Toc81300536"/>
      <w:r w:rsidRPr="00F25EBD">
        <w:t xml:space="preserve">Tabela </w:t>
      </w:r>
      <w:r w:rsidRPr="00F25EBD">
        <w:rPr>
          <w:noProof/>
        </w:rPr>
        <w:fldChar w:fldCharType="begin"/>
      </w:r>
      <w:r w:rsidRPr="00F25EBD">
        <w:rPr>
          <w:noProof/>
        </w:rPr>
        <w:instrText xml:space="preserve"> SEQ Tabela \* ARABIC </w:instrText>
      </w:r>
      <w:r w:rsidRPr="00F25EBD">
        <w:rPr>
          <w:noProof/>
        </w:rPr>
        <w:fldChar w:fldCharType="separate"/>
      </w:r>
      <w:r w:rsidR="006C7815">
        <w:rPr>
          <w:noProof/>
        </w:rPr>
        <w:t>10</w:t>
      </w:r>
      <w:r w:rsidRPr="00F25EBD">
        <w:rPr>
          <w:noProof/>
        </w:rPr>
        <w:fldChar w:fldCharType="end"/>
      </w:r>
      <w:r w:rsidRPr="00F25EBD">
        <w:t>. Duże instalacje OZE z Południowych Mazur</w:t>
      </w:r>
      <w:r w:rsidR="00336D76" w:rsidRPr="00F25EBD">
        <w:t xml:space="preserve"> - </w:t>
      </w:r>
      <w:r w:rsidRPr="00F25EBD">
        <w:t>liczba i moc zainstalowana (2019</w:t>
      </w:r>
      <w:r w:rsidR="00F7062F">
        <w:t>r.</w:t>
      </w:r>
      <w:r w:rsidRPr="00F25EBD">
        <w:t>)</w:t>
      </w:r>
      <w:bookmarkEnd w:id="52"/>
    </w:p>
    <w:tbl>
      <w:tblPr>
        <w:tblW w:w="0" w:type="auto"/>
        <w:tblInd w:w="75" w:type="dxa"/>
        <w:tblCellMar>
          <w:left w:w="70" w:type="dxa"/>
          <w:right w:w="70" w:type="dxa"/>
        </w:tblCellMar>
        <w:tblLook w:val="04A0" w:firstRow="1" w:lastRow="0" w:firstColumn="1" w:lastColumn="0" w:noHBand="0" w:noVBand="1"/>
      </w:tblPr>
      <w:tblGrid>
        <w:gridCol w:w="1103"/>
        <w:gridCol w:w="628"/>
        <w:gridCol w:w="1623"/>
        <w:gridCol w:w="549"/>
        <w:gridCol w:w="1336"/>
        <w:gridCol w:w="546"/>
        <w:gridCol w:w="1327"/>
        <w:gridCol w:w="546"/>
        <w:gridCol w:w="1327"/>
      </w:tblGrid>
      <w:tr w:rsidR="008543EA" w:rsidRPr="008543EA" w14:paraId="73E8ADBD" w14:textId="77777777" w:rsidTr="00575FF9">
        <w:trPr>
          <w:trHeight w:val="20"/>
        </w:trPr>
        <w:tc>
          <w:tcPr>
            <w:tcW w:w="0" w:type="auto"/>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vAlign w:val="center"/>
            <w:hideMark/>
          </w:tcPr>
          <w:p w14:paraId="52B19D12" w14:textId="77777777" w:rsidR="00EA2B5F" w:rsidRPr="008543EA" w:rsidRDefault="00EA2B5F" w:rsidP="008543EA">
            <w:pPr>
              <w:spacing w:after="0" w:line="240" w:lineRule="auto"/>
              <w:jc w:val="center"/>
              <w:rPr>
                <w:rFonts w:asciiTheme="majorHAnsi" w:eastAsia="Times New Roman" w:hAnsiTheme="majorHAnsi" w:cstheme="majorHAnsi"/>
                <w:color w:val="FFFFFF" w:themeColor="background1"/>
                <w:sz w:val="20"/>
                <w:szCs w:val="20"/>
                <w:lang w:eastAsia="pl-PL"/>
              </w:rPr>
            </w:pPr>
            <w:r w:rsidRPr="008543EA">
              <w:rPr>
                <w:rFonts w:asciiTheme="majorHAnsi" w:eastAsia="Times New Roman" w:hAnsiTheme="majorHAnsi" w:cstheme="majorHAnsi"/>
                <w:color w:val="FFFFFF" w:themeColor="background1"/>
                <w:sz w:val="20"/>
                <w:szCs w:val="20"/>
                <w:lang w:eastAsia="pl-PL"/>
              </w:rPr>
              <w:t>Powiat</w:t>
            </w:r>
          </w:p>
        </w:tc>
        <w:tc>
          <w:tcPr>
            <w:tcW w:w="0" w:type="auto"/>
            <w:gridSpan w:val="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vAlign w:val="center"/>
            <w:hideMark/>
          </w:tcPr>
          <w:p w14:paraId="02E3B022" w14:textId="77777777" w:rsidR="00EA2B5F" w:rsidRPr="008543EA" w:rsidRDefault="00EA2B5F" w:rsidP="008543EA">
            <w:pPr>
              <w:spacing w:after="0" w:line="240" w:lineRule="auto"/>
              <w:jc w:val="center"/>
              <w:rPr>
                <w:rFonts w:asciiTheme="majorHAnsi" w:eastAsia="Times New Roman" w:hAnsiTheme="majorHAnsi" w:cstheme="majorHAnsi"/>
                <w:color w:val="FFFFFF" w:themeColor="background1"/>
                <w:sz w:val="20"/>
                <w:szCs w:val="20"/>
                <w:lang w:eastAsia="pl-PL"/>
              </w:rPr>
            </w:pPr>
            <w:r w:rsidRPr="008543EA">
              <w:rPr>
                <w:rFonts w:asciiTheme="majorHAnsi" w:eastAsia="Times New Roman" w:hAnsiTheme="majorHAnsi" w:cstheme="majorHAnsi"/>
                <w:color w:val="FFFFFF" w:themeColor="background1"/>
                <w:sz w:val="20"/>
                <w:szCs w:val="20"/>
                <w:lang w:eastAsia="pl-PL"/>
              </w:rPr>
              <w:t>OZE</w:t>
            </w:r>
          </w:p>
        </w:tc>
      </w:tr>
      <w:tr w:rsidR="00EA2B5F" w:rsidRPr="00F25EBD" w14:paraId="3193A0B6" w14:textId="77777777" w:rsidTr="00575FF9">
        <w:trPr>
          <w:trHeight w:val="20"/>
        </w:trPr>
        <w:tc>
          <w:tcPr>
            <w:tcW w:w="0" w:type="auto"/>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405E1E01" w14:textId="77777777" w:rsidR="00EA2B5F" w:rsidRPr="00F25EBD" w:rsidRDefault="00EA2B5F" w:rsidP="008543EA">
            <w:pPr>
              <w:spacing w:after="0" w:line="240" w:lineRule="auto"/>
              <w:rPr>
                <w:rFonts w:asciiTheme="majorHAnsi" w:eastAsia="Times New Roman" w:hAnsiTheme="majorHAnsi" w:cstheme="majorHAnsi"/>
                <w:color w:val="000000"/>
                <w:sz w:val="20"/>
                <w:szCs w:val="20"/>
                <w:lang w:eastAsia="pl-PL"/>
              </w:rPr>
            </w:pPr>
          </w:p>
        </w:tc>
        <w:tc>
          <w:tcPr>
            <w:tcW w:w="0" w:type="auto"/>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EEAF6" w:themeFill="accent1" w:themeFillTint="33"/>
            <w:vAlign w:val="center"/>
            <w:hideMark/>
          </w:tcPr>
          <w:p w14:paraId="75B1DDF5" w14:textId="77777777" w:rsidR="00EA2B5F" w:rsidRPr="00F25EBD" w:rsidRDefault="00EA2B5F" w:rsidP="008543EA">
            <w:pPr>
              <w:spacing w:after="0" w:line="240" w:lineRule="auto"/>
              <w:jc w:val="center"/>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wykorzystujące energię promieniowania słonecznego</w:t>
            </w:r>
          </w:p>
        </w:tc>
        <w:tc>
          <w:tcPr>
            <w:tcW w:w="0" w:type="auto"/>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EEAF6" w:themeFill="accent1" w:themeFillTint="33"/>
            <w:vAlign w:val="center"/>
            <w:hideMark/>
          </w:tcPr>
          <w:p w14:paraId="439CF8CA" w14:textId="77777777" w:rsidR="00EA2B5F" w:rsidRPr="00F25EBD" w:rsidRDefault="00EA2B5F" w:rsidP="008543EA">
            <w:pPr>
              <w:spacing w:after="0" w:line="240" w:lineRule="auto"/>
              <w:jc w:val="center"/>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wykorzystujące energię wiatru</w:t>
            </w:r>
          </w:p>
        </w:tc>
        <w:tc>
          <w:tcPr>
            <w:tcW w:w="0" w:type="auto"/>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EEAF6" w:themeFill="accent1" w:themeFillTint="33"/>
            <w:vAlign w:val="center"/>
            <w:hideMark/>
          </w:tcPr>
          <w:p w14:paraId="78012FBA" w14:textId="77777777" w:rsidR="00EA2B5F" w:rsidRPr="00F25EBD" w:rsidRDefault="00EA2B5F" w:rsidP="008543EA">
            <w:pPr>
              <w:spacing w:after="0" w:line="240" w:lineRule="auto"/>
              <w:jc w:val="center"/>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wykorzystujące hydroenergię</w:t>
            </w:r>
          </w:p>
        </w:tc>
        <w:tc>
          <w:tcPr>
            <w:tcW w:w="0" w:type="auto"/>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EEAF6" w:themeFill="accent1" w:themeFillTint="33"/>
            <w:vAlign w:val="center"/>
            <w:hideMark/>
          </w:tcPr>
          <w:p w14:paraId="6090E44F" w14:textId="77777777" w:rsidR="00EA2B5F" w:rsidRPr="00F25EBD" w:rsidRDefault="00EA2B5F" w:rsidP="008543EA">
            <w:pPr>
              <w:spacing w:after="0" w:line="240" w:lineRule="auto"/>
              <w:jc w:val="center"/>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razem</w:t>
            </w:r>
          </w:p>
        </w:tc>
      </w:tr>
      <w:tr w:rsidR="00EA2B5F" w:rsidRPr="00F25EBD" w14:paraId="0E1CE246" w14:textId="77777777" w:rsidTr="00575FF9">
        <w:trPr>
          <w:trHeight w:val="20"/>
        </w:trPr>
        <w:tc>
          <w:tcPr>
            <w:tcW w:w="0" w:type="auto"/>
            <w:vMerge/>
            <w:tcBorders>
              <w:top w:val="single" w:sz="4" w:space="0" w:color="FFFFFF" w:themeColor="background1"/>
              <w:left w:val="single" w:sz="4" w:space="0" w:color="FFFFFF" w:themeColor="background1"/>
              <w:right w:val="single" w:sz="4" w:space="0" w:color="FFFFFF" w:themeColor="background1"/>
            </w:tcBorders>
            <w:vAlign w:val="center"/>
            <w:hideMark/>
          </w:tcPr>
          <w:p w14:paraId="0789432F" w14:textId="77777777" w:rsidR="00EA2B5F" w:rsidRPr="00F25EBD" w:rsidRDefault="00EA2B5F" w:rsidP="008543EA">
            <w:pPr>
              <w:spacing w:after="0" w:line="240" w:lineRule="auto"/>
              <w:rPr>
                <w:rFonts w:asciiTheme="majorHAnsi" w:eastAsia="Times New Roman" w:hAnsiTheme="majorHAnsi" w:cstheme="majorHAnsi"/>
                <w:color w:val="000000"/>
                <w:sz w:val="20"/>
                <w:szCs w:val="20"/>
                <w:lang w:eastAsia="pl-PL"/>
              </w:rPr>
            </w:pPr>
          </w:p>
        </w:tc>
        <w:tc>
          <w:tcPr>
            <w:tcW w:w="0" w:type="auto"/>
            <w:tcBorders>
              <w:top w:val="single" w:sz="4" w:space="0" w:color="FFFFFF" w:themeColor="background1"/>
              <w:left w:val="single" w:sz="4" w:space="0" w:color="FFFFFF" w:themeColor="background1"/>
              <w:right w:val="single" w:sz="4" w:space="0" w:color="FFFFFF" w:themeColor="background1"/>
            </w:tcBorders>
            <w:shd w:val="clear" w:color="auto" w:fill="DEEAF6" w:themeFill="accent1" w:themeFillTint="33"/>
            <w:vAlign w:val="center"/>
            <w:hideMark/>
          </w:tcPr>
          <w:p w14:paraId="37E3061E" w14:textId="77777777" w:rsidR="00EA2B5F" w:rsidRPr="00F25EBD" w:rsidRDefault="00EA2B5F" w:rsidP="008543EA">
            <w:pPr>
              <w:spacing w:after="0" w:line="240" w:lineRule="auto"/>
              <w:jc w:val="center"/>
              <w:rPr>
                <w:rFonts w:asciiTheme="majorHAnsi" w:eastAsia="Times New Roman" w:hAnsiTheme="majorHAnsi" w:cstheme="majorHAnsi"/>
                <w:color w:val="000000"/>
                <w:sz w:val="18"/>
                <w:szCs w:val="18"/>
                <w:lang w:eastAsia="pl-PL"/>
              </w:rPr>
            </w:pPr>
            <w:r w:rsidRPr="00F25EBD">
              <w:rPr>
                <w:rFonts w:asciiTheme="majorHAnsi" w:eastAsia="Times New Roman" w:hAnsiTheme="majorHAnsi" w:cstheme="majorHAnsi"/>
                <w:color w:val="000000"/>
                <w:sz w:val="18"/>
                <w:szCs w:val="18"/>
                <w:lang w:eastAsia="pl-PL"/>
              </w:rPr>
              <w:t>liczba</w:t>
            </w:r>
          </w:p>
        </w:tc>
        <w:tc>
          <w:tcPr>
            <w:tcW w:w="0" w:type="auto"/>
            <w:tcBorders>
              <w:top w:val="single" w:sz="4" w:space="0" w:color="FFFFFF" w:themeColor="background1"/>
              <w:left w:val="single" w:sz="4" w:space="0" w:color="FFFFFF" w:themeColor="background1"/>
              <w:right w:val="single" w:sz="4" w:space="0" w:color="FFFFFF" w:themeColor="background1"/>
            </w:tcBorders>
            <w:shd w:val="clear" w:color="auto" w:fill="DEEAF6" w:themeFill="accent1" w:themeFillTint="33"/>
            <w:vAlign w:val="center"/>
            <w:hideMark/>
          </w:tcPr>
          <w:p w14:paraId="1B6E6E8A" w14:textId="77777777" w:rsidR="00EA2B5F" w:rsidRPr="00F25EBD" w:rsidRDefault="00EA2B5F" w:rsidP="008543EA">
            <w:pPr>
              <w:spacing w:after="0" w:line="240" w:lineRule="auto"/>
              <w:jc w:val="center"/>
              <w:rPr>
                <w:rFonts w:asciiTheme="majorHAnsi" w:eastAsia="Times New Roman" w:hAnsiTheme="majorHAnsi" w:cstheme="majorHAnsi"/>
                <w:color w:val="000000"/>
                <w:sz w:val="18"/>
                <w:szCs w:val="18"/>
                <w:lang w:eastAsia="pl-PL"/>
              </w:rPr>
            </w:pPr>
            <w:r w:rsidRPr="00F25EBD">
              <w:rPr>
                <w:rFonts w:asciiTheme="majorHAnsi" w:eastAsia="Times New Roman" w:hAnsiTheme="majorHAnsi" w:cstheme="majorHAnsi"/>
                <w:color w:val="000000"/>
                <w:sz w:val="18"/>
                <w:szCs w:val="18"/>
                <w:lang w:eastAsia="pl-PL"/>
              </w:rPr>
              <w:t>moc zainstalowana [MW]</w:t>
            </w:r>
          </w:p>
        </w:tc>
        <w:tc>
          <w:tcPr>
            <w:tcW w:w="0" w:type="auto"/>
            <w:tcBorders>
              <w:top w:val="single" w:sz="4" w:space="0" w:color="FFFFFF" w:themeColor="background1"/>
              <w:left w:val="single" w:sz="4" w:space="0" w:color="FFFFFF" w:themeColor="background1"/>
              <w:right w:val="single" w:sz="4" w:space="0" w:color="FFFFFF" w:themeColor="background1"/>
            </w:tcBorders>
            <w:shd w:val="clear" w:color="auto" w:fill="DEEAF6" w:themeFill="accent1" w:themeFillTint="33"/>
            <w:vAlign w:val="center"/>
            <w:hideMark/>
          </w:tcPr>
          <w:p w14:paraId="76935C1A" w14:textId="77777777" w:rsidR="00EA2B5F" w:rsidRPr="00F25EBD" w:rsidRDefault="00EA2B5F" w:rsidP="008543EA">
            <w:pPr>
              <w:spacing w:after="0" w:line="240" w:lineRule="auto"/>
              <w:jc w:val="center"/>
              <w:rPr>
                <w:rFonts w:asciiTheme="majorHAnsi" w:eastAsia="Times New Roman" w:hAnsiTheme="majorHAnsi" w:cstheme="majorHAnsi"/>
                <w:color w:val="000000"/>
                <w:sz w:val="18"/>
                <w:szCs w:val="18"/>
                <w:lang w:eastAsia="pl-PL"/>
              </w:rPr>
            </w:pPr>
            <w:r w:rsidRPr="00F25EBD">
              <w:rPr>
                <w:rFonts w:asciiTheme="majorHAnsi" w:eastAsia="Times New Roman" w:hAnsiTheme="majorHAnsi" w:cstheme="majorHAnsi"/>
                <w:color w:val="000000"/>
                <w:sz w:val="18"/>
                <w:szCs w:val="18"/>
                <w:lang w:eastAsia="pl-PL"/>
              </w:rPr>
              <w:t>liczba</w:t>
            </w:r>
          </w:p>
        </w:tc>
        <w:tc>
          <w:tcPr>
            <w:tcW w:w="0" w:type="auto"/>
            <w:tcBorders>
              <w:top w:val="single" w:sz="4" w:space="0" w:color="FFFFFF" w:themeColor="background1"/>
              <w:left w:val="single" w:sz="4" w:space="0" w:color="FFFFFF" w:themeColor="background1"/>
              <w:right w:val="single" w:sz="4" w:space="0" w:color="FFFFFF" w:themeColor="background1"/>
            </w:tcBorders>
            <w:shd w:val="clear" w:color="auto" w:fill="DEEAF6" w:themeFill="accent1" w:themeFillTint="33"/>
            <w:vAlign w:val="center"/>
            <w:hideMark/>
          </w:tcPr>
          <w:p w14:paraId="0E414596" w14:textId="77777777" w:rsidR="00EA2B5F" w:rsidRPr="00F25EBD" w:rsidRDefault="00EA2B5F" w:rsidP="008543EA">
            <w:pPr>
              <w:spacing w:after="0" w:line="240" w:lineRule="auto"/>
              <w:jc w:val="center"/>
              <w:rPr>
                <w:rFonts w:asciiTheme="majorHAnsi" w:eastAsia="Times New Roman" w:hAnsiTheme="majorHAnsi" w:cstheme="majorHAnsi"/>
                <w:color w:val="000000"/>
                <w:sz w:val="18"/>
                <w:szCs w:val="18"/>
                <w:lang w:eastAsia="pl-PL"/>
              </w:rPr>
            </w:pPr>
            <w:r w:rsidRPr="00F25EBD">
              <w:rPr>
                <w:rFonts w:asciiTheme="majorHAnsi" w:eastAsia="Times New Roman" w:hAnsiTheme="majorHAnsi" w:cstheme="majorHAnsi"/>
                <w:color w:val="000000"/>
                <w:sz w:val="18"/>
                <w:szCs w:val="18"/>
                <w:lang w:eastAsia="pl-PL"/>
              </w:rPr>
              <w:t>moc zainstalowana [MW]</w:t>
            </w:r>
          </w:p>
        </w:tc>
        <w:tc>
          <w:tcPr>
            <w:tcW w:w="0" w:type="auto"/>
            <w:tcBorders>
              <w:top w:val="single" w:sz="4" w:space="0" w:color="FFFFFF" w:themeColor="background1"/>
              <w:left w:val="single" w:sz="4" w:space="0" w:color="FFFFFF" w:themeColor="background1"/>
              <w:right w:val="single" w:sz="4" w:space="0" w:color="FFFFFF" w:themeColor="background1"/>
            </w:tcBorders>
            <w:shd w:val="clear" w:color="auto" w:fill="DEEAF6" w:themeFill="accent1" w:themeFillTint="33"/>
            <w:vAlign w:val="center"/>
            <w:hideMark/>
          </w:tcPr>
          <w:p w14:paraId="791753F2" w14:textId="77777777" w:rsidR="00EA2B5F" w:rsidRPr="00F25EBD" w:rsidRDefault="00EA2B5F" w:rsidP="008543EA">
            <w:pPr>
              <w:spacing w:after="0" w:line="240" w:lineRule="auto"/>
              <w:jc w:val="center"/>
              <w:rPr>
                <w:rFonts w:asciiTheme="majorHAnsi" w:eastAsia="Times New Roman" w:hAnsiTheme="majorHAnsi" w:cstheme="majorHAnsi"/>
                <w:color w:val="000000"/>
                <w:sz w:val="18"/>
                <w:szCs w:val="18"/>
                <w:lang w:eastAsia="pl-PL"/>
              </w:rPr>
            </w:pPr>
            <w:r w:rsidRPr="00F25EBD">
              <w:rPr>
                <w:rFonts w:asciiTheme="majorHAnsi" w:eastAsia="Times New Roman" w:hAnsiTheme="majorHAnsi" w:cstheme="majorHAnsi"/>
                <w:color w:val="000000"/>
                <w:sz w:val="18"/>
                <w:szCs w:val="18"/>
                <w:lang w:eastAsia="pl-PL"/>
              </w:rPr>
              <w:t>liczba</w:t>
            </w:r>
          </w:p>
        </w:tc>
        <w:tc>
          <w:tcPr>
            <w:tcW w:w="0" w:type="auto"/>
            <w:tcBorders>
              <w:top w:val="single" w:sz="4" w:space="0" w:color="FFFFFF" w:themeColor="background1"/>
              <w:left w:val="single" w:sz="4" w:space="0" w:color="FFFFFF" w:themeColor="background1"/>
              <w:right w:val="single" w:sz="4" w:space="0" w:color="FFFFFF" w:themeColor="background1"/>
            </w:tcBorders>
            <w:shd w:val="clear" w:color="auto" w:fill="DEEAF6" w:themeFill="accent1" w:themeFillTint="33"/>
            <w:vAlign w:val="center"/>
            <w:hideMark/>
          </w:tcPr>
          <w:p w14:paraId="0EFC5D8F" w14:textId="77777777" w:rsidR="00EA2B5F" w:rsidRPr="00F25EBD" w:rsidRDefault="00EA2B5F" w:rsidP="008543EA">
            <w:pPr>
              <w:spacing w:after="0" w:line="240" w:lineRule="auto"/>
              <w:jc w:val="center"/>
              <w:rPr>
                <w:rFonts w:asciiTheme="majorHAnsi" w:eastAsia="Times New Roman" w:hAnsiTheme="majorHAnsi" w:cstheme="majorHAnsi"/>
                <w:color w:val="000000"/>
                <w:sz w:val="18"/>
                <w:szCs w:val="18"/>
                <w:lang w:eastAsia="pl-PL"/>
              </w:rPr>
            </w:pPr>
            <w:r w:rsidRPr="00F25EBD">
              <w:rPr>
                <w:rFonts w:asciiTheme="majorHAnsi" w:eastAsia="Times New Roman" w:hAnsiTheme="majorHAnsi" w:cstheme="majorHAnsi"/>
                <w:color w:val="000000"/>
                <w:sz w:val="18"/>
                <w:szCs w:val="18"/>
                <w:lang w:eastAsia="pl-PL"/>
              </w:rPr>
              <w:t>moc zainstalowana [MW]</w:t>
            </w:r>
          </w:p>
        </w:tc>
        <w:tc>
          <w:tcPr>
            <w:tcW w:w="0" w:type="auto"/>
            <w:tcBorders>
              <w:top w:val="single" w:sz="4" w:space="0" w:color="FFFFFF" w:themeColor="background1"/>
              <w:left w:val="single" w:sz="4" w:space="0" w:color="FFFFFF" w:themeColor="background1"/>
              <w:right w:val="single" w:sz="4" w:space="0" w:color="FFFFFF" w:themeColor="background1"/>
            </w:tcBorders>
            <w:shd w:val="clear" w:color="auto" w:fill="DEEAF6" w:themeFill="accent1" w:themeFillTint="33"/>
            <w:vAlign w:val="center"/>
            <w:hideMark/>
          </w:tcPr>
          <w:p w14:paraId="029DE722" w14:textId="77777777" w:rsidR="00EA2B5F" w:rsidRPr="00F25EBD" w:rsidRDefault="00EA2B5F" w:rsidP="008543EA">
            <w:pPr>
              <w:spacing w:after="0" w:line="240" w:lineRule="auto"/>
              <w:jc w:val="center"/>
              <w:rPr>
                <w:rFonts w:asciiTheme="majorHAnsi" w:eastAsia="Times New Roman" w:hAnsiTheme="majorHAnsi" w:cstheme="majorHAnsi"/>
                <w:color w:val="000000"/>
                <w:sz w:val="18"/>
                <w:szCs w:val="18"/>
                <w:lang w:eastAsia="pl-PL"/>
              </w:rPr>
            </w:pPr>
            <w:r w:rsidRPr="00F25EBD">
              <w:rPr>
                <w:rFonts w:asciiTheme="majorHAnsi" w:eastAsia="Times New Roman" w:hAnsiTheme="majorHAnsi" w:cstheme="majorHAnsi"/>
                <w:color w:val="000000"/>
                <w:sz w:val="18"/>
                <w:szCs w:val="18"/>
                <w:lang w:eastAsia="pl-PL"/>
              </w:rPr>
              <w:t>liczba</w:t>
            </w:r>
          </w:p>
        </w:tc>
        <w:tc>
          <w:tcPr>
            <w:tcW w:w="0" w:type="auto"/>
            <w:tcBorders>
              <w:top w:val="single" w:sz="4" w:space="0" w:color="FFFFFF" w:themeColor="background1"/>
              <w:left w:val="single" w:sz="4" w:space="0" w:color="FFFFFF" w:themeColor="background1"/>
              <w:right w:val="single" w:sz="4" w:space="0" w:color="FFFFFF" w:themeColor="background1"/>
            </w:tcBorders>
            <w:shd w:val="clear" w:color="auto" w:fill="DEEAF6" w:themeFill="accent1" w:themeFillTint="33"/>
            <w:vAlign w:val="center"/>
            <w:hideMark/>
          </w:tcPr>
          <w:p w14:paraId="7EB8AEF5" w14:textId="77777777" w:rsidR="00EA2B5F" w:rsidRPr="00F25EBD" w:rsidRDefault="00EA2B5F" w:rsidP="008543EA">
            <w:pPr>
              <w:spacing w:after="0" w:line="240" w:lineRule="auto"/>
              <w:jc w:val="center"/>
              <w:rPr>
                <w:rFonts w:asciiTheme="majorHAnsi" w:eastAsia="Times New Roman" w:hAnsiTheme="majorHAnsi" w:cstheme="majorHAnsi"/>
                <w:color w:val="000000"/>
                <w:sz w:val="18"/>
                <w:szCs w:val="18"/>
                <w:lang w:eastAsia="pl-PL"/>
              </w:rPr>
            </w:pPr>
            <w:r w:rsidRPr="00F25EBD">
              <w:rPr>
                <w:rFonts w:asciiTheme="majorHAnsi" w:eastAsia="Times New Roman" w:hAnsiTheme="majorHAnsi" w:cstheme="majorHAnsi"/>
                <w:color w:val="000000"/>
                <w:sz w:val="18"/>
                <w:szCs w:val="18"/>
                <w:lang w:eastAsia="pl-PL"/>
              </w:rPr>
              <w:t>moc zainstalowana [MW]</w:t>
            </w:r>
          </w:p>
        </w:tc>
      </w:tr>
      <w:tr w:rsidR="00EA2B5F" w:rsidRPr="00F25EBD" w14:paraId="7B6F57A0" w14:textId="77777777" w:rsidTr="00575FF9">
        <w:trPr>
          <w:trHeight w:val="20"/>
        </w:trPr>
        <w:tc>
          <w:tcPr>
            <w:tcW w:w="0" w:type="auto"/>
            <w:tcBorders>
              <w:bottom w:val="single" w:sz="4" w:space="0" w:color="808080" w:themeColor="background1" w:themeShade="80"/>
            </w:tcBorders>
            <w:shd w:val="clear" w:color="auto" w:fill="auto"/>
            <w:vAlign w:val="center"/>
            <w:hideMark/>
          </w:tcPr>
          <w:p w14:paraId="052145D0" w14:textId="77777777" w:rsidR="00EA2B5F" w:rsidRPr="00F25EBD" w:rsidRDefault="00EA2B5F" w:rsidP="008543EA">
            <w:pPr>
              <w:spacing w:after="0" w:line="240" w:lineRule="auto"/>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Działdowski</w:t>
            </w:r>
          </w:p>
        </w:tc>
        <w:tc>
          <w:tcPr>
            <w:tcW w:w="0" w:type="auto"/>
            <w:tcBorders>
              <w:bottom w:val="single" w:sz="4" w:space="0" w:color="808080" w:themeColor="background1" w:themeShade="80"/>
            </w:tcBorders>
            <w:shd w:val="clear" w:color="auto" w:fill="auto"/>
            <w:vAlign w:val="center"/>
            <w:hideMark/>
          </w:tcPr>
          <w:p w14:paraId="688000BF" w14:textId="77777777" w:rsidR="00EA2B5F" w:rsidRPr="00F25EBD" w:rsidRDefault="00EA2B5F" w:rsidP="008543EA">
            <w:pPr>
              <w:spacing w:after="0" w:line="240" w:lineRule="auto"/>
              <w:jc w:val="center"/>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2</w:t>
            </w:r>
          </w:p>
        </w:tc>
        <w:tc>
          <w:tcPr>
            <w:tcW w:w="0" w:type="auto"/>
            <w:tcBorders>
              <w:bottom w:val="single" w:sz="4" w:space="0" w:color="808080" w:themeColor="background1" w:themeShade="80"/>
            </w:tcBorders>
            <w:shd w:val="clear" w:color="auto" w:fill="auto"/>
            <w:vAlign w:val="center"/>
            <w:hideMark/>
          </w:tcPr>
          <w:p w14:paraId="11A98478" w14:textId="77777777" w:rsidR="00EA2B5F" w:rsidRPr="00F25EBD" w:rsidRDefault="00EA2B5F" w:rsidP="008543EA">
            <w:pPr>
              <w:spacing w:after="0" w:line="240" w:lineRule="auto"/>
              <w:jc w:val="center"/>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1,996</w:t>
            </w:r>
          </w:p>
        </w:tc>
        <w:tc>
          <w:tcPr>
            <w:tcW w:w="0" w:type="auto"/>
            <w:tcBorders>
              <w:bottom w:val="single" w:sz="4" w:space="0" w:color="808080" w:themeColor="background1" w:themeShade="80"/>
            </w:tcBorders>
            <w:shd w:val="clear" w:color="auto" w:fill="auto"/>
            <w:vAlign w:val="center"/>
            <w:hideMark/>
          </w:tcPr>
          <w:p w14:paraId="2F4BA458" w14:textId="77777777" w:rsidR="00EA2B5F" w:rsidRPr="00F25EBD" w:rsidRDefault="00EA2B5F" w:rsidP="008543EA">
            <w:pPr>
              <w:spacing w:after="0" w:line="240" w:lineRule="auto"/>
              <w:jc w:val="center"/>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4</w:t>
            </w:r>
          </w:p>
        </w:tc>
        <w:tc>
          <w:tcPr>
            <w:tcW w:w="0" w:type="auto"/>
            <w:tcBorders>
              <w:bottom w:val="single" w:sz="4" w:space="0" w:color="808080" w:themeColor="background1" w:themeShade="80"/>
            </w:tcBorders>
            <w:shd w:val="clear" w:color="auto" w:fill="auto"/>
            <w:vAlign w:val="center"/>
            <w:hideMark/>
          </w:tcPr>
          <w:p w14:paraId="03EC9904" w14:textId="77777777" w:rsidR="00EA2B5F" w:rsidRPr="00F25EBD" w:rsidRDefault="00EA2B5F" w:rsidP="008543EA">
            <w:pPr>
              <w:spacing w:after="0" w:line="240" w:lineRule="auto"/>
              <w:jc w:val="center"/>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48,5</w:t>
            </w:r>
          </w:p>
        </w:tc>
        <w:tc>
          <w:tcPr>
            <w:tcW w:w="0" w:type="auto"/>
            <w:tcBorders>
              <w:bottom w:val="single" w:sz="4" w:space="0" w:color="808080" w:themeColor="background1" w:themeShade="80"/>
            </w:tcBorders>
            <w:shd w:val="clear" w:color="auto" w:fill="auto"/>
            <w:vAlign w:val="center"/>
            <w:hideMark/>
          </w:tcPr>
          <w:p w14:paraId="26B6E826" w14:textId="77777777" w:rsidR="00EA2B5F" w:rsidRPr="00F25EBD" w:rsidRDefault="00EA2B5F" w:rsidP="008543EA">
            <w:pPr>
              <w:spacing w:after="0" w:line="240" w:lineRule="auto"/>
              <w:jc w:val="center"/>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3</w:t>
            </w:r>
          </w:p>
        </w:tc>
        <w:tc>
          <w:tcPr>
            <w:tcW w:w="0" w:type="auto"/>
            <w:tcBorders>
              <w:bottom w:val="single" w:sz="4" w:space="0" w:color="808080" w:themeColor="background1" w:themeShade="80"/>
            </w:tcBorders>
            <w:shd w:val="clear" w:color="auto" w:fill="auto"/>
            <w:vAlign w:val="center"/>
            <w:hideMark/>
          </w:tcPr>
          <w:p w14:paraId="51F4CE66" w14:textId="77777777" w:rsidR="00EA2B5F" w:rsidRPr="00F25EBD" w:rsidRDefault="00EA2B5F" w:rsidP="008543EA">
            <w:pPr>
              <w:spacing w:after="0" w:line="240" w:lineRule="auto"/>
              <w:jc w:val="center"/>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0,19</w:t>
            </w:r>
          </w:p>
        </w:tc>
        <w:tc>
          <w:tcPr>
            <w:tcW w:w="0" w:type="auto"/>
            <w:tcBorders>
              <w:bottom w:val="single" w:sz="4" w:space="0" w:color="808080" w:themeColor="background1" w:themeShade="80"/>
            </w:tcBorders>
            <w:shd w:val="clear" w:color="auto" w:fill="auto"/>
            <w:vAlign w:val="center"/>
            <w:hideMark/>
          </w:tcPr>
          <w:p w14:paraId="379EFBAB" w14:textId="77777777" w:rsidR="00EA2B5F" w:rsidRPr="00F25EBD" w:rsidRDefault="00EA2B5F" w:rsidP="008543EA">
            <w:pPr>
              <w:spacing w:after="0" w:line="240" w:lineRule="auto"/>
              <w:jc w:val="center"/>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9</w:t>
            </w:r>
          </w:p>
        </w:tc>
        <w:tc>
          <w:tcPr>
            <w:tcW w:w="0" w:type="auto"/>
            <w:tcBorders>
              <w:bottom w:val="single" w:sz="4" w:space="0" w:color="808080" w:themeColor="background1" w:themeShade="80"/>
            </w:tcBorders>
            <w:shd w:val="clear" w:color="auto" w:fill="auto"/>
            <w:vAlign w:val="center"/>
            <w:hideMark/>
          </w:tcPr>
          <w:p w14:paraId="69299613" w14:textId="77777777" w:rsidR="00EA2B5F" w:rsidRPr="00F25EBD" w:rsidRDefault="00EA2B5F" w:rsidP="008543EA">
            <w:pPr>
              <w:spacing w:after="0" w:line="240" w:lineRule="auto"/>
              <w:jc w:val="center"/>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50,686</w:t>
            </w:r>
          </w:p>
        </w:tc>
      </w:tr>
      <w:tr w:rsidR="00EA2B5F" w:rsidRPr="00F25EBD" w14:paraId="22ED67D5" w14:textId="77777777" w:rsidTr="00575FF9">
        <w:trPr>
          <w:trHeight w:val="20"/>
        </w:trPr>
        <w:tc>
          <w:tcPr>
            <w:tcW w:w="0" w:type="auto"/>
            <w:tcBorders>
              <w:top w:val="single" w:sz="4" w:space="0" w:color="808080" w:themeColor="background1" w:themeShade="80"/>
              <w:bottom w:val="single" w:sz="4" w:space="0" w:color="808080" w:themeColor="background1" w:themeShade="80"/>
            </w:tcBorders>
            <w:shd w:val="clear" w:color="auto" w:fill="auto"/>
            <w:vAlign w:val="center"/>
            <w:hideMark/>
          </w:tcPr>
          <w:p w14:paraId="79819792" w14:textId="77777777" w:rsidR="00EA2B5F" w:rsidRPr="00F25EBD" w:rsidRDefault="00EA2B5F" w:rsidP="008543EA">
            <w:pPr>
              <w:spacing w:after="0" w:line="240" w:lineRule="auto"/>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Nidzicki</w:t>
            </w:r>
          </w:p>
        </w:tc>
        <w:tc>
          <w:tcPr>
            <w:tcW w:w="0" w:type="auto"/>
            <w:tcBorders>
              <w:top w:val="single" w:sz="4" w:space="0" w:color="808080" w:themeColor="background1" w:themeShade="80"/>
              <w:bottom w:val="single" w:sz="4" w:space="0" w:color="808080" w:themeColor="background1" w:themeShade="80"/>
            </w:tcBorders>
            <w:shd w:val="clear" w:color="auto" w:fill="auto"/>
            <w:vAlign w:val="center"/>
            <w:hideMark/>
          </w:tcPr>
          <w:p w14:paraId="7BA0C561" w14:textId="77777777" w:rsidR="00EA2B5F" w:rsidRPr="00F25EBD" w:rsidRDefault="00EA2B5F" w:rsidP="008543EA">
            <w:pPr>
              <w:spacing w:after="0" w:line="240" w:lineRule="auto"/>
              <w:jc w:val="center"/>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3</w:t>
            </w:r>
          </w:p>
        </w:tc>
        <w:tc>
          <w:tcPr>
            <w:tcW w:w="0" w:type="auto"/>
            <w:tcBorders>
              <w:top w:val="single" w:sz="4" w:space="0" w:color="808080" w:themeColor="background1" w:themeShade="80"/>
              <w:bottom w:val="single" w:sz="4" w:space="0" w:color="808080" w:themeColor="background1" w:themeShade="80"/>
            </w:tcBorders>
            <w:shd w:val="clear" w:color="auto" w:fill="auto"/>
            <w:vAlign w:val="center"/>
            <w:hideMark/>
          </w:tcPr>
          <w:p w14:paraId="61C1187E" w14:textId="77777777" w:rsidR="00EA2B5F" w:rsidRPr="00F25EBD" w:rsidRDefault="00EA2B5F" w:rsidP="008543EA">
            <w:pPr>
              <w:spacing w:after="0" w:line="240" w:lineRule="auto"/>
              <w:jc w:val="center"/>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0,12</w:t>
            </w:r>
          </w:p>
        </w:tc>
        <w:tc>
          <w:tcPr>
            <w:tcW w:w="0" w:type="auto"/>
            <w:tcBorders>
              <w:top w:val="single" w:sz="4" w:space="0" w:color="808080" w:themeColor="background1" w:themeShade="80"/>
              <w:bottom w:val="single" w:sz="4" w:space="0" w:color="808080" w:themeColor="background1" w:themeShade="80"/>
            </w:tcBorders>
            <w:shd w:val="clear" w:color="auto" w:fill="auto"/>
            <w:vAlign w:val="center"/>
            <w:hideMark/>
          </w:tcPr>
          <w:p w14:paraId="47D57629" w14:textId="77777777" w:rsidR="00EA2B5F" w:rsidRPr="00F25EBD" w:rsidRDefault="00EA2B5F" w:rsidP="008543EA">
            <w:pPr>
              <w:spacing w:after="0" w:line="240" w:lineRule="auto"/>
              <w:jc w:val="center"/>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3</w:t>
            </w:r>
          </w:p>
        </w:tc>
        <w:tc>
          <w:tcPr>
            <w:tcW w:w="0" w:type="auto"/>
            <w:tcBorders>
              <w:top w:val="single" w:sz="4" w:space="0" w:color="808080" w:themeColor="background1" w:themeShade="80"/>
              <w:bottom w:val="single" w:sz="4" w:space="0" w:color="808080" w:themeColor="background1" w:themeShade="80"/>
            </w:tcBorders>
            <w:shd w:val="clear" w:color="auto" w:fill="auto"/>
            <w:vAlign w:val="center"/>
            <w:hideMark/>
          </w:tcPr>
          <w:p w14:paraId="6322DB4F" w14:textId="77777777" w:rsidR="00EA2B5F" w:rsidRPr="00F25EBD" w:rsidRDefault="00EA2B5F" w:rsidP="008543EA">
            <w:pPr>
              <w:spacing w:after="0" w:line="240" w:lineRule="auto"/>
              <w:jc w:val="center"/>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11,75</w:t>
            </w:r>
          </w:p>
        </w:tc>
        <w:tc>
          <w:tcPr>
            <w:tcW w:w="0" w:type="auto"/>
            <w:tcBorders>
              <w:top w:val="single" w:sz="4" w:space="0" w:color="808080" w:themeColor="background1" w:themeShade="80"/>
              <w:bottom w:val="single" w:sz="4" w:space="0" w:color="808080" w:themeColor="background1" w:themeShade="80"/>
            </w:tcBorders>
            <w:shd w:val="clear" w:color="auto" w:fill="auto"/>
            <w:vAlign w:val="center"/>
          </w:tcPr>
          <w:p w14:paraId="4B444C6D" w14:textId="77777777" w:rsidR="00EA2B5F" w:rsidRPr="00F25EBD" w:rsidRDefault="00EA2B5F" w:rsidP="008543EA">
            <w:pPr>
              <w:spacing w:after="0" w:line="240" w:lineRule="auto"/>
              <w:jc w:val="center"/>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w:t>
            </w:r>
          </w:p>
        </w:tc>
        <w:tc>
          <w:tcPr>
            <w:tcW w:w="0" w:type="auto"/>
            <w:tcBorders>
              <w:top w:val="single" w:sz="4" w:space="0" w:color="808080" w:themeColor="background1" w:themeShade="80"/>
              <w:bottom w:val="single" w:sz="4" w:space="0" w:color="808080" w:themeColor="background1" w:themeShade="80"/>
            </w:tcBorders>
            <w:shd w:val="clear" w:color="auto" w:fill="auto"/>
            <w:vAlign w:val="center"/>
          </w:tcPr>
          <w:p w14:paraId="1634CC90" w14:textId="77777777" w:rsidR="00EA2B5F" w:rsidRPr="00F25EBD" w:rsidRDefault="00EA2B5F" w:rsidP="008543EA">
            <w:pPr>
              <w:spacing w:after="0" w:line="240" w:lineRule="auto"/>
              <w:jc w:val="center"/>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w:t>
            </w:r>
          </w:p>
        </w:tc>
        <w:tc>
          <w:tcPr>
            <w:tcW w:w="0" w:type="auto"/>
            <w:tcBorders>
              <w:top w:val="single" w:sz="4" w:space="0" w:color="808080" w:themeColor="background1" w:themeShade="80"/>
              <w:bottom w:val="single" w:sz="4" w:space="0" w:color="808080" w:themeColor="background1" w:themeShade="80"/>
            </w:tcBorders>
            <w:shd w:val="clear" w:color="auto" w:fill="auto"/>
            <w:vAlign w:val="center"/>
            <w:hideMark/>
          </w:tcPr>
          <w:p w14:paraId="0298776C" w14:textId="77777777" w:rsidR="00EA2B5F" w:rsidRPr="00F25EBD" w:rsidRDefault="00EA2B5F" w:rsidP="008543EA">
            <w:pPr>
              <w:spacing w:after="0" w:line="240" w:lineRule="auto"/>
              <w:jc w:val="center"/>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6</w:t>
            </w:r>
          </w:p>
        </w:tc>
        <w:tc>
          <w:tcPr>
            <w:tcW w:w="0" w:type="auto"/>
            <w:tcBorders>
              <w:top w:val="single" w:sz="4" w:space="0" w:color="808080" w:themeColor="background1" w:themeShade="80"/>
              <w:bottom w:val="single" w:sz="4" w:space="0" w:color="808080" w:themeColor="background1" w:themeShade="80"/>
            </w:tcBorders>
            <w:shd w:val="clear" w:color="auto" w:fill="auto"/>
            <w:vAlign w:val="center"/>
            <w:hideMark/>
          </w:tcPr>
          <w:p w14:paraId="2E2A2C2C" w14:textId="77777777" w:rsidR="00EA2B5F" w:rsidRPr="00F25EBD" w:rsidRDefault="00EA2B5F" w:rsidP="008543EA">
            <w:pPr>
              <w:spacing w:after="0" w:line="240" w:lineRule="auto"/>
              <w:jc w:val="center"/>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11,87</w:t>
            </w:r>
          </w:p>
        </w:tc>
      </w:tr>
      <w:tr w:rsidR="00EA2B5F" w:rsidRPr="00F25EBD" w14:paraId="60B7DC35" w14:textId="77777777" w:rsidTr="00575FF9">
        <w:trPr>
          <w:trHeight w:val="20"/>
        </w:trPr>
        <w:tc>
          <w:tcPr>
            <w:tcW w:w="0" w:type="auto"/>
            <w:tcBorders>
              <w:top w:val="single" w:sz="4" w:space="0" w:color="808080" w:themeColor="background1" w:themeShade="80"/>
              <w:bottom w:val="single" w:sz="4" w:space="0" w:color="808080" w:themeColor="background1" w:themeShade="80"/>
            </w:tcBorders>
            <w:shd w:val="clear" w:color="auto" w:fill="auto"/>
            <w:vAlign w:val="center"/>
            <w:hideMark/>
          </w:tcPr>
          <w:p w14:paraId="08B52AAD" w14:textId="77777777" w:rsidR="00EA2B5F" w:rsidRPr="00F25EBD" w:rsidRDefault="00EA2B5F" w:rsidP="008543EA">
            <w:pPr>
              <w:spacing w:after="0" w:line="240" w:lineRule="auto"/>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Piski</w:t>
            </w:r>
          </w:p>
        </w:tc>
        <w:tc>
          <w:tcPr>
            <w:tcW w:w="0" w:type="auto"/>
            <w:tcBorders>
              <w:top w:val="single" w:sz="4" w:space="0" w:color="808080" w:themeColor="background1" w:themeShade="80"/>
              <w:bottom w:val="single" w:sz="4" w:space="0" w:color="808080" w:themeColor="background1" w:themeShade="80"/>
            </w:tcBorders>
            <w:shd w:val="clear" w:color="auto" w:fill="auto"/>
            <w:vAlign w:val="center"/>
            <w:hideMark/>
          </w:tcPr>
          <w:p w14:paraId="2932EF96" w14:textId="77777777" w:rsidR="00EA2B5F" w:rsidRPr="00F25EBD" w:rsidRDefault="00EA2B5F" w:rsidP="008543EA">
            <w:pPr>
              <w:spacing w:after="0" w:line="240" w:lineRule="auto"/>
              <w:jc w:val="center"/>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7</w:t>
            </w:r>
          </w:p>
        </w:tc>
        <w:tc>
          <w:tcPr>
            <w:tcW w:w="0" w:type="auto"/>
            <w:tcBorders>
              <w:top w:val="single" w:sz="4" w:space="0" w:color="808080" w:themeColor="background1" w:themeShade="80"/>
              <w:bottom w:val="single" w:sz="4" w:space="0" w:color="808080" w:themeColor="background1" w:themeShade="80"/>
            </w:tcBorders>
            <w:shd w:val="clear" w:color="auto" w:fill="auto"/>
            <w:vAlign w:val="center"/>
            <w:hideMark/>
          </w:tcPr>
          <w:p w14:paraId="221E24F0" w14:textId="77777777" w:rsidR="00EA2B5F" w:rsidRPr="00F25EBD" w:rsidRDefault="00EA2B5F" w:rsidP="008543EA">
            <w:pPr>
              <w:spacing w:after="0" w:line="240" w:lineRule="auto"/>
              <w:jc w:val="center"/>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6,874</w:t>
            </w:r>
          </w:p>
        </w:tc>
        <w:tc>
          <w:tcPr>
            <w:tcW w:w="0" w:type="auto"/>
            <w:tcBorders>
              <w:top w:val="single" w:sz="4" w:space="0" w:color="808080" w:themeColor="background1" w:themeShade="80"/>
              <w:bottom w:val="single" w:sz="4" w:space="0" w:color="808080" w:themeColor="background1" w:themeShade="80"/>
            </w:tcBorders>
            <w:shd w:val="clear" w:color="auto" w:fill="auto"/>
            <w:vAlign w:val="center"/>
          </w:tcPr>
          <w:p w14:paraId="797BBDB0" w14:textId="77777777" w:rsidR="00EA2B5F" w:rsidRPr="00F25EBD" w:rsidRDefault="00EA2B5F" w:rsidP="008543EA">
            <w:pPr>
              <w:spacing w:after="0" w:line="240" w:lineRule="auto"/>
              <w:jc w:val="center"/>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w:t>
            </w:r>
          </w:p>
        </w:tc>
        <w:tc>
          <w:tcPr>
            <w:tcW w:w="0" w:type="auto"/>
            <w:tcBorders>
              <w:top w:val="single" w:sz="4" w:space="0" w:color="808080" w:themeColor="background1" w:themeShade="80"/>
              <w:bottom w:val="single" w:sz="4" w:space="0" w:color="808080" w:themeColor="background1" w:themeShade="80"/>
            </w:tcBorders>
            <w:shd w:val="clear" w:color="auto" w:fill="auto"/>
            <w:vAlign w:val="center"/>
          </w:tcPr>
          <w:p w14:paraId="1B28F31D" w14:textId="77777777" w:rsidR="00EA2B5F" w:rsidRPr="00F25EBD" w:rsidRDefault="00EA2B5F" w:rsidP="008543EA">
            <w:pPr>
              <w:spacing w:after="0" w:line="240" w:lineRule="auto"/>
              <w:jc w:val="center"/>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w:t>
            </w:r>
          </w:p>
        </w:tc>
        <w:tc>
          <w:tcPr>
            <w:tcW w:w="0" w:type="auto"/>
            <w:tcBorders>
              <w:top w:val="single" w:sz="4" w:space="0" w:color="808080" w:themeColor="background1" w:themeShade="80"/>
              <w:bottom w:val="single" w:sz="4" w:space="0" w:color="808080" w:themeColor="background1" w:themeShade="80"/>
            </w:tcBorders>
            <w:shd w:val="clear" w:color="auto" w:fill="auto"/>
            <w:vAlign w:val="center"/>
          </w:tcPr>
          <w:p w14:paraId="0D0361DA" w14:textId="77777777" w:rsidR="00EA2B5F" w:rsidRPr="00F25EBD" w:rsidRDefault="00EA2B5F" w:rsidP="008543EA">
            <w:pPr>
              <w:spacing w:after="0" w:line="240" w:lineRule="auto"/>
              <w:jc w:val="center"/>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w:t>
            </w:r>
          </w:p>
        </w:tc>
        <w:tc>
          <w:tcPr>
            <w:tcW w:w="0" w:type="auto"/>
            <w:tcBorders>
              <w:top w:val="single" w:sz="4" w:space="0" w:color="808080" w:themeColor="background1" w:themeShade="80"/>
              <w:bottom w:val="single" w:sz="4" w:space="0" w:color="808080" w:themeColor="background1" w:themeShade="80"/>
            </w:tcBorders>
            <w:shd w:val="clear" w:color="auto" w:fill="auto"/>
            <w:vAlign w:val="center"/>
          </w:tcPr>
          <w:p w14:paraId="55CD9227" w14:textId="77777777" w:rsidR="00EA2B5F" w:rsidRPr="00F25EBD" w:rsidRDefault="00EA2B5F" w:rsidP="008543EA">
            <w:pPr>
              <w:spacing w:after="0" w:line="240" w:lineRule="auto"/>
              <w:jc w:val="center"/>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w:t>
            </w:r>
          </w:p>
        </w:tc>
        <w:tc>
          <w:tcPr>
            <w:tcW w:w="0" w:type="auto"/>
            <w:tcBorders>
              <w:top w:val="single" w:sz="4" w:space="0" w:color="808080" w:themeColor="background1" w:themeShade="80"/>
              <w:bottom w:val="single" w:sz="4" w:space="0" w:color="808080" w:themeColor="background1" w:themeShade="80"/>
            </w:tcBorders>
            <w:shd w:val="clear" w:color="auto" w:fill="auto"/>
            <w:vAlign w:val="center"/>
            <w:hideMark/>
          </w:tcPr>
          <w:p w14:paraId="4A6CD795" w14:textId="77777777" w:rsidR="00EA2B5F" w:rsidRPr="00F25EBD" w:rsidRDefault="00EA2B5F" w:rsidP="008543EA">
            <w:pPr>
              <w:spacing w:after="0" w:line="240" w:lineRule="auto"/>
              <w:jc w:val="center"/>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7</w:t>
            </w:r>
          </w:p>
        </w:tc>
        <w:tc>
          <w:tcPr>
            <w:tcW w:w="0" w:type="auto"/>
            <w:tcBorders>
              <w:top w:val="single" w:sz="4" w:space="0" w:color="808080" w:themeColor="background1" w:themeShade="80"/>
              <w:bottom w:val="single" w:sz="4" w:space="0" w:color="808080" w:themeColor="background1" w:themeShade="80"/>
            </w:tcBorders>
            <w:shd w:val="clear" w:color="auto" w:fill="auto"/>
            <w:vAlign w:val="center"/>
            <w:hideMark/>
          </w:tcPr>
          <w:p w14:paraId="4C973ACE" w14:textId="77777777" w:rsidR="00EA2B5F" w:rsidRPr="00F25EBD" w:rsidRDefault="00EA2B5F" w:rsidP="008543EA">
            <w:pPr>
              <w:spacing w:after="0" w:line="240" w:lineRule="auto"/>
              <w:jc w:val="center"/>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6,874</w:t>
            </w:r>
          </w:p>
        </w:tc>
      </w:tr>
      <w:tr w:rsidR="00EA2B5F" w:rsidRPr="00F25EBD" w14:paraId="231618A8" w14:textId="77777777" w:rsidTr="00575FF9">
        <w:trPr>
          <w:trHeight w:val="20"/>
        </w:trPr>
        <w:tc>
          <w:tcPr>
            <w:tcW w:w="0" w:type="auto"/>
            <w:tcBorders>
              <w:top w:val="single" w:sz="4" w:space="0" w:color="808080" w:themeColor="background1" w:themeShade="80"/>
              <w:bottom w:val="single" w:sz="4" w:space="0" w:color="808080" w:themeColor="background1" w:themeShade="80"/>
            </w:tcBorders>
            <w:shd w:val="clear" w:color="auto" w:fill="auto"/>
            <w:vAlign w:val="center"/>
            <w:hideMark/>
          </w:tcPr>
          <w:p w14:paraId="0887C243" w14:textId="77777777" w:rsidR="00EA2B5F" w:rsidRPr="00F25EBD" w:rsidRDefault="00EA2B5F" w:rsidP="008543EA">
            <w:pPr>
              <w:spacing w:after="0" w:line="240" w:lineRule="auto"/>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Szczycieński</w:t>
            </w:r>
          </w:p>
        </w:tc>
        <w:tc>
          <w:tcPr>
            <w:tcW w:w="0" w:type="auto"/>
            <w:tcBorders>
              <w:top w:val="single" w:sz="4" w:space="0" w:color="808080" w:themeColor="background1" w:themeShade="80"/>
              <w:bottom w:val="single" w:sz="4" w:space="0" w:color="808080" w:themeColor="background1" w:themeShade="80"/>
            </w:tcBorders>
            <w:shd w:val="clear" w:color="auto" w:fill="auto"/>
            <w:vAlign w:val="center"/>
            <w:hideMark/>
          </w:tcPr>
          <w:p w14:paraId="5B34321F" w14:textId="77777777" w:rsidR="00EA2B5F" w:rsidRPr="00F25EBD" w:rsidRDefault="00EA2B5F" w:rsidP="008543EA">
            <w:pPr>
              <w:spacing w:after="0" w:line="240" w:lineRule="auto"/>
              <w:jc w:val="center"/>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4</w:t>
            </w:r>
          </w:p>
        </w:tc>
        <w:tc>
          <w:tcPr>
            <w:tcW w:w="0" w:type="auto"/>
            <w:tcBorders>
              <w:top w:val="single" w:sz="4" w:space="0" w:color="808080" w:themeColor="background1" w:themeShade="80"/>
              <w:bottom w:val="single" w:sz="4" w:space="0" w:color="808080" w:themeColor="background1" w:themeShade="80"/>
            </w:tcBorders>
            <w:shd w:val="clear" w:color="auto" w:fill="auto"/>
            <w:vAlign w:val="center"/>
            <w:hideMark/>
          </w:tcPr>
          <w:p w14:paraId="7C73A86C" w14:textId="77777777" w:rsidR="00EA2B5F" w:rsidRPr="00F25EBD" w:rsidRDefault="00EA2B5F" w:rsidP="008543EA">
            <w:pPr>
              <w:spacing w:after="0" w:line="240" w:lineRule="auto"/>
              <w:jc w:val="center"/>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1,419</w:t>
            </w:r>
          </w:p>
        </w:tc>
        <w:tc>
          <w:tcPr>
            <w:tcW w:w="0" w:type="auto"/>
            <w:tcBorders>
              <w:top w:val="single" w:sz="4" w:space="0" w:color="808080" w:themeColor="background1" w:themeShade="80"/>
              <w:bottom w:val="single" w:sz="4" w:space="0" w:color="808080" w:themeColor="background1" w:themeShade="80"/>
            </w:tcBorders>
            <w:shd w:val="clear" w:color="auto" w:fill="auto"/>
            <w:vAlign w:val="center"/>
          </w:tcPr>
          <w:p w14:paraId="7C113D47" w14:textId="77777777" w:rsidR="00EA2B5F" w:rsidRPr="00F25EBD" w:rsidRDefault="00EA2B5F" w:rsidP="008543EA">
            <w:pPr>
              <w:spacing w:after="0" w:line="240" w:lineRule="auto"/>
              <w:jc w:val="center"/>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w:t>
            </w:r>
          </w:p>
        </w:tc>
        <w:tc>
          <w:tcPr>
            <w:tcW w:w="0" w:type="auto"/>
            <w:tcBorders>
              <w:top w:val="single" w:sz="4" w:space="0" w:color="808080" w:themeColor="background1" w:themeShade="80"/>
              <w:bottom w:val="single" w:sz="4" w:space="0" w:color="808080" w:themeColor="background1" w:themeShade="80"/>
            </w:tcBorders>
            <w:shd w:val="clear" w:color="auto" w:fill="auto"/>
            <w:vAlign w:val="center"/>
          </w:tcPr>
          <w:p w14:paraId="3C68CB59" w14:textId="77777777" w:rsidR="00EA2B5F" w:rsidRPr="00F25EBD" w:rsidRDefault="00EA2B5F" w:rsidP="008543EA">
            <w:pPr>
              <w:spacing w:after="0" w:line="240" w:lineRule="auto"/>
              <w:jc w:val="center"/>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w:t>
            </w:r>
          </w:p>
        </w:tc>
        <w:tc>
          <w:tcPr>
            <w:tcW w:w="0" w:type="auto"/>
            <w:tcBorders>
              <w:top w:val="single" w:sz="4" w:space="0" w:color="808080" w:themeColor="background1" w:themeShade="80"/>
              <w:bottom w:val="single" w:sz="4" w:space="0" w:color="808080" w:themeColor="background1" w:themeShade="80"/>
            </w:tcBorders>
            <w:shd w:val="clear" w:color="auto" w:fill="auto"/>
            <w:vAlign w:val="center"/>
            <w:hideMark/>
          </w:tcPr>
          <w:p w14:paraId="1B4DE73B" w14:textId="77777777" w:rsidR="00EA2B5F" w:rsidRPr="00F25EBD" w:rsidRDefault="00EA2B5F" w:rsidP="008543EA">
            <w:pPr>
              <w:spacing w:after="0" w:line="240" w:lineRule="auto"/>
              <w:jc w:val="center"/>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2</w:t>
            </w:r>
          </w:p>
        </w:tc>
        <w:tc>
          <w:tcPr>
            <w:tcW w:w="0" w:type="auto"/>
            <w:tcBorders>
              <w:top w:val="single" w:sz="4" w:space="0" w:color="808080" w:themeColor="background1" w:themeShade="80"/>
              <w:bottom w:val="single" w:sz="4" w:space="0" w:color="808080" w:themeColor="background1" w:themeShade="80"/>
            </w:tcBorders>
            <w:shd w:val="clear" w:color="auto" w:fill="auto"/>
            <w:vAlign w:val="center"/>
            <w:hideMark/>
          </w:tcPr>
          <w:p w14:paraId="16AC8A5E" w14:textId="77777777" w:rsidR="00EA2B5F" w:rsidRPr="00F25EBD" w:rsidRDefault="00EA2B5F" w:rsidP="008543EA">
            <w:pPr>
              <w:spacing w:after="0" w:line="240" w:lineRule="auto"/>
              <w:jc w:val="center"/>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0,055</w:t>
            </w:r>
          </w:p>
        </w:tc>
        <w:tc>
          <w:tcPr>
            <w:tcW w:w="0" w:type="auto"/>
            <w:tcBorders>
              <w:top w:val="single" w:sz="4" w:space="0" w:color="808080" w:themeColor="background1" w:themeShade="80"/>
              <w:bottom w:val="single" w:sz="4" w:space="0" w:color="808080" w:themeColor="background1" w:themeShade="80"/>
            </w:tcBorders>
            <w:shd w:val="clear" w:color="auto" w:fill="auto"/>
            <w:vAlign w:val="center"/>
            <w:hideMark/>
          </w:tcPr>
          <w:p w14:paraId="7444FA02" w14:textId="77777777" w:rsidR="00EA2B5F" w:rsidRPr="00F25EBD" w:rsidRDefault="00EA2B5F" w:rsidP="008543EA">
            <w:pPr>
              <w:spacing w:after="0" w:line="240" w:lineRule="auto"/>
              <w:jc w:val="center"/>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6</w:t>
            </w:r>
          </w:p>
        </w:tc>
        <w:tc>
          <w:tcPr>
            <w:tcW w:w="0" w:type="auto"/>
            <w:tcBorders>
              <w:top w:val="single" w:sz="4" w:space="0" w:color="808080" w:themeColor="background1" w:themeShade="80"/>
              <w:bottom w:val="single" w:sz="4" w:space="0" w:color="808080" w:themeColor="background1" w:themeShade="80"/>
            </w:tcBorders>
            <w:shd w:val="clear" w:color="auto" w:fill="auto"/>
            <w:vAlign w:val="center"/>
            <w:hideMark/>
          </w:tcPr>
          <w:p w14:paraId="153811F8" w14:textId="77777777" w:rsidR="00EA2B5F" w:rsidRPr="00F25EBD" w:rsidRDefault="00EA2B5F" w:rsidP="008543EA">
            <w:pPr>
              <w:spacing w:after="0" w:line="240" w:lineRule="auto"/>
              <w:jc w:val="center"/>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1,474</w:t>
            </w:r>
          </w:p>
        </w:tc>
      </w:tr>
      <w:tr w:rsidR="00EA2B5F" w:rsidRPr="00F25EBD" w14:paraId="1E67E414" w14:textId="77777777" w:rsidTr="00575FF9">
        <w:trPr>
          <w:trHeight w:val="20"/>
        </w:trPr>
        <w:tc>
          <w:tcPr>
            <w:tcW w:w="0" w:type="auto"/>
            <w:tcBorders>
              <w:top w:val="single" w:sz="4" w:space="0" w:color="808080" w:themeColor="background1" w:themeShade="80"/>
              <w:bottom w:val="single" w:sz="4" w:space="0" w:color="808080" w:themeColor="background1" w:themeShade="80"/>
            </w:tcBorders>
            <w:shd w:val="clear" w:color="auto" w:fill="auto"/>
            <w:vAlign w:val="center"/>
            <w:hideMark/>
          </w:tcPr>
          <w:p w14:paraId="21BCBC66" w14:textId="77777777" w:rsidR="00EA2B5F" w:rsidRPr="00F25EBD" w:rsidRDefault="00EA2B5F" w:rsidP="008543EA">
            <w:pPr>
              <w:spacing w:after="0" w:line="240" w:lineRule="auto"/>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Razem</w:t>
            </w:r>
          </w:p>
        </w:tc>
        <w:tc>
          <w:tcPr>
            <w:tcW w:w="0" w:type="auto"/>
            <w:tcBorders>
              <w:top w:val="single" w:sz="4" w:space="0" w:color="808080" w:themeColor="background1" w:themeShade="80"/>
              <w:bottom w:val="single" w:sz="4" w:space="0" w:color="808080" w:themeColor="background1" w:themeShade="80"/>
            </w:tcBorders>
            <w:shd w:val="clear" w:color="auto" w:fill="auto"/>
            <w:vAlign w:val="center"/>
            <w:hideMark/>
          </w:tcPr>
          <w:p w14:paraId="609466F3" w14:textId="77777777" w:rsidR="00EA2B5F" w:rsidRPr="00F25EBD" w:rsidRDefault="00EA2B5F" w:rsidP="008543EA">
            <w:pPr>
              <w:spacing w:after="0" w:line="240" w:lineRule="auto"/>
              <w:jc w:val="center"/>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16</w:t>
            </w:r>
          </w:p>
        </w:tc>
        <w:tc>
          <w:tcPr>
            <w:tcW w:w="0" w:type="auto"/>
            <w:tcBorders>
              <w:top w:val="single" w:sz="4" w:space="0" w:color="808080" w:themeColor="background1" w:themeShade="80"/>
              <w:bottom w:val="single" w:sz="4" w:space="0" w:color="808080" w:themeColor="background1" w:themeShade="80"/>
            </w:tcBorders>
            <w:shd w:val="clear" w:color="auto" w:fill="auto"/>
            <w:vAlign w:val="center"/>
            <w:hideMark/>
          </w:tcPr>
          <w:p w14:paraId="383E6693" w14:textId="77777777" w:rsidR="00EA2B5F" w:rsidRPr="00F25EBD" w:rsidRDefault="00EA2B5F" w:rsidP="008543EA">
            <w:pPr>
              <w:spacing w:after="0" w:line="240" w:lineRule="auto"/>
              <w:jc w:val="center"/>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10,409</w:t>
            </w:r>
          </w:p>
        </w:tc>
        <w:tc>
          <w:tcPr>
            <w:tcW w:w="0" w:type="auto"/>
            <w:tcBorders>
              <w:top w:val="single" w:sz="4" w:space="0" w:color="808080" w:themeColor="background1" w:themeShade="80"/>
              <w:bottom w:val="single" w:sz="4" w:space="0" w:color="808080" w:themeColor="background1" w:themeShade="80"/>
            </w:tcBorders>
            <w:shd w:val="clear" w:color="auto" w:fill="auto"/>
            <w:vAlign w:val="center"/>
            <w:hideMark/>
          </w:tcPr>
          <w:p w14:paraId="4CF1D744" w14:textId="77777777" w:rsidR="00EA2B5F" w:rsidRPr="00F25EBD" w:rsidRDefault="00EA2B5F" w:rsidP="008543EA">
            <w:pPr>
              <w:spacing w:after="0" w:line="240" w:lineRule="auto"/>
              <w:jc w:val="center"/>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7</w:t>
            </w:r>
          </w:p>
        </w:tc>
        <w:tc>
          <w:tcPr>
            <w:tcW w:w="0" w:type="auto"/>
            <w:tcBorders>
              <w:top w:val="single" w:sz="4" w:space="0" w:color="808080" w:themeColor="background1" w:themeShade="80"/>
              <w:bottom w:val="single" w:sz="4" w:space="0" w:color="808080" w:themeColor="background1" w:themeShade="80"/>
            </w:tcBorders>
            <w:shd w:val="clear" w:color="auto" w:fill="auto"/>
            <w:vAlign w:val="center"/>
            <w:hideMark/>
          </w:tcPr>
          <w:p w14:paraId="74DC1894" w14:textId="77777777" w:rsidR="00EA2B5F" w:rsidRPr="00F25EBD" w:rsidRDefault="00EA2B5F" w:rsidP="008543EA">
            <w:pPr>
              <w:spacing w:after="0" w:line="240" w:lineRule="auto"/>
              <w:jc w:val="center"/>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60,25</w:t>
            </w:r>
          </w:p>
        </w:tc>
        <w:tc>
          <w:tcPr>
            <w:tcW w:w="0" w:type="auto"/>
            <w:tcBorders>
              <w:top w:val="single" w:sz="4" w:space="0" w:color="808080" w:themeColor="background1" w:themeShade="80"/>
              <w:bottom w:val="single" w:sz="4" w:space="0" w:color="808080" w:themeColor="background1" w:themeShade="80"/>
            </w:tcBorders>
            <w:shd w:val="clear" w:color="auto" w:fill="auto"/>
            <w:vAlign w:val="center"/>
            <w:hideMark/>
          </w:tcPr>
          <w:p w14:paraId="3AA7CD8B" w14:textId="77777777" w:rsidR="00EA2B5F" w:rsidRPr="00F25EBD" w:rsidRDefault="00EA2B5F" w:rsidP="008543EA">
            <w:pPr>
              <w:spacing w:after="0" w:line="240" w:lineRule="auto"/>
              <w:jc w:val="center"/>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5</w:t>
            </w:r>
          </w:p>
        </w:tc>
        <w:tc>
          <w:tcPr>
            <w:tcW w:w="0" w:type="auto"/>
            <w:tcBorders>
              <w:top w:val="single" w:sz="4" w:space="0" w:color="808080" w:themeColor="background1" w:themeShade="80"/>
              <w:bottom w:val="single" w:sz="4" w:space="0" w:color="808080" w:themeColor="background1" w:themeShade="80"/>
            </w:tcBorders>
            <w:shd w:val="clear" w:color="auto" w:fill="auto"/>
            <w:vAlign w:val="center"/>
            <w:hideMark/>
          </w:tcPr>
          <w:p w14:paraId="52851700" w14:textId="77777777" w:rsidR="00EA2B5F" w:rsidRPr="00F25EBD" w:rsidRDefault="00EA2B5F" w:rsidP="008543EA">
            <w:pPr>
              <w:spacing w:after="0" w:line="240" w:lineRule="auto"/>
              <w:jc w:val="center"/>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0,245</w:t>
            </w:r>
          </w:p>
        </w:tc>
        <w:tc>
          <w:tcPr>
            <w:tcW w:w="0" w:type="auto"/>
            <w:tcBorders>
              <w:top w:val="single" w:sz="4" w:space="0" w:color="808080" w:themeColor="background1" w:themeShade="80"/>
              <w:bottom w:val="single" w:sz="4" w:space="0" w:color="808080" w:themeColor="background1" w:themeShade="80"/>
            </w:tcBorders>
            <w:shd w:val="clear" w:color="auto" w:fill="auto"/>
            <w:vAlign w:val="center"/>
            <w:hideMark/>
          </w:tcPr>
          <w:p w14:paraId="56D03C1B" w14:textId="77777777" w:rsidR="00EA2B5F" w:rsidRPr="00F25EBD" w:rsidRDefault="00EA2B5F" w:rsidP="008543EA">
            <w:pPr>
              <w:spacing w:after="0" w:line="240" w:lineRule="auto"/>
              <w:jc w:val="center"/>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28</w:t>
            </w:r>
          </w:p>
        </w:tc>
        <w:tc>
          <w:tcPr>
            <w:tcW w:w="0" w:type="auto"/>
            <w:tcBorders>
              <w:top w:val="single" w:sz="4" w:space="0" w:color="808080" w:themeColor="background1" w:themeShade="80"/>
              <w:bottom w:val="single" w:sz="4" w:space="0" w:color="808080" w:themeColor="background1" w:themeShade="80"/>
            </w:tcBorders>
            <w:shd w:val="clear" w:color="auto" w:fill="auto"/>
            <w:vAlign w:val="center"/>
            <w:hideMark/>
          </w:tcPr>
          <w:p w14:paraId="0D9EC13C" w14:textId="77777777" w:rsidR="00EA2B5F" w:rsidRPr="00F25EBD" w:rsidRDefault="00EA2B5F" w:rsidP="008543EA">
            <w:pPr>
              <w:spacing w:after="0" w:line="240" w:lineRule="auto"/>
              <w:jc w:val="center"/>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70,904</w:t>
            </w:r>
          </w:p>
        </w:tc>
      </w:tr>
    </w:tbl>
    <w:p w14:paraId="12A59F79" w14:textId="77777777" w:rsidR="00EA2B5F" w:rsidRPr="00F25EBD" w:rsidRDefault="00EA2B5F" w:rsidP="008543EA">
      <w:pPr>
        <w:pStyle w:val="rdo"/>
      </w:pPr>
      <w:r w:rsidRPr="00F25EBD">
        <w:t>https://www.ure.gov.pl/pl/oze/potencjal-krajowy-oze/8108,Instalacje-odnawialnych-zrodel-energii-wg-stanu-na-dzien-31-grudnia-2019-r.html</w:t>
      </w:r>
    </w:p>
    <w:p w14:paraId="12CC1DFA" w14:textId="77777777" w:rsidR="00EA2B5F" w:rsidRPr="00F25EBD" w:rsidRDefault="00EA2B5F" w:rsidP="002C7D64">
      <w:pPr>
        <w:pStyle w:val="Norm"/>
      </w:pPr>
      <w:r w:rsidRPr="00F25EBD">
        <w:t>Wodociągi i kanalizacja</w:t>
      </w:r>
    </w:p>
    <w:p w14:paraId="04C64175" w14:textId="7D2D7065" w:rsidR="00EA2B5F" w:rsidRPr="00F25EBD" w:rsidRDefault="00EA2B5F" w:rsidP="008A3FED">
      <w:pPr>
        <w:spacing w:line="276" w:lineRule="auto"/>
        <w:jc w:val="both"/>
        <w:rPr>
          <w:rFonts w:asciiTheme="majorHAnsi" w:hAnsiTheme="majorHAnsi" w:cstheme="majorHAnsi"/>
        </w:rPr>
      </w:pPr>
      <w:r w:rsidRPr="00F25EBD">
        <w:rPr>
          <w:rFonts w:asciiTheme="majorHAnsi" w:hAnsiTheme="majorHAnsi" w:cstheme="majorHAnsi"/>
        </w:rPr>
        <w:t>Źródłem zasobów wód użytkowych w województwie warmińsko-mazurskim są zbiorniki wód podziemnych, których szacunkowe zasoby dyspozycyjne wynoszą 3,14 mln m</w:t>
      </w:r>
      <w:r w:rsidRPr="00F25EBD">
        <w:rPr>
          <w:rFonts w:asciiTheme="majorHAnsi" w:hAnsiTheme="majorHAnsi" w:cstheme="majorHAnsi"/>
          <w:vertAlign w:val="superscript"/>
        </w:rPr>
        <w:t>3</w:t>
      </w:r>
      <w:r w:rsidRPr="00F25EBD">
        <w:rPr>
          <w:rFonts w:asciiTheme="majorHAnsi" w:hAnsiTheme="majorHAnsi" w:cstheme="majorHAnsi"/>
        </w:rPr>
        <w:t xml:space="preserve">/d i są wielokrotnie wyższe od produkcji niezbędnej dla zaspokojenia zapotrzebowania. Na obszarze województwa nie występują zagrożenia związane z możliwością </w:t>
      </w:r>
      <w:r w:rsidR="0097790E" w:rsidRPr="0097790E">
        <w:rPr>
          <w:rFonts w:asciiTheme="majorHAnsi" w:hAnsiTheme="majorHAnsi" w:cstheme="majorHAnsi"/>
          <w:color w:val="FF0000"/>
        </w:rPr>
        <w:t xml:space="preserve">eksploatacji </w:t>
      </w:r>
      <w:r w:rsidRPr="0097790E">
        <w:rPr>
          <w:rFonts w:asciiTheme="majorHAnsi" w:hAnsiTheme="majorHAnsi" w:cstheme="majorHAnsi"/>
          <w:color w:val="FF0000"/>
        </w:rPr>
        <w:t xml:space="preserve"> </w:t>
      </w:r>
      <w:r w:rsidRPr="00F25EBD">
        <w:rPr>
          <w:rFonts w:asciiTheme="majorHAnsi" w:hAnsiTheme="majorHAnsi" w:cstheme="majorHAnsi"/>
        </w:rPr>
        <w:t>wód podziemnych, jak również nie występują deficyty wody. Jakość wody dostarczanej do spożycia jest dobra, jednak wymaga procesów uzdatniania w związku z występowaniem ponadnormatywnych wartości związków manganu i</w:t>
      </w:r>
      <w:r w:rsidR="007B04A7">
        <w:rPr>
          <w:rFonts w:asciiTheme="majorHAnsi" w:hAnsiTheme="majorHAnsi" w:cstheme="majorHAnsi"/>
        </w:rPr>
        <w:t xml:space="preserve"> </w:t>
      </w:r>
      <w:r w:rsidRPr="00F25EBD">
        <w:rPr>
          <w:rFonts w:asciiTheme="majorHAnsi" w:hAnsiTheme="majorHAnsi" w:cstheme="majorHAnsi"/>
        </w:rPr>
        <w:t>żelaza</w:t>
      </w:r>
      <w:r w:rsidRPr="00F25EBD">
        <w:rPr>
          <w:rStyle w:val="Odwoanieprzypisudolnego"/>
          <w:rFonts w:asciiTheme="majorHAnsi" w:hAnsiTheme="majorHAnsi" w:cstheme="majorHAnsi"/>
        </w:rPr>
        <w:footnoteReference w:id="32"/>
      </w:r>
      <w:r w:rsidRPr="00F25EBD">
        <w:rPr>
          <w:rFonts w:asciiTheme="majorHAnsi" w:hAnsiTheme="majorHAnsi" w:cstheme="majorHAnsi"/>
        </w:rPr>
        <w:t>.</w:t>
      </w:r>
    </w:p>
    <w:p w14:paraId="103993FA" w14:textId="2DDE8E08" w:rsidR="00EA2B5F" w:rsidRPr="00F25EBD" w:rsidRDefault="00EA2B5F" w:rsidP="008A3FED">
      <w:pPr>
        <w:spacing w:line="276" w:lineRule="auto"/>
        <w:jc w:val="both"/>
        <w:rPr>
          <w:rFonts w:asciiTheme="majorHAnsi" w:hAnsiTheme="majorHAnsi" w:cstheme="majorHAnsi"/>
        </w:rPr>
      </w:pPr>
      <w:r w:rsidRPr="00F25EBD">
        <w:rPr>
          <w:rFonts w:asciiTheme="majorHAnsi" w:hAnsiTheme="majorHAnsi" w:cstheme="majorHAnsi"/>
        </w:rPr>
        <w:t>W 2019</w:t>
      </w:r>
      <w:r w:rsidR="00F7062F">
        <w:rPr>
          <w:rFonts w:asciiTheme="majorHAnsi" w:hAnsiTheme="majorHAnsi" w:cstheme="majorHAnsi"/>
        </w:rPr>
        <w:t>r.</w:t>
      </w:r>
      <w:r w:rsidRPr="00F25EBD">
        <w:rPr>
          <w:rFonts w:asciiTheme="majorHAnsi" w:hAnsiTheme="majorHAnsi" w:cstheme="majorHAnsi"/>
        </w:rPr>
        <w:t xml:space="preserve"> średnie zużycie wody na mieszkańca Południowych Mazur wyniosło 30,9 m</w:t>
      </w:r>
      <w:r w:rsidRPr="00F25EBD">
        <w:rPr>
          <w:rFonts w:asciiTheme="majorHAnsi" w:hAnsiTheme="majorHAnsi" w:cstheme="majorHAnsi"/>
          <w:vertAlign w:val="superscript"/>
        </w:rPr>
        <w:t>3</w:t>
      </w:r>
      <w:r w:rsidRPr="00F25EBD">
        <w:rPr>
          <w:rFonts w:asciiTheme="majorHAnsi" w:hAnsiTheme="majorHAnsi" w:cstheme="majorHAnsi"/>
        </w:rPr>
        <w:t xml:space="preserve"> i było niższe zarówno od wskaźnika wyznaczonego dla kraju (33,7 m</w:t>
      </w:r>
      <w:r w:rsidRPr="00F25EBD">
        <w:rPr>
          <w:rFonts w:asciiTheme="majorHAnsi" w:hAnsiTheme="majorHAnsi" w:cstheme="majorHAnsi"/>
          <w:vertAlign w:val="superscript"/>
        </w:rPr>
        <w:t>3</w:t>
      </w:r>
      <w:r w:rsidRPr="00F25EBD">
        <w:rPr>
          <w:rFonts w:asciiTheme="majorHAnsi" w:hAnsiTheme="majorHAnsi" w:cstheme="majorHAnsi"/>
        </w:rPr>
        <w:t>), jak i województwa (32,1 m</w:t>
      </w:r>
      <w:r w:rsidRPr="00F25EBD">
        <w:rPr>
          <w:rFonts w:asciiTheme="majorHAnsi" w:hAnsiTheme="majorHAnsi" w:cstheme="majorHAnsi"/>
          <w:vertAlign w:val="superscript"/>
        </w:rPr>
        <w:t>3</w:t>
      </w:r>
      <w:r w:rsidRPr="00F25EBD">
        <w:rPr>
          <w:rFonts w:asciiTheme="majorHAnsi" w:hAnsiTheme="majorHAnsi" w:cstheme="majorHAnsi"/>
        </w:rPr>
        <w:t xml:space="preserve">). Łącznie, gospodarstwom domowym PM dostarczono </w:t>
      </w:r>
      <w:r w:rsidRPr="00F25EBD">
        <w:rPr>
          <w:rFonts w:asciiTheme="majorHAnsi" w:eastAsia="Times New Roman" w:hAnsiTheme="majorHAnsi" w:cstheme="majorHAnsi"/>
          <w:lang w:eastAsia="pl-PL"/>
        </w:rPr>
        <w:t xml:space="preserve">6.972,5 </w:t>
      </w:r>
      <w:r w:rsidRPr="00F25EBD">
        <w:rPr>
          <w:rFonts w:asciiTheme="majorHAnsi" w:hAnsiTheme="majorHAnsi" w:cstheme="majorHAnsi"/>
        </w:rPr>
        <w:t>dam</w:t>
      </w:r>
      <w:r w:rsidRPr="00F25EBD">
        <w:rPr>
          <w:rFonts w:asciiTheme="majorHAnsi" w:hAnsiTheme="majorHAnsi" w:cstheme="majorHAnsi"/>
          <w:vertAlign w:val="superscript"/>
        </w:rPr>
        <w:t>3</w:t>
      </w:r>
      <w:r w:rsidRPr="00F25EBD">
        <w:rPr>
          <w:rFonts w:asciiTheme="majorHAnsi" w:hAnsiTheme="majorHAnsi" w:cstheme="majorHAnsi"/>
        </w:rPr>
        <w:t xml:space="preserve"> wody, tj. o 10,6% więcej niż w 2010r. Największy wzrost zużycia w przeliczeniu na mieszkańca nastąpił w powiecie szczycieńskim (29,8%), natomiast najmniejszy w działdowskim (3,0%). </w:t>
      </w:r>
    </w:p>
    <w:p w14:paraId="5C094E1B" w14:textId="5254EE0A" w:rsidR="00EA2B5F" w:rsidRPr="00F25EBD" w:rsidRDefault="00EA2B5F" w:rsidP="008A3FED">
      <w:pPr>
        <w:spacing w:line="276" w:lineRule="auto"/>
        <w:jc w:val="both"/>
        <w:rPr>
          <w:rFonts w:asciiTheme="majorHAnsi" w:hAnsiTheme="majorHAnsi" w:cstheme="majorHAnsi"/>
        </w:rPr>
      </w:pPr>
      <w:r w:rsidRPr="00F25EBD">
        <w:rPr>
          <w:rFonts w:asciiTheme="majorHAnsi" w:hAnsiTheme="majorHAnsi" w:cstheme="majorHAnsi"/>
        </w:rPr>
        <w:t xml:space="preserve">Woda dostarczana była 204.967 odbiorcom siecią wodociągową o łącznej długości 2.675,5 km. Najdłuższym odcinkiem dysponowały samorządy powiatu szczycieńskiego (1.181,8 km), następnie działdowskiego (684,7 km), </w:t>
      </w:r>
      <w:proofErr w:type="spellStart"/>
      <w:r w:rsidRPr="00F25EBD">
        <w:rPr>
          <w:rFonts w:asciiTheme="majorHAnsi" w:hAnsiTheme="majorHAnsi" w:cstheme="majorHAnsi"/>
        </w:rPr>
        <w:t>piskiego</w:t>
      </w:r>
      <w:proofErr w:type="spellEnd"/>
      <w:r w:rsidRPr="00F25EBD">
        <w:rPr>
          <w:rFonts w:asciiTheme="majorHAnsi" w:hAnsiTheme="majorHAnsi" w:cstheme="majorHAnsi"/>
        </w:rPr>
        <w:t xml:space="preserve"> (</w:t>
      </w:r>
      <w:r w:rsidRPr="00F25EBD">
        <w:rPr>
          <w:rFonts w:asciiTheme="majorHAnsi" w:eastAsia="Times New Roman" w:hAnsiTheme="majorHAnsi" w:cstheme="majorHAnsi"/>
          <w:lang w:eastAsia="pl-PL"/>
        </w:rPr>
        <w:t>513,7 km) i na końcu nidzickiego (295,3 km). W latach 2010-2019 z</w:t>
      </w:r>
      <w:r w:rsidRPr="00F25EBD">
        <w:rPr>
          <w:rFonts w:asciiTheme="majorHAnsi" w:hAnsiTheme="majorHAnsi" w:cstheme="majorHAnsi"/>
        </w:rPr>
        <w:t>arówno długość sieci, jak i liczba odbiorców sukcesywnie wzrastały</w:t>
      </w:r>
      <w:r w:rsidR="00336D76" w:rsidRPr="00F25EBD">
        <w:rPr>
          <w:rFonts w:asciiTheme="majorHAnsi" w:hAnsiTheme="majorHAnsi" w:cstheme="majorHAnsi"/>
        </w:rPr>
        <w:t xml:space="preserve"> - </w:t>
      </w:r>
      <w:r w:rsidRPr="00F25EBD">
        <w:rPr>
          <w:rFonts w:asciiTheme="majorHAnsi" w:hAnsiTheme="majorHAnsi" w:cstheme="majorHAnsi"/>
        </w:rPr>
        <w:t>w pierwszym przypadku łączna zmiana wyniosła 25,3%, a</w:t>
      </w:r>
      <w:r w:rsidR="007B04A7">
        <w:rPr>
          <w:rFonts w:asciiTheme="majorHAnsi" w:hAnsiTheme="majorHAnsi" w:cstheme="majorHAnsi"/>
        </w:rPr>
        <w:t xml:space="preserve"> </w:t>
      </w:r>
      <w:r w:rsidRPr="00F25EBD">
        <w:rPr>
          <w:rFonts w:asciiTheme="majorHAnsi" w:hAnsiTheme="majorHAnsi" w:cstheme="majorHAnsi"/>
        </w:rPr>
        <w:t xml:space="preserve">w drugim 6,5%. W ujęciu względnym, największy przyrost długości sieci wodociągowej miał miejsce w powiecie </w:t>
      </w:r>
      <w:proofErr w:type="spellStart"/>
      <w:r w:rsidRPr="00F25EBD">
        <w:rPr>
          <w:rFonts w:asciiTheme="majorHAnsi" w:hAnsiTheme="majorHAnsi" w:cstheme="majorHAnsi"/>
        </w:rPr>
        <w:t>piskim</w:t>
      </w:r>
      <w:proofErr w:type="spellEnd"/>
      <w:r w:rsidRPr="00F25EBD">
        <w:rPr>
          <w:rFonts w:asciiTheme="majorHAnsi" w:hAnsiTheme="majorHAnsi" w:cstheme="majorHAnsi"/>
        </w:rPr>
        <w:t xml:space="preserve"> (37,1%), natomiast najniższy w nidzickim (7,5%).</w:t>
      </w:r>
    </w:p>
    <w:p w14:paraId="477E51B7" w14:textId="4814A20E" w:rsidR="00EA2B5F" w:rsidRPr="00F25EBD" w:rsidRDefault="00EA2B5F" w:rsidP="008A3FED">
      <w:pPr>
        <w:spacing w:line="276" w:lineRule="auto"/>
        <w:jc w:val="both"/>
        <w:rPr>
          <w:rFonts w:asciiTheme="majorHAnsi" w:hAnsiTheme="majorHAnsi" w:cstheme="majorHAnsi"/>
        </w:rPr>
      </w:pPr>
      <w:r w:rsidRPr="00F25EBD">
        <w:rPr>
          <w:rFonts w:asciiTheme="majorHAnsi" w:hAnsiTheme="majorHAnsi" w:cstheme="majorHAnsi"/>
        </w:rPr>
        <w:t>Sieć wodociągowa Południowych Mazur charakteryzowała się umiarkowaną awaryjnością. W 2019r. odnotowano 391 zdarzeń, co stanowiło 10,1% wszystkich awarii zgłoszonych na terenie województwa warmińsko-mazurskiego. Awaryjność sieci PM przeliczona na kilometry jej długości (W</w:t>
      </w:r>
      <w:r w:rsidRPr="00F25EBD">
        <w:rPr>
          <w:rFonts w:asciiTheme="majorHAnsi" w:hAnsiTheme="majorHAnsi" w:cstheme="majorHAnsi"/>
          <w:vertAlign w:val="subscript"/>
        </w:rPr>
        <w:t>A</w:t>
      </w:r>
      <w:r w:rsidR="007B04A7">
        <w:rPr>
          <w:rFonts w:asciiTheme="majorHAnsi" w:hAnsiTheme="majorHAnsi" w:cstheme="majorHAnsi"/>
        </w:rPr>
        <w:t xml:space="preserve"> </w:t>
      </w:r>
      <w:r w:rsidRPr="00F25EBD">
        <w:rPr>
          <w:rFonts w:asciiTheme="majorHAnsi" w:hAnsiTheme="majorHAnsi" w:cstheme="majorHAnsi"/>
        </w:rPr>
        <w:t>= 0,15) była niższa niż to miało miejsce w regionie (W</w:t>
      </w:r>
      <w:r w:rsidRPr="00F25EBD">
        <w:rPr>
          <w:rFonts w:asciiTheme="majorHAnsi" w:hAnsiTheme="majorHAnsi" w:cstheme="majorHAnsi"/>
          <w:vertAlign w:val="subscript"/>
        </w:rPr>
        <w:t>A</w:t>
      </w:r>
      <w:r w:rsidRPr="00F25EBD">
        <w:rPr>
          <w:rFonts w:asciiTheme="majorHAnsi" w:hAnsiTheme="majorHAnsi" w:cstheme="majorHAnsi"/>
        </w:rPr>
        <w:t xml:space="preserve"> = 0,23) i kraju (W</w:t>
      </w:r>
      <w:r w:rsidRPr="00F25EBD">
        <w:rPr>
          <w:rFonts w:asciiTheme="majorHAnsi" w:hAnsiTheme="majorHAnsi" w:cstheme="majorHAnsi"/>
          <w:vertAlign w:val="subscript"/>
        </w:rPr>
        <w:t>A</w:t>
      </w:r>
      <w:r w:rsidRPr="00F25EBD">
        <w:rPr>
          <w:rFonts w:asciiTheme="majorHAnsi" w:hAnsiTheme="majorHAnsi" w:cstheme="majorHAnsi"/>
        </w:rPr>
        <w:t xml:space="preserve"> = 0,24). W</w:t>
      </w:r>
      <w:r w:rsidR="007B04A7">
        <w:rPr>
          <w:rFonts w:asciiTheme="majorHAnsi" w:hAnsiTheme="majorHAnsi" w:cstheme="majorHAnsi"/>
        </w:rPr>
        <w:t xml:space="preserve"> </w:t>
      </w:r>
      <w:r w:rsidRPr="00F25EBD">
        <w:rPr>
          <w:rFonts w:asciiTheme="majorHAnsi" w:hAnsiTheme="majorHAnsi" w:cstheme="majorHAnsi"/>
        </w:rPr>
        <w:t xml:space="preserve">jednakowym stopniu dotyczyło to wszystkich powiatów PM, przy czym najmniej korzystnie w tym zestawieniu wypadł powiat piski </w:t>
      </w:r>
      <w:r w:rsidR="00F7062F">
        <w:rPr>
          <w:rFonts w:asciiTheme="majorHAnsi" w:hAnsiTheme="majorHAnsi" w:cstheme="majorHAnsi"/>
        </w:rPr>
        <w:br/>
      </w:r>
      <w:r w:rsidRPr="00F25EBD">
        <w:rPr>
          <w:rFonts w:asciiTheme="majorHAnsi" w:hAnsiTheme="majorHAnsi" w:cstheme="majorHAnsi"/>
        </w:rPr>
        <w:t>(W</w:t>
      </w:r>
      <w:r w:rsidRPr="00F25EBD">
        <w:rPr>
          <w:rFonts w:asciiTheme="majorHAnsi" w:hAnsiTheme="majorHAnsi" w:cstheme="majorHAnsi"/>
          <w:vertAlign w:val="subscript"/>
        </w:rPr>
        <w:t>A</w:t>
      </w:r>
      <w:r w:rsidRPr="00F25EBD">
        <w:rPr>
          <w:rFonts w:asciiTheme="majorHAnsi" w:hAnsiTheme="majorHAnsi" w:cstheme="majorHAnsi"/>
        </w:rPr>
        <w:t xml:space="preserve"> = 0,22).</w:t>
      </w:r>
    </w:p>
    <w:p w14:paraId="47E50DC5" w14:textId="3DCEAAC6" w:rsidR="00EA2B5F" w:rsidRPr="00F25EBD" w:rsidRDefault="00EA2B5F" w:rsidP="008A3FED">
      <w:pPr>
        <w:spacing w:line="276" w:lineRule="auto"/>
        <w:jc w:val="both"/>
        <w:rPr>
          <w:rFonts w:asciiTheme="majorHAnsi" w:hAnsiTheme="majorHAnsi" w:cstheme="majorHAnsi"/>
        </w:rPr>
      </w:pPr>
      <w:r w:rsidRPr="00F25EBD">
        <w:rPr>
          <w:rFonts w:asciiTheme="majorHAnsi" w:hAnsiTheme="majorHAnsi" w:cstheme="majorHAnsi"/>
        </w:rPr>
        <w:t xml:space="preserve">Ścieki wytworzone na terenie Południowych Mazur odprowadzane były siecią kanalizacyjną, której łączna długość zwiększyła się w latach 2010-2019 o 61,4% osiągając w rezultacie 1.470,5 km. Szczególne intensywne przyrosty widoczne były w powiecie </w:t>
      </w:r>
      <w:proofErr w:type="spellStart"/>
      <w:r w:rsidRPr="00F25EBD">
        <w:rPr>
          <w:rFonts w:asciiTheme="majorHAnsi" w:hAnsiTheme="majorHAnsi" w:cstheme="majorHAnsi"/>
        </w:rPr>
        <w:t>piskim</w:t>
      </w:r>
      <w:proofErr w:type="spellEnd"/>
      <w:r w:rsidRPr="00F25EBD">
        <w:rPr>
          <w:rFonts w:asciiTheme="majorHAnsi" w:hAnsiTheme="majorHAnsi" w:cstheme="majorHAnsi"/>
        </w:rPr>
        <w:t xml:space="preserve"> (78,3%) oraz szczycieńskim (66,9%). Wydłużeniu sieci towarzyszył jednak wzrost awaryjności. W 2019</w:t>
      </w:r>
      <w:r w:rsidR="00F7062F">
        <w:rPr>
          <w:rFonts w:asciiTheme="majorHAnsi" w:hAnsiTheme="majorHAnsi" w:cstheme="majorHAnsi"/>
        </w:rPr>
        <w:t>r.</w:t>
      </w:r>
      <w:r w:rsidRPr="00F25EBD">
        <w:rPr>
          <w:rFonts w:asciiTheme="majorHAnsi" w:hAnsiTheme="majorHAnsi" w:cstheme="majorHAnsi"/>
        </w:rPr>
        <w:t xml:space="preserve"> w powiatach PM zarejestrowano łącznie 1.384 awarie, z</w:t>
      </w:r>
      <w:r w:rsidR="00D94085">
        <w:rPr>
          <w:rFonts w:asciiTheme="majorHAnsi" w:hAnsiTheme="majorHAnsi" w:cstheme="majorHAnsi"/>
        </w:rPr>
        <w:t xml:space="preserve"> </w:t>
      </w:r>
      <w:r w:rsidRPr="00F25EBD">
        <w:rPr>
          <w:rFonts w:asciiTheme="majorHAnsi" w:hAnsiTheme="majorHAnsi" w:cstheme="majorHAnsi"/>
        </w:rPr>
        <w:t>czego 1.130 przypadało na powiat szczycieński. Jednostka ta odznaczała się również najwyższą wartością wskaźnika awaryjności (W</w:t>
      </w:r>
      <w:r w:rsidRPr="00F25EBD">
        <w:rPr>
          <w:rFonts w:asciiTheme="majorHAnsi" w:hAnsiTheme="majorHAnsi" w:cstheme="majorHAnsi"/>
          <w:vertAlign w:val="subscript"/>
        </w:rPr>
        <w:t>A</w:t>
      </w:r>
      <w:r w:rsidRPr="00F25EBD">
        <w:rPr>
          <w:rFonts w:asciiTheme="majorHAnsi" w:hAnsiTheme="majorHAnsi" w:cstheme="majorHAnsi"/>
        </w:rPr>
        <w:t>), który w 2019</w:t>
      </w:r>
      <w:r w:rsidR="00F7062F">
        <w:rPr>
          <w:rFonts w:asciiTheme="majorHAnsi" w:hAnsiTheme="majorHAnsi" w:cstheme="majorHAnsi"/>
        </w:rPr>
        <w:t>r.</w:t>
      </w:r>
      <w:r w:rsidRPr="00F25EBD">
        <w:rPr>
          <w:rFonts w:asciiTheme="majorHAnsi" w:hAnsiTheme="majorHAnsi" w:cstheme="majorHAnsi"/>
        </w:rPr>
        <w:t xml:space="preserve"> osiągnął wartość 2,4, podczas gdy w</w:t>
      </w:r>
      <w:r w:rsidR="007B04A7">
        <w:rPr>
          <w:rFonts w:asciiTheme="majorHAnsi" w:hAnsiTheme="majorHAnsi" w:cstheme="majorHAnsi"/>
        </w:rPr>
        <w:t xml:space="preserve"> </w:t>
      </w:r>
      <w:r w:rsidRPr="00F25EBD">
        <w:rPr>
          <w:rFonts w:asciiTheme="majorHAnsi" w:hAnsiTheme="majorHAnsi" w:cstheme="majorHAnsi"/>
        </w:rPr>
        <w:t>powiecie nidzickim 0,06, a</w:t>
      </w:r>
      <w:r w:rsidR="007B7167">
        <w:rPr>
          <w:rFonts w:asciiTheme="majorHAnsi" w:hAnsiTheme="majorHAnsi" w:cstheme="majorHAnsi"/>
        </w:rPr>
        <w:t> </w:t>
      </w:r>
      <w:r w:rsidRPr="00F25EBD">
        <w:rPr>
          <w:rFonts w:asciiTheme="majorHAnsi" w:hAnsiTheme="majorHAnsi" w:cstheme="majorHAnsi"/>
        </w:rPr>
        <w:t>działdowskim 0,08.</w:t>
      </w:r>
    </w:p>
    <w:p w14:paraId="02E5ECA6" w14:textId="39C70640" w:rsidR="00EA2B5F" w:rsidRPr="00F25EBD" w:rsidRDefault="00EA2B5F" w:rsidP="008A3FED">
      <w:pPr>
        <w:spacing w:line="276" w:lineRule="auto"/>
        <w:jc w:val="both"/>
        <w:rPr>
          <w:rFonts w:asciiTheme="majorHAnsi" w:hAnsiTheme="majorHAnsi" w:cstheme="majorHAnsi"/>
        </w:rPr>
      </w:pPr>
      <w:r w:rsidRPr="00F25EBD">
        <w:rPr>
          <w:rFonts w:asciiTheme="majorHAnsi" w:hAnsiTheme="majorHAnsi" w:cstheme="majorHAnsi"/>
        </w:rPr>
        <w:t>W 2018</w:t>
      </w:r>
      <w:r w:rsidR="00F7062F">
        <w:rPr>
          <w:rFonts w:asciiTheme="majorHAnsi" w:hAnsiTheme="majorHAnsi" w:cstheme="majorHAnsi"/>
        </w:rPr>
        <w:t>r.</w:t>
      </w:r>
      <w:r w:rsidRPr="00F25EBD">
        <w:rPr>
          <w:rFonts w:asciiTheme="majorHAnsi" w:hAnsiTheme="majorHAnsi" w:cstheme="majorHAnsi"/>
        </w:rPr>
        <w:t xml:space="preserve"> z sieci kanalizacyjnej korzystało 146.933 osób, w tym 29,5% stanowili mieszkańcy powiatu działdowskiego, 29,2% szczycieńskiego, 27,2% </w:t>
      </w:r>
      <w:proofErr w:type="spellStart"/>
      <w:r w:rsidRPr="00F25EBD">
        <w:rPr>
          <w:rFonts w:asciiTheme="majorHAnsi" w:hAnsiTheme="majorHAnsi" w:cstheme="majorHAnsi"/>
        </w:rPr>
        <w:t>piskiego</w:t>
      </w:r>
      <w:proofErr w:type="spellEnd"/>
      <w:r w:rsidRPr="00F25EBD">
        <w:rPr>
          <w:rFonts w:asciiTheme="majorHAnsi" w:hAnsiTheme="majorHAnsi" w:cstheme="majorHAnsi"/>
        </w:rPr>
        <w:t xml:space="preserve"> i 14,1% nidzickiego. Na przestrzeni lat 2010-2019 liczba użytkowników zwiększyła się o 16,4%, co oznacza że rosła ona zdecydowanie wolniej niż długość sieci. Największy wzrost widoczny był w powiecie działdowskim (19,2%), a także </w:t>
      </w:r>
      <w:proofErr w:type="spellStart"/>
      <w:r w:rsidRPr="00F25EBD">
        <w:rPr>
          <w:rFonts w:asciiTheme="majorHAnsi" w:hAnsiTheme="majorHAnsi" w:cstheme="majorHAnsi"/>
        </w:rPr>
        <w:t>piskim</w:t>
      </w:r>
      <w:proofErr w:type="spellEnd"/>
      <w:r w:rsidRPr="00F25EBD">
        <w:rPr>
          <w:rFonts w:asciiTheme="majorHAnsi" w:hAnsiTheme="majorHAnsi" w:cstheme="majorHAnsi"/>
        </w:rPr>
        <w:t xml:space="preserve"> (17,7%). </w:t>
      </w:r>
    </w:p>
    <w:p w14:paraId="251500F4" w14:textId="77777777" w:rsidR="00EA2B5F" w:rsidRPr="00F25EBD" w:rsidRDefault="00EA2B5F" w:rsidP="008A3FED">
      <w:pPr>
        <w:spacing w:line="276" w:lineRule="auto"/>
        <w:jc w:val="both"/>
        <w:rPr>
          <w:rFonts w:asciiTheme="majorHAnsi" w:hAnsiTheme="majorHAnsi" w:cstheme="majorHAnsi"/>
        </w:rPr>
      </w:pPr>
      <w:r w:rsidRPr="00F25EBD">
        <w:rPr>
          <w:rFonts w:asciiTheme="majorHAnsi" w:hAnsiTheme="majorHAnsi" w:cstheme="majorHAnsi"/>
        </w:rPr>
        <w:t>Długość sieci kanalizacyjnej w relacji do sieci wodociągowej i zmiany tej proporcji w latach 2010-2019 przedstawione są na poniższym rysunku. Widać na nim wyraźnie, że ze wszystkich jednostek administracyjnych PM, to powiat piski uzyskał najwyższy poziom ilościowego pokrycia obu sieci (90,01%). Należy mieć jednak na uwadze, że nie jest to równoznaczne z pełnym zaspokojeniem wszystkich potrzeb mieszkańców w tym zakresie. We wspomnianym samorządzie odsetek ludności korzystającej z sieci wodociągowej wyniósł bowiem 86,5%, a odsetek mieszkańców użytkujących sieć kanalizacyjną 70,7%.</w:t>
      </w:r>
    </w:p>
    <w:p w14:paraId="6DF8BD20" w14:textId="77777777" w:rsidR="00EA2B5F" w:rsidRPr="00F25EBD" w:rsidRDefault="00EA2B5F" w:rsidP="008543EA">
      <w:pPr>
        <w:pStyle w:val="nad"/>
      </w:pPr>
      <w:bookmarkStart w:id="53" w:name="_Toc81301550"/>
      <w:r w:rsidRPr="00F25EBD">
        <w:t xml:space="preserve">Rysunek </w:t>
      </w:r>
      <w:r w:rsidRPr="00F25EBD">
        <w:rPr>
          <w:noProof/>
        </w:rPr>
        <w:fldChar w:fldCharType="begin"/>
      </w:r>
      <w:r w:rsidRPr="00F25EBD">
        <w:rPr>
          <w:noProof/>
        </w:rPr>
        <w:instrText xml:space="preserve"> SEQ Rysunek \* ARABIC </w:instrText>
      </w:r>
      <w:r w:rsidRPr="00F25EBD">
        <w:rPr>
          <w:noProof/>
        </w:rPr>
        <w:fldChar w:fldCharType="separate"/>
      </w:r>
      <w:r w:rsidR="006C7815">
        <w:rPr>
          <w:noProof/>
        </w:rPr>
        <w:t>22</w:t>
      </w:r>
      <w:r w:rsidRPr="00F25EBD">
        <w:rPr>
          <w:noProof/>
        </w:rPr>
        <w:fldChar w:fldCharType="end"/>
      </w:r>
      <w:r w:rsidRPr="00F25EBD">
        <w:t>. Długość sieci kanalizacyjnej w relacji do sieci wodociągowej w latach 2010-2019 (%)</w:t>
      </w:r>
      <w:bookmarkEnd w:id="53"/>
    </w:p>
    <w:p w14:paraId="7A7C5714" w14:textId="77777777" w:rsidR="00EA2B5F" w:rsidRPr="00F25EBD" w:rsidRDefault="00EA2B5F" w:rsidP="00FC7062">
      <w:pPr>
        <w:spacing w:after="0" w:line="276" w:lineRule="auto"/>
        <w:jc w:val="center"/>
        <w:rPr>
          <w:rFonts w:asciiTheme="majorHAnsi" w:hAnsiTheme="majorHAnsi" w:cstheme="majorHAnsi"/>
          <w:highlight w:val="yellow"/>
        </w:rPr>
      </w:pPr>
      <w:r w:rsidRPr="00F25EBD">
        <w:rPr>
          <w:rFonts w:asciiTheme="majorHAnsi" w:hAnsiTheme="majorHAnsi" w:cstheme="majorHAnsi"/>
          <w:noProof/>
          <w:lang w:eastAsia="pl-PL"/>
        </w:rPr>
        <w:drawing>
          <wp:inline distT="0" distB="0" distL="0" distR="0" wp14:anchorId="6242418D" wp14:editId="4CEC5988">
            <wp:extent cx="5760000" cy="2606400"/>
            <wp:effectExtent l="0" t="0" r="0" b="3810"/>
            <wp:docPr id="26" name="Wykres 26">
              <a:extLst xmlns:a="http://schemas.openxmlformats.org/drawingml/2006/main">
                <a:ext uri="{FF2B5EF4-FFF2-40B4-BE49-F238E27FC236}">
                  <a16:creationId xmlns:a16="http://schemas.microsoft.com/office/drawing/2014/main" id="{E58F77E3-94D1-4E60-8E09-7A3F9A65FEF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0F258E2F" w14:textId="77777777" w:rsidR="00EA2B5F" w:rsidRPr="00F25EBD" w:rsidRDefault="00EA2B5F" w:rsidP="008543EA">
      <w:pPr>
        <w:pStyle w:val="rdo"/>
      </w:pPr>
      <w:r w:rsidRPr="00F25EBD">
        <w:t>Źródło: opracowanie własne na podstawie danych BDL.</w:t>
      </w:r>
    </w:p>
    <w:p w14:paraId="2ECC548D" w14:textId="77777777" w:rsidR="00EA2B5F" w:rsidRPr="00F25EBD" w:rsidRDefault="00EA2B5F" w:rsidP="00FC7062">
      <w:pPr>
        <w:spacing w:after="0" w:line="276" w:lineRule="auto"/>
        <w:jc w:val="both"/>
        <w:rPr>
          <w:rFonts w:asciiTheme="majorHAnsi" w:hAnsiTheme="majorHAnsi" w:cstheme="majorHAnsi"/>
        </w:rPr>
      </w:pPr>
    </w:p>
    <w:p w14:paraId="6FD476E4" w14:textId="09C3D42A" w:rsidR="00EA2B5F" w:rsidRPr="00F25EBD" w:rsidRDefault="00EA2B5F" w:rsidP="00FC7062">
      <w:pPr>
        <w:spacing w:after="0" w:line="276" w:lineRule="auto"/>
        <w:jc w:val="both"/>
        <w:rPr>
          <w:rFonts w:asciiTheme="majorHAnsi" w:hAnsiTheme="majorHAnsi" w:cstheme="majorHAnsi"/>
        </w:rPr>
      </w:pPr>
      <w:r w:rsidRPr="00F25EBD">
        <w:rPr>
          <w:rFonts w:asciiTheme="majorHAnsi" w:hAnsiTheme="majorHAnsi" w:cstheme="majorHAnsi"/>
        </w:rPr>
        <w:t>Dominacja sieci wodociągowej nad kanalizacyjną przełożyła się na przewagę odsetka ludności korzystającej z wodociągu nad mieszkańcami użytkującymi sieć kanalizacyjną. W 2019</w:t>
      </w:r>
      <w:r w:rsidR="00F7062F">
        <w:rPr>
          <w:rFonts w:asciiTheme="majorHAnsi" w:hAnsiTheme="majorHAnsi" w:cstheme="majorHAnsi"/>
        </w:rPr>
        <w:t>r.</w:t>
      </w:r>
      <w:r w:rsidRPr="00F25EBD">
        <w:rPr>
          <w:rFonts w:asciiTheme="majorHAnsi" w:hAnsiTheme="majorHAnsi" w:cstheme="majorHAnsi"/>
        </w:rPr>
        <w:t xml:space="preserve"> największa dysproporcja, wynosząca 31,6 pkt. proc., wystąpiła w powiecie szczycieńskim, natomiast najniższa </w:t>
      </w:r>
      <w:r w:rsidR="00F7062F">
        <w:rPr>
          <w:rFonts w:asciiTheme="majorHAnsi" w:hAnsiTheme="majorHAnsi" w:cstheme="majorHAnsi"/>
        </w:rPr>
        <w:br/>
      </w:r>
      <w:r w:rsidRPr="00F25EBD">
        <w:rPr>
          <w:rFonts w:asciiTheme="majorHAnsi" w:hAnsiTheme="majorHAnsi" w:cstheme="majorHAnsi"/>
        </w:rPr>
        <w:t xml:space="preserve">(15,8 pkt. proc.) w </w:t>
      </w:r>
      <w:proofErr w:type="spellStart"/>
      <w:r w:rsidRPr="00F25EBD">
        <w:rPr>
          <w:rFonts w:asciiTheme="majorHAnsi" w:hAnsiTheme="majorHAnsi" w:cstheme="majorHAnsi"/>
        </w:rPr>
        <w:t>piskim</w:t>
      </w:r>
      <w:proofErr w:type="spellEnd"/>
      <w:r w:rsidRPr="00F25EBD">
        <w:rPr>
          <w:rFonts w:asciiTheme="majorHAnsi" w:hAnsiTheme="majorHAnsi" w:cstheme="majorHAnsi"/>
        </w:rPr>
        <w:t>.</w:t>
      </w:r>
    </w:p>
    <w:p w14:paraId="44E20895" w14:textId="77777777" w:rsidR="00EA2B5F" w:rsidRPr="00F25EBD" w:rsidRDefault="00EA2B5F" w:rsidP="00FC7062">
      <w:pPr>
        <w:spacing w:after="0" w:line="276" w:lineRule="auto"/>
        <w:jc w:val="both"/>
        <w:rPr>
          <w:rFonts w:asciiTheme="majorHAnsi" w:hAnsiTheme="majorHAnsi" w:cstheme="majorHAnsi"/>
        </w:rPr>
      </w:pPr>
    </w:p>
    <w:p w14:paraId="2E700A6E" w14:textId="4B0FF881" w:rsidR="00EA2B5F" w:rsidRPr="00F25EBD" w:rsidRDefault="008543EA" w:rsidP="008543EA">
      <w:pPr>
        <w:pStyle w:val="Nagwek2"/>
        <w:spacing w:before="0"/>
        <w:jc w:val="both"/>
        <w:rPr>
          <w:rFonts w:cstheme="majorHAnsi"/>
        </w:rPr>
      </w:pPr>
      <w:bookmarkStart w:id="54" w:name="_Toc77070612"/>
      <w:r>
        <w:rPr>
          <w:rFonts w:cstheme="majorHAnsi"/>
        </w:rPr>
        <w:t xml:space="preserve">5.3 </w:t>
      </w:r>
      <w:r w:rsidR="00EA2B5F" w:rsidRPr="00F25EBD">
        <w:rPr>
          <w:rFonts w:cstheme="majorHAnsi"/>
        </w:rPr>
        <w:t>Mieszkalnictwo</w:t>
      </w:r>
      <w:bookmarkEnd w:id="54"/>
    </w:p>
    <w:p w14:paraId="71BA316E" w14:textId="77777777" w:rsidR="00EA2B5F" w:rsidRPr="00F25EBD" w:rsidRDefault="00EA2B5F" w:rsidP="008A3FED">
      <w:pPr>
        <w:spacing w:line="276" w:lineRule="auto"/>
        <w:jc w:val="both"/>
        <w:rPr>
          <w:rFonts w:asciiTheme="majorHAnsi" w:hAnsiTheme="majorHAnsi" w:cstheme="majorHAnsi"/>
        </w:rPr>
      </w:pPr>
      <w:r w:rsidRPr="00F25EBD">
        <w:rPr>
          <w:rFonts w:asciiTheme="majorHAnsi" w:hAnsiTheme="majorHAnsi" w:cstheme="majorHAnsi"/>
        </w:rPr>
        <w:t>W grupie czynników determinujących jakość życia mieszkańców danego obszaru ważną rolę, obok systemów komunikacyjnych i infrastruktury sieciowej, odgrywa również infrastruktura mieszkalna. Dzięki niej człowiek jest w stanie zaspokoić różnorodne potrzeby</w:t>
      </w:r>
      <w:r w:rsidR="00336D76" w:rsidRPr="00F25EBD">
        <w:rPr>
          <w:rFonts w:asciiTheme="majorHAnsi" w:hAnsiTheme="majorHAnsi" w:cstheme="majorHAnsi"/>
        </w:rPr>
        <w:t xml:space="preserve"> - </w:t>
      </w:r>
      <w:r w:rsidRPr="00F25EBD">
        <w:rPr>
          <w:rFonts w:asciiTheme="majorHAnsi" w:hAnsiTheme="majorHAnsi" w:cstheme="majorHAnsi"/>
        </w:rPr>
        <w:t>od tych najbardziej elementarnych, po społeczne i samorealizacji. Na poziomie potrzeb fizjologicznych mieszkanie realizuje funkcje biologiczne, tworzy przestrzeń snu, odżywiania, zachowania czystości. Na poziomie bezpieczeństwa mieszkanie realizuje funkcje ochronne, daje poczucie stabilizacji. Na poziomie potrzeby przynależności mieszkanie spełnia funkcje społeczne, w tym prowadzenia życia towarzyskiego. Mieszkanie może być również źródłem uznania i szacunku, poprzez realizację funkcji humanistycznych, jak budowa więzi sąsiedzkiej i rodzinnej. Mieszkanie może również stanowić źródło zaspokojenia potrzeby samorealizacji tworząc miejsce pracy oraz indywidualną przestrzeń życiową</w:t>
      </w:r>
      <w:r w:rsidRPr="00F25EBD">
        <w:rPr>
          <w:rStyle w:val="Odwoanieprzypisudolnego"/>
          <w:rFonts w:asciiTheme="majorHAnsi" w:hAnsiTheme="majorHAnsi" w:cstheme="majorHAnsi"/>
        </w:rPr>
        <w:footnoteReference w:id="33"/>
      </w:r>
      <w:r w:rsidRPr="00F25EBD">
        <w:rPr>
          <w:rFonts w:asciiTheme="majorHAnsi" w:hAnsiTheme="majorHAnsi" w:cstheme="majorHAnsi"/>
        </w:rPr>
        <w:t>.</w:t>
      </w:r>
    </w:p>
    <w:p w14:paraId="20EB777E" w14:textId="2FC8F849" w:rsidR="00EA2B5F" w:rsidRPr="00F25EBD" w:rsidRDefault="00EA2B5F" w:rsidP="008A3FED">
      <w:pPr>
        <w:spacing w:line="276" w:lineRule="auto"/>
        <w:jc w:val="both"/>
        <w:rPr>
          <w:rFonts w:asciiTheme="majorHAnsi" w:hAnsiTheme="majorHAnsi" w:cstheme="majorHAnsi"/>
        </w:rPr>
      </w:pPr>
      <w:r w:rsidRPr="00F25EBD">
        <w:rPr>
          <w:rFonts w:asciiTheme="majorHAnsi" w:hAnsiTheme="majorHAnsi" w:cstheme="majorHAnsi"/>
        </w:rPr>
        <w:t>W 2018</w:t>
      </w:r>
      <w:r w:rsidR="00F7062F">
        <w:rPr>
          <w:rFonts w:asciiTheme="majorHAnsi" w:hAnsiTheme="majorHAnsi" w:cstheme="majorHAnsi"/>
        </w:rPr>
        <w:t>r.</w:t>
      </w:r>
      <w:r w:rsidRPr="00F25EBD">
        <w:rPr>
          <w:rFonts w:asciiTheme="majorHAnsi" w:hAnsiTheme="majorHAnsi" w:cstheme="majorHAnsi"/>
        </w:rPr>
        <w:t xml:space="preserve"> ludność z terenu Południowych Mazur zamieszkiwała 104.207 mieszkań o łącznej powierzchni 7.009.022 m</w:t>
      </w:r>
      <w:r w:rsidRPr="00F25EBD">
        <w:rPr>
          <w:rFonts w:asciiTheme="majorHAnsi" w:hAnsiTheme="majorHAnsi" w:cstheme="majorHAnsi"/>
          <w:vertAlign w:val="superscript"/>
        </w:rPr>
        <w:t>2</w:t>
      </w:r>
      <w:r w:rsidRPr="00F25EBD">
        <w:rPr>
          <w:rFonts w:asciiTheme="majorHAnsi" w:hAnsiTheme="majorHAnsi" w:cstheme="majorHAnsi"/>
        </w:rPr>
        <w:t xml:space="preserve">. Adekwatnie do liczby mieszkańców, największy odsetek mieszkań przypadał na powiat szczycieński (29,0%), a następnie piski (28,8%), działdowski (28,3%) oraz nidzicki (13,9%). Dysproporcje te znikały po zrelatywizowaniu liczby mieszkań względem liczby mieszkańców. W takim ujęciu najwyższą wartość wskaźnika miał powiat piski (345,4), potem działdowski (341,1), szczycieński (340,2) i nidzicki (334,2). </w:t>
      </w:r>
    </w:p>
    <w:p w14:paraId="45A94744" w14:textId="64B7EAF3" w:rsidR="00EA2B5F" w:rsidRPr="00F25EBD" w:rsidRDefault="00EA2B5F" w:rsidP="008A3FED">
      <w:pPr>
        <w:spacing w:line="276" w:lineRule="auto"/>
        <w:jc w:val="both"/>
        <w:rPr>
          <w:rFonts w:asciiTheme="majorHAnsi" w:hAnsiTheme="majorHAnsi" w:cstheme="majorHAnsi"/>
        </w:rPr>
      </w:pPr>
      <w:r w:rsidRPr="00F25EBD">
        <w:rPr>
          <w:rFonts w:asciiTheme="majorHAnsi" w:hAnsiTheme="majorHAnsi" w:cstheme="majorHAnsi"/>
        </w:rPr>
        <w:t>Ponad połowa wszystkich mieszkań (64,2%) (i niemal ¾ powierzchni mieszkalnej) była własnością osób fizycznych</w:t>
      </w:r>
      <w:r w:rsidR="00B06327">
        <w:rPr>
          <w:rFonts w:asciiTheme="majorHAnsi" w:hAnsiTheme="majorHAnsi" w:cstheme="majorHAnsi"/>
        </w:rPr>
        <w:t xml:space="preserve">. </w:t>
      </w:r>
      <w:r w:rsidRPr="00F25EBD">
        <w:rPr>
          <w:rFonts w:asciiTheme="majorHAnsi" w:hAnsiTheme="majorHAnsi" w:cstheme="majorHAnsi"/>
        </w:rPr>
        <w:t>W 2019</w:t>
      </w:r>
      <w:r w:rsidR="00F7062F">
        <w:rPr>
          <w:rFonts w:asciiTheme="majorHAnsi" w:hAnsiTheme="majorHAnsi" w:cstheme="majorHAnsi"/>
        </w:rPr>
        <w:t>r.</w:t>
      </w:r>
      <w:r w:rsidRPr="00F25EBD">
        <w:rPr>
          <w:rFonts w:asciiTheme="majorHAnsi" w:hAnsiTheme="majorHAnsi" w:cstheme="majorHAnsi"/>
        </w:rPr>
        <w:t xml:space="preserve"> średnia powierzchnia mieszkania w powiatach Południowych Mazur wyniosła </w:t>
      </w:r>
      <w:r w:rsidR="003758DB">
        <w:rPr>
          <w:rFonts w:asciiTheme="majorHAnsi" w:hAnsiTheme="majorHAnsi" w:cstheme="majorHAnsi"/>
        </w:rPr>
        <w:br/>
      </w:r>
      <w:r w:rsidRPr="00F25EBD">
        <w:rPr>
          <w:rFonts w:asciiTheme="majorHAnsi" w:hAnsiTheme="majorHAnsi" w:cstheme="majorHAnsi"/>
        </w:rPr>
        <w:t>73,4 m</w:t>
      </w:r>
      <w:r w:rsidRPr="00F25EBD">
        <w:rPr>
          <w:rFonts w:asciiTheme="majorHAnsi" w:hAnsiTheme="majorHAnsi" w:cstheme="majorHAnsi"/>
          <w:vertAlign w:val="superscript"/>
        </w:rPr>
        <w:t>2</w:t>
      </w:r>
      <w:r w:rsidRPr="00F25EBD">
        <w:rPr>
          <w:rFonts w:asciiTheme="majorHAnsi" w:hAnsiTheme="majorHAnsi" w:cstheme="majorHAnsi"/>
        </w:rPr>
        <w:t xml:space="preserve"> przez co była wyższa od średniej wojewódzkiej (68,9 m</w:t>
      </w:r>
      <w:r w:rsidRPr="00F25EBD">
        <w:rPr>
          <w:rFonts w:asciiTheme="majorHAnsi" w:hAnsiTheme="majorHAnsi" w:cstheme="majorHAnsi"/>
          <w:vertAlign w:val="superscript"/>
        </w:rPr>
        <w:t>2</w:t>
      </w:r>
      <w:r w:rsidRPr="00F25EBD">
        <w:rPr>
          <w:rFonts w:asciiTheme="majorHAnsi" w:hAnsiTheme="majorHAnsi" w:cstheme="majorHAnsi"/>
        </w:rPr>
        <w:t>) i niemal dorównywała średniej krajowej (74,4 m</w:t>
      </w:r>
      <w:r w:rsidRPr="00F25EBD">
        <w:rPr>
          <w:rFonts w:asciiTheme="majorHAnsi" w:hAnsiTheme="majorHAnsi" w:cstheme="majorHAnsi"/>
          <w:vertAlign w:val="superscript"/>
        </w:rPr>
        <w:t>2</w:t>
      </w:r>
      <w:r w:rsidRPr="00F25EBD">
        <w:rPr>
          <w:rFonts w:asciiTheme="majorHAnsi" w:hAnsiTheme="majorHAnsi" w:cstheme="majorHAnsi"/>
        </w:rPr>
        <w:t>). Na przestrzeni lat 2010-2019 wielkość ta nieznacznie się powiększyła</w:t>
      </w:r>
      <w:r w:rsidR="00336D76" w:rsidRPr="00F25EBD">
        <w:rPr>
          <w:rFonts w:asciiTheme="majorHAnsi" w:hAnsiTheme="majorHAnsi" w:cstheme="majorHAnsi"/>
        </w:rPr>
        <w:t xml:space="preserve"> - </w:t>
      </w:r>
      <w:r w:rsidRPr="00F25EBD">
        <w:rPr>
          <w:rFonts w:asciiTheme="majorHAnsi" w:hAnsiTheme="majorHAnsi" w:cstheme="majorHAnsi"/>
        </w:rPr>
        <w:t>od 1,5 m</w:t>
      </w:r>
      <w:r w:rsidRPr="00F25EBD">
        <w:rPr>
          <w:rFonts w:asciiTheme="majorHAnsi" w:hAnsiTheme="majorHAnsi" w:cstheme="majorHAnsi"/>
          <w:vertAlign w:val="superscript"/>
        </w:rPr>
        <w:t>2</w:t>
      </w:r>
      <w:r w:rsidRPr="00F25EBD">
        <w:rPr>
          <w:rFonts w:asciiTheme="majorHAnsi" w:hAnsiTheme="majorHAnsi" w:cstheme="majorHAnsi"/>
        </w:rPr>
        <w:t xml:space="preserve"> w</w:t>
      </w:r>
      <w:r w:rsidR="007B04A7">
        <w:rPr>
          <w:rFonts w:asciiTheme="majorHAnsi" w:hAnsiTheme="majorHAnsi" w:cstheme="majorHAnsi"/>
        </w:rPr>
        <w:t xml:space="preserve"> </w:t>
      </w:r>
      <w:r w:rsidRPr="00F25EBD">
        <w:rPr>
          <w:rFonts w:asciiTheme="majorHAnsi" w:hAnsiTheme="majorHAnsi" w:cstheme="majorHAnsi"/>
        </w:rPr>
        <w:t>powiecie działdowskim do 4,7 m</w:t>
      </w:r>
      <w:r w:rsidRPr="00F25EBD">
        <w:rPr>
          <w:rFonts w:asciiTheme="majorHAnsi" w:hAnsiTheme="majorHAnsi" w:cstheme="majorHAnsi"/>
          <w:vertAlign w:val="superscript"/>
        </w:rPr>
        <w:t>2</w:t>
      </w:r>
      <w:r w:rsidRPr="00F25EBD">
        <w:rPr>
          <w:rFonts w:asciiTheme="majorHAnsi" w:hAnsiTheme="majorHAnsi" w:cstheme="majorHAnsi"/>
        </w:rPr>
        <w:t xml:space="preserve"> w nidzickim. Przeciętnie, na mieszkanie przypadało 3,98 izby, tj. nieco więcej niż średnio w kraju (3,82) i regionie (3,78).</w:t>
      </w:r>
    </w:p>
    <w:p w14:paraId="01FCAAEC" w14:textId="3F099521" w:rsidR="00EA2B5F" w:rsidRPr="00F25EBD" w:rsidRDefault="00EA2B5F" w:rsidP="008A3FED">
      <w:pPr>
        <w:spacing w:line="276" w:lineRule="auto"/>
        <w:jc w:val="both"/>
        <w:rPr>
          <w:rFonts w:asciiTheme="majorHAnsi" w:hAnsiTheme="majorHAnsi" w:cstheme="majorHAnsi"/>
        </w:rPr>
      </w:pPr>
      <w:r w:rsidRPr="00F25EBD">
        <w:rPr>
          <w:rFonts w:asciiTheme="majorHAnsi" w:hAnsiTheme="majorHAnsi" w:cstheme="majorHAnsi"/>
        </w:rPr>
        <w:t xml:space="preserve">Na tle sytuacji krajowej i regionalnej wyposażenie mieszkań z Południowych Mazur prezentowało </w:t>
      </w:r>
      <w:r w:rsidR="003758DB">
        <w:rPr>
          <w:rFonts w:asciiTheme="majorHAnsi" w:hAnsiTheme="majorHAnsi" w:cstheme="majorHAnsi"/>
        </w:rPr>
        <w:br/>
      </w:r>
      <w:r w:rsidRPr="00F25EBD">
        <w:rPr>
          <w:rFonts w:asciiTheme="majorHAnsi" w:hAnsiTheme="majorHAnsi" w:cstheme="majorHAnsi"/>
        </w:rPr>
        <w:t>się całkiem korzystnie. Poza gazem sieciowym, którym w 2018</w:t>
      </w:r>
      <w:r w:rsidR="00F7062F">
        <w:rPr>
          <w:rFonts w:asciiTheme="majorHAnsi" w:hAnsiTheme="majorHAnsi" w:cstheme="majorHAnsi"/>
        </w:rPr>
        <w:t>r.</w:t>
      </w:r>
      <w:r w:rsidRPr="00F25EBD">
        <w:rPr>
          <w:rFonts w:asciiTheme="majorHAnsi" w:hAnsiTheme="majorHAnsi" w:cstheme="majorHAnsi"/>
        </w:rPr>
        <w:t xml:space="preserve"> dysponowała ok. ¼ mieszkań (podczas gdy w kraju 38,5%, a w województwie 30,6%), odsetek mieszkań wyposażonych w pozostałe instalacje był tu nieco wyższy. Największa przewaga wystąpiła w przypadku wodociągu, do którego </w:t>
      </w:r>
      <w:r w:rsidR="003758DB">
        <w:rPr>
          <w:rFonts w:asciiTheme="majorHAnsi" w:hAnsiTheme="majorHAnsi" w:cstheme="majorHAnsi"/>
        </w:rPr>
        <w:br/>
      </w:r>
      <w:r w:rsidRPr="00F25EBD">
        <w:rPr>
          <w:rFonts w:asciiTheme="majorHAnsi" w:hAnsiTheme="majorHAnsi" w:cstheme="majorHAnsi"/>
        </w:rPr>
        <w:t>w</w:t>
      </w:r>
      <w:r w:rsidR="007B04A7">
        <w:rPr>
          <w:rFonts w:asciiTheme="majorHAnsi" w:hAnsiTheme="majorHAnsi" w:cstheme="majorHAnsi"/>
        </w:rPr>
        <w:t xml:space="preserve"> </w:t>
      </w:r>
      <w:r w:rsidRPr="00F25EBD">
        <w:rPr>
          <w:rFonts w:asciiTheme="majorHAnsi" w:hAnsiTheme="majorHAnsi" w:cstheme="majorHAnsi"/>
        </w:rPr>
        <w:t>Południowych Mazurach podłączonych było 69,1% mieszkań (w kraju 67,3% i regionie 64,1%), natomiast najniższa w</w:t>
      </w:r>
      <w:r w:rsidR="007B7167">
        <w:rPr>
          <w:rFonts w:asciiTheme="majorHAnsi" w:hAnsiTheme="majorHAnsi" w:cstheme="majorHAnsi"/>
        </w:rPr>
        <w:t> </w:t>
      </w:r>
      <w:r w:rsidRPr="00F25EBD">
        <w:rPr>
          <w:rFonts w:asciiTheme="majorHAnsi" w:hAnsiTheme="majorHAnsi" w:cstheme="majorHAnsi"/>
        </w:rPr>
        <w:t xml:space="preserve">odniesieniu do centralnego ogrzewania, z którego korzystało 58,3% mieszkań </w:t>
      </w:r>
      <w:r w:rsidR="003758DB">
        <w:rPr>
          <w:rFonts w:asciiTheme="majorHAnsi" w:hAnsiTheme="majorHAnsi" w:cstheme="majorHAnsi"/>
        </w:rPr>
        <w:br/>
      </w:r>
      <w:r w:rsidRPr="00F25EBD">
        <w:rPr>
          <w:rFonts w:asciiTheme="majorHAnsi" w:hAnsiTheme="majorHAnsi" w:cstheme="majorHAnsi"/>
        </w:rPr>
        <w:t>PM (w kraju 57,3% i</w:t>
      </w:r>
      <w:r w:rsidR="007B7167">
        <w:rPr>
          <w:rFonts w:asciiTheme="majorHAnsi" w:hAnsiTheme="majorHAnsi" w:cstheme="majorHAnsi"/>
        </w:rPr>
        <w:t> </w:t>
      </w:r>
      <w:r w:rsidRPr="00F25EBD">
        <w:rPr>
          <w:rFonts w:asciiTheme="majorHAnsi" w:hAnsiTheme="majorHAnsi" w:cstheme="majorHAnsi"/>
        </w:rPr>
        <w:t>regionie 55,1%). Sytuację panującą w poszczególnych jednostkach administracyjnych PM przedstawia poniższa tabela.</w:t>
      </w:r>
    </w:p>
    <w:p w14:paraId="0D8CE971" w14:textId="5226C8DC" w:rsidR="00EA2B5F" w:rsidRPr="00F25EBD" w:rsidRDefault="00EA2B5F" w:rsidP="008543EA">
      <w:pPr>
        <w:pStyle w:val="nad"/>
      </w:pPr>
      <w:bookmarkStart w:id="55" w:name="_Toc81300537"/>
      <w:r w:rsidRPr="00F25EBD">
        <w:t xml:space="preserve">Tabela </w:t>
      </w:r>
      <w:r w:rsidRPr="00F25EBD">
        <w:rPr>
          <w:noProof/>
        </w:rPr>
        <w:fldChar w:fldCharType="begin"/>
      </w:r>
      <w:r w:rsidRPr="00F25EBD">
        <w:rPr>
          <w:noProof/>
        </w:rPr>
        <w:instrText xml:space="preserve"> SEQ Tabela \* ARABIC </w:instrText>
      </w:r>
      <w:r w:rsidRPr="00F25EBD">
        <w:rPr>
          <w:noProof/>
        </w:rPr>
        <w:fldChar w:fldCharType="separate"/>
      </w:r>
      <w:r w:rsidR="006C7815">
        <w:rPr>
          <w:noProof/>
        </w:rPr>
        <w:t>11</w:t>
      </w:r>
      <w:r w:rsidRPr="00F25EBD">
        <w:rPr>
          <w:noProof/>
        </w:rPr>
        <w:fldChar w:fldCharType="end"/>
      </w:r>
      <w:r w:rsidRPr="00F25EBD">
        <w:t>. Odsetek mieszkań wyposażonych w instalacje techniczno-sanitarne (2018</w:t>
      </w:r>
      <w:r w:rsidR="00F7062F">
        <w:t>r.</w:t>
      </w:r>
      <w:r w:rsidRPr="00F25EBD">
        <w:t>)</w:t>
      </w:r>
      <w:bookmarkEnd w:id="5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021"/>
        <w:gridCol w:w="1953"/>
        <w:gridCol w:w="1270"/>
        <w:gridCol w:w="1272"/>
        <w:gridCol w:w="1272"/>
        <w:gridCol w:w="1272"/>
      </w:tblGrid>
      <w:tr w:rsidR="002C7D64" w:rsidRPr="002C7D64" w14:paraId="7DB02E49" w14:textId="77777777" w:rsidTr="002C7D64">
        <w:trPr>
          <w:trHeight w:val="47"/>
        </w:trPr>
        <w:tc>
          <w:tcPr>
            <w:tcW w:w="1115" w:type="pct"/>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noWrap/>
            <w:vAlign w:val="center"/>
            <w:hideMark/>
          </w:tcPr>
          <w:p w14:paraId="71E4437A" w14:textId="77777777" w:rsidR="00EA2B5F" w:rsidRPr="002C7D64" w:rsidRDefault="00EA2B5F" w:rsidP="00FC7062">
            <w:pPr>
              <w:spacing w:after="0" w:line="276" w:lineRule="auto"/>
              <w:jc w:val="center"/>
              <w:rPr>
                <w:rFonts w:asciiTheme="majorHAnsi" w:eastAsia="Times New Roman" w:hAnsiTheme="majorHAnsi" w:cstheme="majorHAnsi"/>
                <w:color w:val="FFFFFF" w:themeColor="background1"/>
                <w:sz w:val="20"/>
                <w:szCs w:val="20"/>
                <w:lang w:eastAsia="pl-PL"/>
              </w:rPr>
            </w:pPr>
            <w:r w:rsidRPr="002C7D64">
              <w:rPr>
                <w:rFonts w:asciiTheme="majorHAnsi" w:eastAsia="Times New Roman" w:hAnsiTheme="majorHAnsi" w:cstheme="majorHAnsi"/>
                <w:color w:val="FFFFFF" w:themeColor="background1"/>
                <w:sz w:val="20"/>
                <w:szCs w:val="20"/>
                <w:lang w:eastAsia="pl-PL"/>
              </w:rPr>
              <w:t xml:space="preserve">Wyposażenie </w:t>
            </w:r>
            <w:r w:rsidRPr="002C7D64">
              <w:rPr>
                <w:rFonts w:asciiTheme="majorHAnsi" w:eastAsia="Times New Roman" w:hAnsiTheme="majorHAnsi" w:cstheme="majorHAnsi"/>
                <w:color w:val="FFFFFF" w:themeColor="background1"/>
                <w:sz w:val="20"/>
                <w:szCs w:val="20"/>
                <w:lang w:eastAsia="pl-PL"/>
              </w:rPr>
              <w:br/>
              <w:t>mieszkania</w:t>
            </w:r>
          </w:p>
        </w:tc>
        <w:tc>
          <w:tcPr>
            <w:tcW w:w="1078" w:type="pct"/>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noWrap/>
            <w:vAlign w:val="center"/>
            <w:hideMark/>
          </w:tcPr>
          <w:p w14:paraId="5CFD9EB2" w14:textId="77777777" w:rsidR="00EA2B5F" w:rsidRPr="002C7D64" w:rsidRDefault="00EA2B5F" w:rsidP="00FC7062">
            <w:pPr>
              <w:spacing w:after="0" w:line="276" w:lineRule="auto"/>
              <w:jc w:val="center"/>
              <w:rPr>
                <w:rFonts w:asciiTheme="majorHAnsi" w:eastAsia="Times New Roman" w:hAnsiTheme="majorHAnsi" w:cstheme="majorHAnsi"/>
                <w:color w:val="FFFFFF" w:themeColor="background1"/>
                <w:sz w:val="20"/>
                <w:szCs w:val="20"/>
                <w:lang w:eastAsia="pl-PL"/>
              </w:rPr>
            </w:pPr>
            <w:r w:rsidRPr="002C7D64">
              <w:rPr>
                <w:rFonts w:asciiTheme="majorHAnsi" w:eastAsia="Times New Roman" w:hAnsiTheme="majorHAnsi" w:cstheme="majorHAnsi"/>
                <w:color w:val="FFFFFF" w:themeColor="background1"/>
                <w:sz w:val="20"/>
                <w:szCs w:val="20"/>
                <w:lang w:eastAsia="pl-PL"/>
              </w:rPr>
              <w:t>Rok</w:t>
            </w:r>
          </w:p>
        </w:tc>
        <w:tc>
          <w:tcPr>
            <w:tcW w:w="2807" w:type="pct"/>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noWrap/>
            <w:vAlign w:val="bottom"/>
            <w:hideMark/>
          </w:tcPr>
          <w:p w14:paraId="08BE0AC7" w14:textId="77777777" w:rsidR="00EA2B5F" w:rsidRPr="002C7D64" w:rsidRDefault="00EA2B5F" w:rsidP="00FC7062">
            <w:pPr>
              <w:spacing w:after="0" w:line="276" w:lineRule="auto"/>
              <w:jc w:val="center"/>
              <w:rPr>
                <w:rFonts w:asciiTheme="majorHAnsi" w:eastAsia="Times New Roman" w:hAnsiTheme="majorHAnsi" w:cstheme="majorHAnsi"/>
                <w:color w:val="FFFFFF" w:themeColor="background1"/>
                <w:sz w:val="20"/>
                <w:szCs w:val="20"/>
                <w:lang w:eastAsia="pl-PL"/>
              </w:rPr>
            </w:pPr>
            <w:r w:rsidRPr="002C7D64">
              <w:rPr>
                <w:rFonts w:asciiTheme="majorHAnsi" w:eastAsia="Times New Roman" w:hAnsiTheme="majorHAnsi" w:cstheme="majorHAnsi"/>
                <w:color w:val="FFFFFF" w:themeColor="background1"/>
                <w:sz w:val="20"/>
                <w:szCs w:val="20"/>
                <w:lang w:eastAsia="pl-PL"/>
              </w:rPr>
              <w:t>Powiat</w:t>
            </w:r>
          </w:p>
        </w:tc>
      </w:tr>
      <w:tr w:rsidR="00EA2B5F" w:rsidRPr="00F25EBD" w14:paraId="46841A27" w14:textId="77777777" w:rsidTr="002C7D64">
        <w:trPr>
          <w:trHeight w:val="283"/>
        </w:trPr>
        <w:tc>
          <w:tcPr>
            <w:tcW w:w="1115" w:type="pct"/>
            <w:vMerge/>
            <w:tcBorders>
              <w:top w:val="single" w:sz="4" w:space="0" w:color="FFFFFF" w:themeColor="background1"/>
              <w:left w:val="single" w:sz="4" w:space="0" w:color="FFFFFF" w:themeColor="background1"/>
              <w:bottom w:val="nil"/>
              <w:right w:val="single" w:sz="4" w:space="0" w:color="FFFFFF" w:themeColor="background1"/>
            </w:tcBorders>
            <w:shd w:val="clear" w:color="auto" w:fill="auto"/>
            <w:noWrap/>
            <w:vAlign w:val="bottom"/>
            <w:hideMark/>
          </w:tcPr>
          <w:p w14:paraId="6AEC96FC" w14:textId="77777777" w:rsidR="00EA2B5F" w:rsidRPr="00F25EBD" w:rsidRDefault="00EA2B5F" w:rsidP="00FC7062">
            <w:pPr>
              <w:spacing w:after="0" w:line="276" w:lineRule="auto"/>
              <w:ind w:left="284"/>
              <w:rPr>
                <w:rFonts w:asciiTheme="majorHAnsi" w:eastAsia="Times New Roman" w:hAnsiTheme="majorHAnsi" w:cstheme="majorHAnsi"/>
                <w:sz w:val="20"/>
                <w:szCs w:val="20"/>
                <w:lang w:eastAsia="pl-PL"/>
              </w:rPr>
            </w:pPr>
          </w:p>
        </w:tc>
        <w:tc>
          <w:tcPr>
            <w:tcW w:w="1078" w:type="pct"/>
            <w:vMerge/>
            <w:tcBorders>
              <w:top w:val="single" w:sz="4" w:space="0" w:color="FFFFFF" w:themeColor="background1"/>
              <w:left w:val="single" w:sz="4" w:space="0" w:color="FFFFFF" w:themeColor="background1"/>
              <w:bottom w:val="nil"/>
              <w:right w:val="single" w:sz="4" w:space="0" w:color="FFFFFF" w:themeColor="background1"/>
            </w:tcBorders>
            <w:shd w:val="clear" w:color="auto" w:fill="auto"/>
            <w:noWrap/>
            <w:vAlign w:val="bottom"/>
            <w:hideMark/>
          </w:tcPr>
          <w:p w14:paraId="1169341E" w14:textId="77777777" w:rsidR="00EA2B5F" w:rsidRPr="00F25EBD" w:rsidRDefault="00EA2B5F" w:rsidP="00FC7062">
            <w:pPr>
              <w:spacing w:after="0" w:line="276" w:lineRule="auto"/>
              <w:rPr>
                <w:rFonts w:asciiTheme="majorHAnsi" w:eastAsia="Times New Roman" w:hAnsiTheme="majorHAnsi" w:cstheme="majorHAnsi"/>
                <w:sz w:val="18"/>
                <w:szCs w:val="18"/>
                <w:lang w:eastAsia="pl-PL"/>
              </w:rPr>
            </w:pPr>
          </w:p>
        </w:tc>
        <w:tc>
          <w:tcPr>
            <w:tcW w:w="701" w:type="pct"/>
            <w:tcBorders>
              <w:top w:val="single" w:sz="4" w:space="0" w:color="FFFFFF" w:themeColor="background1"/>
              <w:left w:val="single" w:sz="4" w:space="0" w:color="FFFFFF" w:themeColor="background1"/>
              <w:bottom w:val="nil"/>
              <w:right w:val="single" w:sz="4" w:space="0" w:color="FFFFFF" w:themeColor="background1"/>
            </w:tcBorders>
            <w:shd w:val="clear" w:color="auto" w:fill="DEEAF6" w:themeFill="accent1" w:themeFillTint="33"/>
            <w:noWrap/>
            <w:vAlign w:val="bottom"/>
            <w:hideMark/>
          </w:tcPr>
          <w:p w14:paraId="0C010C0A" w14:textId="77777777" w:rsidR="00EA2B5F" w:rsidRPr="00F25EBD" w:rsidRDefault="00EA2B5F" w:rsidP="00FC7062">
            <w:pPr>
              <w:spacing w:after="0" w:line="276" w:lineRule="auto"/>
              <w:jc w:val="center"/>
              <w:rPr>
                <w:rFonts w:asciiTheme="majorHAnsi" w:eastAsia="Times New Roman" w:hAnsiTheme="majorHAnsi" w:cstheme="majorHAnsi"/>
                <w:sz w:val="20"/>
                <w:szCs w:val="20"/>
                <w:lang w:eastAsia="pl-PL"/>
              </w:rPr>
            </w:pPr>
            <w:r w:rsidRPr="00F25EBD">
              <w:rPr>
                <w:rFonts w:asciiTheme="majorHAnsi" w:eastAsia="Times New Roman" w:hAnsiTheme="majorHAnsi" w:cstheme="majorHAnsi"/>
                <w:sz w:val="20"/>
                <w:szCs w:val="20"/>
                <w:lang w:eastAsia="pl-PL"/>
              </w:rPr>
              <w:t>działdowski</w:t>
            </w:r>
          </w:p>
        </w:tc>
        <w:tc>
          <w:tcPr>
            <w:tcW w:w="702" w:type="pct"/>
            <w:tcBorders>
              <w:top w:val="single" w:sz="4" w:space="0" w:color="FFFFFF" w:themeColor="background1"/>
              <w:left w:val="single" w:sz="4" w:space="0" w:color="FFFFFF" w:themeColor="background1"/>
              <w:bottom w:val="nil"/>
              <w:right w:val="single" w:sz="4" w:space="0" w:color="FFFFFF" w:themeColor="background1"/>
            </w:tcBorders>
            <w:shd w:val="clear" w:color="auto" w:fill="DEEAF6" w:themeFill="accent1" w:themeFillTint="33"/>
            <w:noWrap/>
            <w:vAlign w:val="bottom"/>
            <w:hideMark/>
          </w:tcPr>
          <w:p w14:paraId="1F378465" w14:textId="77777777" w:rsidR="00EA2B5F" w:rsidRPr="00F25EBD" w:rsidRDefault="00EA2B5F" w:rsidP="00FC7062">
            <w:pPr>
              <w:spacing w:after="0" w:line="276" w:lineRule="auto"/>
              <w:jc w:val="center"/>
              <w:rPr>
                <w:rFonts w:asciiTheme="majorHAnsi" w:eastAsia="Times New Roman" w:hAnsiTheme="majorHAnsi" w:cstheme="majorHAnsi"/>
                <w:sz w:val="20"/>
                <w:szCs w:val="20"/>
                <w:lang w:eastAsia="pl-PL"/>
              </w:rPr>
            </w:pPr>
            <w:r w:rsidRPr="00F25EBD">
              <w:rPr>
                <w:rFonts w:asciiTheme="majorHAnsi" w:eastAsia="Times New Roman" w:hAnsiTheme="majorHAnsi" w:cstheme="majorHAnsi"/>
                <w:sz w:val="20"/>
                <w:szCs w:val="20"/>
                <w:lang w:eastAsia="pl-PL"/>
              </w:rPr>
              <w:t>nidzicki</w:t>
            </w:r>
          </w:p>
        </w:tc>
        <w:tc>
          <w:tcPr>
            <w:tcW w:w="702" w:type="pct"/>
            <w:tcBorders>
              <w:top w:val="single" w:sz="4" w:space="0" w:color="FFFFFF" w:themeColor="background1"/>
              <w:left w:val="single" w:sz="4" w:space="0" w:color="FFFFFF" w:themeColor="background1"/>
              <w:bottom w:val="nil"/>
              <w:right w:val="single" w:sz="4" w:space="0" w:color="FFFFFF" w:themeColor="background1"/>
            </w:tcBorders>
            <w:shd w:val="clear" w:color="auto" w:fill="DEEAF6" w:themeFill="accent1" w:themeFillTint="33"/>
            <w:noWrap/>
            <w:vAlign w:val="bottom"/>
            <w:hideMark/>
          </w:tcPr>
          <w:p w14:paraId="2FDEE957" w14:textId="77777777" w:rsidR="00EA2B5F" w:rsidRPr="00F25EBD" w:rsidRDefault="00EA2B5F" w:rsidP="00FC7062">
            <w:pPr>
              <w:spacing w:after="0" w:line="276" w:lineRule="auto"/>
              <w:jc w:val="center"/>
              <w:rPr>
                <w:rFonts w:asciiTheme="majorHAnsi" w:eastAsia="Times New Roman" w:hAnsiTheme="majorHAnsi" w:cstheme="majorHAnsi"/>
                <w:sz w:val="20"/>
                <w:szCs w:val="20"/>
                <w:lang w:eastAsia="pl-PL"/>
              </w:rPr>
            </w:pPr>
            <w:r w:rsidRPr="00F25EBD">
              <w:rPr>
                <w:rFonts w:asciiTheme="majorHAnsi" w:eastAsia="Times New Roman" w:hAnsiTheme="majorHAnsi" w:cstheme="majorHAnsi"/>
                <w:sz w:val="20"/>
                <w:szCs w:val="20"/>
                <w:lang w:eastAsia="pl-PL"/>
              </w:rPr>
              <w:t>piski</w:t>
            </w:r>
          </w:p>
        </w:tc>
        <w:tc>
          <w:tcPr>
            <w:tcW w:w="702" w:type="pct"/>
            <w:tcBorders>
              <w:top w:val="single" w:sz="4" w:space="0" w:color="FFFFFF" w:themeColor="background1"/>
              <w:left w:val="single" w:sz="4" w:space="0" w:color="FFFFFF" w:themeColor="background1"/>
              <w:bottom w:val="nil"/>
              <w:right w:val="single" w:sz="4" w:space="0" w:color="FFFFFF" w:themeColor="background1"/>
            </w:tcBorders>
            <w:shd w:val="clear" w:color="auto" w:fill="DEEAF6" w:themeFill="accent1" w:themeFillTint="33"/>
            <w:noWrap/>
            <w:vAlign w:val="bottom"/>
            <w:hideMark/>
          </w:tcPr>
          <w:p w14:paraId="15AA6F7F" w14:textId="77777777" w:rsidR="00EA2B5F" w:rsidRPr="00F25EBD" w:rsidRDefault="00EA2B5F" w:rsidP="00FC7062">
            <w:pPr>
              <w:spacing w:after="0" w:line="276" w:lineRule="auto"/>
              <w:jc w:val="center"/>
              <w:rPr>
                <w:rFonts w:asciiTheme="majorHAnsi" w:eastAsia="Times New Roman" w:hAnsiTheme="majorHAnsi" w:cstheme="majorHAnsi"/>
                <w:sz w:val="20"/>
                <w:szCs w:val="20"/>
                <w:lang w:eastAsia="pl-PL"/>
              </w:rPr>
            </w:pPr>
            <w:r w:rsidRPr="00F25EBD">
              <w:rPr>
                <w:rFonts w:asciiTheme="majorHAnsi" w:eastAsia="Times New Roman" w:hAnsiTheme="majorHAnsi" w:cstheme="majorHAnsi"/>
                <w:sz w:val="20"/>
                <w:szCs w:val="20"/>
                <w:lang w:eastAsia="pl-PL"/>
              </w:rPr>
              <w:t>szczycieński</w:t>
            </w:r>
          </w:p>
        </w:tc>
      </w:tr>
      <w:tr w:rsidR="00EA2B5F" w:rsidRPr="00F25EBD" w14:paraId="664B22B6" w14:textId="77777777" w:rsidTr="002C7D64">
        <w:trPr>
          <w:trHeight w:val="283"/>
        </w:trPr>
        <w:tc>
          <w:tcPr>
            <w:tcW w:w="1115" w:type="pct"/>
            <w:vMerge w:val="restart"/>
            <w:tcBorders>
              <w:top w:val="nil"/>
              <w:left w:val="nil"/>
              <w:bottom w:val="single" w:sz="4" w:space="0" w:color="808080" w:themeColor="background1" w:themeShade="80"/>
              <w:right w:val="single" w:sz="4" w:space="0" w:color="808080" w:themeColor="background1" w:themeShade="80"/>
            </w:tcBorders>
            <w:shd w:val="clear" w:color="auto" w:fill="auto"/>
            <w:vAlign w:val="center"/>
            <w:hideMark/>
          </w:tcPr>
          <w:p w14:paraId="54EC1ACA" w14:textId="77777777" w:rsidR="00EA2B5F" w:rsidRPr="00F25EBD" w:rsidRDefault="00EA2B5F" w:rsidP="00FC7062">
            <w:pPr>
              <w:spacing w:after="0" w:line="276" w:lineRule="auto"/>
              <w:ind w:left="284"/>
              <w:rPr>
                <w:rFonts w:asciiTheme="majorHAnsi" w:eastAsia="Times New Roman" w:hAnsiTheme="majorHAnsi" w:cstheme="majorHAnsi"/>
                <w:sz w:val="20"/>
                <w:szCs w:val="20"/>
                <w:lang w:eastAsia="pl-PL"/>
              </w:rPr>
            </w:pPr>
            <w:r w:rsidRPr="00F25EBD">
              <w:rPr>
                <w:rFonts w:asciiTheme="majorHAnsi" w:eastAsia="Times New Roman" w:hAnsiTheme="majorHAnsi" w:cstheme="majorHAnsi"/>
                <w:sz w:val="20"/>
                <w:szCs w:val="20"/>
                <w:lang w:eastAsia="pl-PL"/>
              </w:rPr>
              <w:t>wodociąg</w:t>
            </w:r>
          </w:p>
        </w:tc>
        <w:tc>
          <w:tcPr>
            <w:tcW w:w="1078" w:type="pct"/>
            <w:tcBorders>
              <w:top w:val="nil"/>
              <w:left w:val="single" w:sz="4" w:space="0" w:color="808080" w:themeColor="background1" w:themeShade="80"/>
              <w:bottom w:val="single" w:sz="4" w:space="0" w:color="808080" w:themeColor="background1" w:themeShade="80"/>
              <w:right w:val="nil"/>
            </w:tcBorders>
            <w:shd w:val="clear" w:color="auto" w:fill="auto"/>
            <w:vAlign w:val="center"/>
            <w:hideMark/>
          </w:tcPr>
          <w:p w14:paraId="00CCA24F" w14:textId="77777777" w:rsidR="00EA2B5F" w:rsidRPr="00F25EBD" w:rsidRDefault="00EA2B5F" w:rsidP="00FC7062">
            <w:pPr>
              <w:spacing w:after="0" w:line="276" w:lineRule="auto"/>
              <w:jc w:val="center"/>
              <w:rPr>
                <w:rFonts w:asciiTheme="majorHAnsi" w:eastAsia="Times New Roman" w:hAnsiTheme="majorHAnsi" w:cstheme="majorHAnsi"/>
                <w:sz w:val="18"/>
                <w:szCs w:val="18"/>
                <w:lang w:eastAsia="pl-PL"/>
              </w:rPr>
            </w:pPr>
            <w:r w:rsidRPr="00F25EBD">
              <w:rPr>
                <w:rFonts w:asciiTheme="majorHAnsi" w:eastAsia="Times New Roman" w:hAnsiTheme="majorHAnsi" w:cstheme="majorHAnsi"/>
                <w:sz w:val="18"/>
                <w:szCs w:val="18"/>
                <w:lang w:eastAsia="pl-PL"/>
              </w:rPr>
              <w:t>2018</w:t>
            </w:r>
          </w:p>
        </w:tc>
        <w:tc>
          <w:tcPr>
            <w:tcW w:w="701" w:type="pct"/>
            <w:tcBorders>
              <w:top w:val="nil"/>
              <w:left w:val="nil"/>
              <w:bottom w:val="single" w:sz="4" w:space="0" w:color="808080" w:themeColor="background1" w:themeShade="80"/>
              <w:right w:val="nil"/>
            </w:tcBorders>
            <w:shd w:val="clear" w:color="auto" w:fill="auto"/>
            <w:noWrap/>
            <w:vAlign w:val="bottom"/>
            <w:hideMark/>
          </w:tcPr>
          <w:p w14:paraId="457B6BE4" w14:textId="77777777" w:rsidR="00EA2B5F" w:rsidRPr="00F25EBD" w:rsidRDefault="00EA2B5F" w:rsidP="00FC7062">
            <w:pPr>
              <w:spacing w:after="0" w:line="276" w:lineRule="auto"/>
              <w:ind w:right="340"/>
              <w:jc w:val="right"/>
              <w:rPr>
                <w:rFonts w:asciiTheme="majorHAnsi" w:eastAsia="Times New Roman" w:hAnsiTheme="majorHAnsi" w:cstheme="majorHAnsi"/>
                <w:sz w:val="20"/>
                <w:szCs w:val="20"/>
                <w:lang w:eastAsia="pl-PL"/>
              </w:rPr>
            </w:pPr>
            <w:r w:rsidRPr="00F25EBD">
              <w:rPr>
                <w:rFonts w:asciiTheme="majorHAnsi" w:eastAsia="Times New Roman" w:hAnsiTheme="majorHAnsi" w:cstheme="majorHAnsi"/>
                <w:sz w:val="20"/>
                <w:szCs w:val="20"/>
                <w:lang w:eastAsia="pl-PL"/>
              </w:rPr>
              <w:t>72,4</w:t>
            </w:r>
          </w:p>
        </w:tc>
        <w:tc>
          <w:tcPr>
            <w:tcW w:w="702" w:type="pct"/>
            <w:tcBorders>
              <w:top w:val="nil"/>
              <w:left w:val="nil"/>
              <w:bottom w:val="single" w:sz="4" w:space="0" w:color="808080" w:themeColor="background1" w:themeShade="80"/>
              <w:right w:val="nil"/>
            </w:tcBorders>
            <w:shd w:val="clear" w:color="auto" w:fill="auto"/>
            <w:noWrap/>
            <w:vAlign w:val="bottom"/>
            <w:hideMark/>
          </w:tcPr>
          <w:p w14:paraId="2AE6F6B4" w14:textId="77777777" w:rsidR="00EA2B5F" w:rsidRPr="00F25EBD" w:rsidRDefault="00EA2B5F" w:rsidP="00FC7062">
            <w:pPr>
              <w:spacing w:after="0" w:line="276" w:lineRule="auto"/>
              <w:ind w:right="340"/>
              <w:jc w:val="right"/>
              <w:rPr>
                <w:rFonts w:asciiTheme="majorHAnsi" w:eastAsia="Times New Roman" w:hAnsiTheme="majorHAnsi" w:cstheme="majorHAnsi"/>
                <w:sz w:val="20"/>
                <w:szCs w:val="20"/>
                <w:lang w:eastAsia="pl-PL"/>
              </w:rPr>
            </w:pPr>
            <w:r w:rsidRPr="00F25EBD">
              <w:rPr>
                <w:rFonts w:asciiTheme="majorHAnsi" w:eastAsia="Times New Roman" w:hAnsiTheme="majorHAnsi" w:cstheme="majorHAnsi"/>
                <w:sz w:val="20"/>
                <w:szCs w:val="20"/>
                <w:lang w:eastAsia="pl-PL"/>
              </w:rPr>
              <w:t>68,8</w:t>
            </w:r>
          </w:p>
        </w:tc>
        <w:tc>
          <w:tcPr>
            <w:tcW w:w="702" w:type="pct"/>
            <w:tcBorders>
              <w:top w:val="nil"/>
              <w:left w:val="nil"/>
              <w:bottom w:val="single" w:sz="4" w:space="0" w:color="808080" w:themeColor="background1" w:themeShade="80"/>
              <w:right w:val="nil"/>
            </w:tcBorders>
            <w:shd w:val="clear" w:color="auto" w:fill="auto"/>
            <w:noWrap/>
            <w:vAlign w:val="bottom"/>
            <w:hideMark/>
          </w:tcPr>
          <w:p w14:paraId="79931368" w14:textId="77777777" w:rsidR="00EA2B5F" w:rsidRPr="00F25EBD" w:rsidRDefault="00EA2B5F" w:rsidP="00FC7062">
            <w:pPr>
              <w:spacing w:after="0" w:line="276" w:lineRule="auto"/>
              <w:ind w:right="340"/>
              <w:jc w:val="right"/>
              <w:rPr>
                <w:rFonts w:asciiTheme="majorHAnsi" w:eastAsia="Times New Roman" w:hAnsiTheme="majorHAnsi" w:cstheme="majorHAnsi"/>
                <w:sz w:val="20"/>
                <w:szCs w:val="20"/>
                <w:lang w:eastAsia="pl-PL"/>
              </w:rPr>
            </w:pPr>
            <w:r w:rsidRPr="00F25EBD">
              <w:rPr>
                <w:rFonts w:asciiTheme="majorHAnsi" w:eastAsia="Times New Roman" w:hAnsiTheme="majorHAnsi" w:cstheme="majorHAnsi"/>
                <w:sz w:val="20"/>
                <w:szCs w:val="20"/>
                <w:lang w:eastAsia="pl-PL"/>
              </w:rPr>
              <w:t>61,9</w:t>
            </w:r>
          </w:p>
        </w:tc>
        <w:tc>
          <w:tcPr>
            <w:tcW w:w="702" w:type="pct"/>
            <w:tcBorders>
              <w:top w:val="nil"/>
              <w:left w:val="nil"/>
              <w:bottom w:val="single" w:sz="4" w:space="0" w:color="808080" w:themeColor="background1" w:themeShade="80"/>
              <w:right w:val="nil"/>
            </w:tcBorders>
            <w:shd w:val="clear" w:color="auto" w:fill="auto"/>
            <w:noWrap/>
            <w:vAlign w:val="bottom"/>
            <w:hideMark/>
          </w:tcPr>
          <w:p w14:paraId="1A5C6994" w14:textId="77777777" w:rsidR="00EA2B5F" w:rsidRPr="00F25EBD" w:rsidRDefault="00EA2B5F" w:rsidP="00FC7062">
            <w:pPr>
              <w:spacing w:after="0" w:line="276" w:lineRule="auto"/>
              <w:ind w:right="340"/>
              <w:jc w:val="right"/>
              <w:rPr>
                <w:rFonts w:asciiTheme="majorHAnsi" w:eastAsia="Times New Roman" w:hAnsiTheme="majorHAnsi" w:cstheme="majorHAnsi"/>
                <w:sz w:val="20"/>
                <w:szCs w:val="20"/>
                <w:lang w:eastAsia="pl-PL"/>
              </w:rPr>
            </w:pPr>
            <w:r w:rsidRPr="00F25EBD">
              <w:rPr>
                <w:rFonts w:asciiTheme="majorHAnsi" w:eastAsia="Times New Roman" w:hAnsiTheme="majorHAnsi" w:cstheme="majorHAnsi"/>
                <w:sz w:val="20"/>
                <w:szCs w:val="20"/>
                <w:lang w:eastAsia="pl-PL"/>
              </w:rPr>
              <w:t>73,2</w:t>
            </w:r>
          </w:p>
        </w:tc>
      </w:tr>
      <w:tr w:rsidR="00EA2B5F" w:rsidRPr="00F25EBD" w14:paraId="63EA58A3" w14:textId="77777777" w:rsidTr="002C7D64">
        <w:trPr>
          <w:trHeight w:val="283"/>
        </w:trPr>
        <w:tc>
          <w:tcPr>
            <w:tcW w:w="1115" w:type="pct"/>
            <w:vMerge/>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hideMark/>
          </w:tcPr>
          <w:p w14:paraId="6B7F990D" w14:textId="77777777" w:rsidR="00EA2B5F" w:rsidRPr="00F25EBD" w:rsidRDefault="00EA2B5F" w:rsidP="00FC7062">
            <w:pPr>
              <w:spacing w:after="0" w:line="276" w:lineRule="auto"/>
              <w:ind w:left="284"/>
              <w:rPr>
                <w:rFonts w:asciiTheme="majorHAnsi" w:eastAsia="Times New Roman" w:hAnsiTheme="majorHAnsi" w:cstheme="majorHAnsi"/>
                <w:sz w:val="20"/>
                <w:szCs w:val="20"/>
                <w:lang w:eastAsia="pl-PL"/>
              </w:rPr>
            </w:pPr>
          </w:p>
        </w:tc>
        <w:tc>
          <w:tcPr>
            <w:tcW w:w="1078"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shd w:val="clear" w:color="auto" w:fill="auto"/>
            <w:vAlign w:val="bottom"/>
            <w:hideMark/>
          </w:tcPr>
          <w:p w14:paraId="191F6802" w14:textId="77777777" w:rsidR="00EA2B5F" w:rsidRPr="00F25EBD" w:rsidRDefault="00EA2B5F" w:rsidP="00FC7062">
            <w:pPr>
              <w:spacing w:after="0" w:line="276" w:lineRule="auto"/>
              <w:jc w:val="center"/>
              <w:rPr>
                <w:rFonts w:asciiTheme="majorHAnsi" w:eastAsia="Times New Roman" w:hAnsiTheme="majorHAnsi" w:cstheme="majorHAnsi"/>
                <w:sz w:val="18"/>
                <w:szCs w:val="18"/>
                <w:lang w:eastAsia="pl-PL"/>
              </w:rPr>
            </w:pPr>
            <w:r w:rsidRPr="00F25EBD">
              <w:rPr>
                <w:rFonts w:asciiTheme="majorHAnsi" w:eastAsia="Times New Roman" w:hAnsiTheme="majorHAnsi" w:cstheme="majorHAnsi"/>
                <w:sz w:val="18"/>
                <w:szCs w:val="18"/>
                <w:lang w:eastAsia="pl-PL"/>
              </w:rPr>
              <w:t>zmiana 2013=100%</w:t>
            </w:r>
          </w:p>
        </w:tc>
        <w:tc>
          <w:tcPr>
            <w:tcW w:w="701" w:type="pct"/>
            <w:tcBorders>
              <w:top w:val="single" w:sz="4" w:space="0" w:color="808080" w:themeColor="background1" w:themeShade="80"/>
              <w:left w:val="nil"/>
              <w:bottom w:val="single" w:sz="4" w:space="0" w:color="808080" w:themeColor="background1" w:themeShade="80"/>
              <w:right w:val="nil"/>
            </w:tcBorders>
            <w:shd w:val="clear" w:color="auto" w:fill="auto"/>
            <w:noWrap/>
            <w:vAlign w:val="bottom"/>
            <w:hideMark/>
          </w:tcPr>
          <w:p w14:paraId="64E5D7EF" w14:textId="77777777" w:rsidR="00EA2B5F" w:rsidRPr="00F25EBD" w:rsidRDefault="00EA2B5F" w:rsidP="00FC7062">
            <w:pPr>
              <w:spacing w:after="0" w:line="276" w:lineRule="auto"/>
              <w:ind w:right="340"/>
              <w:jc w:val="right"/>
              <w:rPr>
                <w:rFonts w:asciiTheme="majorHAnsi" w:eastAsia="Times New Roman" w:hAnsiTheme="majorHAnsi" w:cstheme="majorHAnsi"/>
                <w:sz w:val="20"/>
                <w:szCs w:val="20"/>
                <w:lang w:eastAsia="pl-PL"/>
              </w:rPr>
            </w:pPr>
            <w:r w:rsidRPr="00F25EBD">
              <w:rPr>
                <w:rFonts w:asciiTheme="majorHAnsi" w:eastAsia="Times New Roman" w:hAnsiTheme="majorHAnsi" w:cstheme="majorHAnsi"/>
                <w:sz w:val="20"/>
                <w:szCs w:val="20"/>
                <w:lang w:eastAsia="pl-PL"/>
              </w:rPr>
              <w:t>3,1</w:t>
            </w:r>
          </w:p>
        </w:tc>
        <w:tc>
          <w:tcPr>
            <w:tcW w:w="702" w:type="pct"/>
            <w:tcBorders>
              <w:top w:val="single" w:sz="4" w:space="0" w:color="808080" w:themeColor="background1" w:themeShade="80"/>
              <w:left w:val="nil"/>
              <w:bottom w:val="single" w:sz="4" w:space="0" w:color="808080" w:themeColor="background1" w:themeShade="80"/>
              <w:right w:val="nil"/>
            </w:tcBorders>
            <w:shd w:val="clear" w:color="auto" w:fill="auto"/>
            <w:noWrap/>
            <w:vAlign w:val="bottom"/>
            <w:hideMark/>
          </w:tcPr>
          <w:p w14:paraId="6099E967" w14:textId="77777777" w:rsidR="00EA2B5F" w:rsidRPr="00F25EBD" w:rsidRDefault="00EA2B5F" w:rsidP="00FC7062">
            <w:pPr>
              <w:spacing w:after="0" w:line="276" w:lineRule="auto"/>
              <w:ind w:right="340"/>
              <w:jc w:val="right"/>
              <w:rPr>
                <w:rFonts w:asciiTheme="majorHAnsi" w:eastAsia="Times New Roman" w:hAnsiTheme="majorHAnsi" w:cstheme="majorHAnsi"/>
                <w:sz w:val="20"/>
                <w:szCs w:val="20"/>
                <w:lang w:eastAsia="pl-PL"/>
              </w:rPr>
            </w:pPr>
            <w:r w:rsidRPr="00F25EBD">
              <w:rPr>
                <w:rFonts w:asciiTheme="majorHAnsi" w:eastAsia="Times New Roman" w:hAnsiTheme="majorHAnsi" w:cstheme="majorHAnsi"/>
                <w:sz w:val="20"/>
                <w:szCs w:val="20"/>
                <w:lang w:eastAsia="pl-PL"/>
              </w:rPr>
              <w:t>2,8</w:t>
            </w:r>
          </w:p>
        </w:tc>
        <w:tc>
          <w:tcPr>
            <w:tcW w:w="702" w:type="pct"/>
            <w:tcBorders>
              <w:top w:val="single" w:sz="4" w:space="0" w:color="808080" w:themeColor="background1" w:themeShade="80"/>
              <w:left w:val="nil"/>
              <w:bottom w:val="single" w:sz="4" w:space="0" w:color="808080" w:themeColor="background1" w:themeShade="80"/>
              <w:right w:val="nil"/>
            </w:tcBorders>
            <w:shd w:val="clear" w:color="auto" w:fill="auto"/>
            <w:noWrap/>
            <w:vAlign w:val="bottom"/>
            <w:hideMark/>
          </w:tcPr>
          <w:p w14:paraId="0B9BFEBF" w14:textId="77777777" w:rsidR="00EA2B5F" w:rsidRPr="00F25EBD" w:rsidRDefault="00EA2B5F" w:rsidP="00FC7062">
            <w:pPr>
              <w:spacing w:after="0" w:line="276" w:lineRule="auto"/>
              <w:ind w:right="340"/>
              <w:jc w:val="right"/>
              <w:rPr>
                <w:rFonts w:asciiTheme="majorHAnsi" w:eastAsia="Times New Roman" w:hAnsiTheme="majorHAnsi" w:cstheme="majorHAnsi"/>
                <w:sz w:val="20"/>
                <w:szCs w:val="20"/>
                <w:lang w:eastAsia="pl-PL"/>
              </w:rPr>
            </w:pPr>
            <w:r w:rsidRPr="00F25EBD">
              <w:rPr>
                <w:rFonts w:asciiTheme="majorHAnsi" w:eastAsia="Times New Roman" w:hAnsiTheme="majorHAnsi" w:cstheme="majorHAnsi"/>
                <w:sz w:val="20"/>
                <w:szCs w:val="20"/>
                <w:lang w:eastAsia="pl-PL"/>
              </w:rPr>
              <w:t>2,1</w:t>
            </w:r>
          </w:p>
        </w:tc>
        <w:tc>
          <w:tcPr>
            <w:tcW w:w="702" w:type="pct"/>
            <w:tcBorders>
              <w:top w:val="single" w:sz="4" w:space="0" w:color="808080" w:themeColor="background1" w:themeShade="80"/>
              <w:left w:val="nil"/>
              <w:bottom w:val="single" w:sz="4" w:space="0" w:color="808080" w:themeColor="background1" w:themeShade="80"/>
              <w:right w:val="nil"/>
            </w:tcBorders>
            <w:shd w:val="clear" w:color="auto" w:fill="auto"/>
            <w:noWrap/>
            <w:vAlign w:val="bottom"/>
            <w:hideMark/>
          </w:tcPr>
          <w:p w14:paraId="7A888F32" w14:textId="77777777" w:rsidR="00EA2B5F" w:rsidRPr="00F25EBD" w:rsidRDefault="00EA2B5F" w:rsidP="00FC7062">
            <w:pPr>
              <w:spacing w:after="0" w:line="276" w:lineRule="auto"/>
              <w:ind w:right="340"/>
              <w:jc w:val="right"/>
              <w:rPr>
                <w:rFonts w:asciiTheme="majorHAnsi" w:eastAsia="Times New Roman" w:hAnsiTheme="majorHAnsi" w:cstheme="majorHAnsi"/>
                <w:sz w:val="20"/>
                <w:szCs w:val="20"/>
                <w:lang w:eastAsia="pl-PL"/>
              </w:rPr>
            </w:pPr>
            <w:r w:rsidRPr="00F25EBD">
              <w:rPr>
                <w:rFonts w:asciiTheme="majorHAnsi" w:eastAsia="Times New Roman" w:hAnsiTheme="majorHAnsi" w:cstheme="majorHAnsi"/>
                <w:sz w:val="20"/>
                <w:szCs w:val="20"/>
                <w:lang w:eastAsia="pl-PL"/>
              </w:rPr>
              <w:t>3,9</w:t>
            </w:r>
          </w:p>
        </w:tc>
      </w:tr>
      <w:tr w:rsidR="00EA2B5F" w:rsidRPr="00F25EBD" w14:paraId="3794276E" w14:textId="77777777" w:rsidTr="002C7D64">
        <w:trPr>
          <w:trHeight w:val="283"/>
        </w:trPr>
        <w:tc>
          <w:tcPr>
            <w:tcW w:w="1115" w:type="pct"/>
            <w:vMerge w:val="restar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shd w:val="clear" w:color="auto" w:fill="auto"/>
            <w:vAlign w:val="center"/>
            <w:hideMark/>
          </w:tcPr>
          <w:p w14:paraId="30575F93" w14:textId="77777777" w:rsidR="00EA2B5F" w:rsidRPr="00F25EBD" w:rsidRDefault="00EA2B5F" w:rsidP="00FC7062">
            <w:pPr>
              <w:spacing w:after="0" w:line="276" w:lineRule="auto"/>
              <w:ind w:left="284"/>
              <w:rPr>
                <w:rFonts w:asciiTheme="majorHAnsi" w:eastAsia="Times New Roman" w:hAnsiTheme="majorHAnsi" w:cstheme="majorHAnsi"/>
                <w:sz w:val="20"/>
                <w:szCs w:val="20"/>
                <w:lang w:eastAsia="pl-PL"/>
              </w:rPr>
            </w:pPr>
            <w:r w:rsidRPr="00F25EBD">
              <w:rPr>
                <w:rFonts w:asciiTheme="majorHAnsi" w:eastAsia="Times New Roman" w:hAnsiTheme="majorHAnsi" w:cstheme="majorHAnsi"/>
                <w:sz w:val="20"/>
                <w:szCs w:val="20"/>
                <w:lang w:eastAsia="pl-PL"/>
              </w:rPr>
              <w:t>ustęp spłukiwany</w:t>
            </w:r>
          </w:p>
        </w:tc>
        <w:tc>
          <w:tcPr>
            <w:tcW w:w="1078"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shd w:val="clear" w:color="auto" w:fill="auto"/>
            <w:vAlign w:val="center"/>
            <w:hideMark/>
          </w:tcPr>
          <w:p w14:paraId="22FA55A2" w14:textId="77777777" w:rsidR="00EA2B5F" w:rsidRPr="00F25EBD" w:rsidRDefault="00EA2B5F" w:rsidP="00FC7062">
            <w:pPr>
              <w:spacing w:after="0" w:line="276" w:lineRule="auto"/>
              <w:jc w:val="center"/>
              <w:rPr>
                <w:rFonts w:asciiTheme="majorHAnsi" w:eastAsia="Times New Roman" w:hAnsiTheme="majorHAnsi" w:cstheme="majorHAnsi"/>
                <w:sz w:val="18"/>
                <w:szCs w:val="18"/>
                <w:lang w:eastAsia="pl-PL"/>
              </w:rPr>
            </w:pPr>
            <w:r w:rsidRPr="00F25EBD">
              <w:rPr>
                <w:rFonts w:asciiTheme="majorHAnsi" w:eastAsia="Times New Roman" w:hAnsiTheme="majorHAnsi" w:cstheme="majorHAnsi"/>
                <w:sz w:val="18"/>
                <w:szCs w:val="18"/>
                <w:lang w:eastAsia="pl-PL"/>
              </w:rPr>
              <w:t>2018</w:t>
            </w:r>
          </w:p>
        </w:tc>
        <w:tc>
          <w:tcPr>
            <w:tcW w:w="701" w:type="pct"/>
            <w:tcBorders>
              <w:top w:val="single" w:sz="4" w:space="0" w:color="808080" w:themeColor="background1" w:themeShade="80"/>
              <w:left w:val="nil"/>
              <w:bottom w:val="single" w:sz="4" w:space="0" w:color="808080" w:themeColor="background1" w:themeShade="80"/>
              <w:right w:val="nil"/>
            </w:tcBorders>
            <w:shd w:val="clear" w:color="auto" w:fill="auto"/>
            <w:noWrap/>
            <w:vAlign w:val="bottom"/>
            <w:hideMark/>
          </w:tcPr>
          <w:p w14:paraId="78B3E969" w14:textId="77777777" w:rsidR="00EA2B5F" w:rsidRPr="00F25EBD" w:rsidRDefault="00EA2B5F" w:rsidP="00FC7062">
            <w:pPr>
              <w:spacing w:after="0" w:line="276" w:lineRule="auto"/>
              <w:ind w:right="340"/>
              <w:jc w:val="right"/>
              <w:rPr>
                <w:rFonts w:asciiTheme="majorHAnsi" w:eastAsia="Times New Roman" w:hAnsiTheme="majorHAnsi" w:cstheme="majorHAnsi"/>
                <w:sz w:val="20"/>
                <w:szCs w:val="20"/>
                <w:lang w:eastAsia="pl-PL"/>
              </w:rPr>
            </w:pPr>
            <w:r w:rsidRPr="00F25EBD">
              <w:rPr>
                <w:rFonts w:asciiTheme="majorHAnsi" w:eastAsia="Times New Roman" w:hAnsiTheme="majorHAnsi" w:cstheme="majorHAnsi"/>
                <w:sz w:val="20"/>
                <w:szCs w:val="20"/>
                <w:lang w:eastAsia="pl-PL"/>
              </w:rPr>
              <w:t>69,4</w:t>
            </w:r>
          </w:p>
        </w:tc>
        <w:tc>
          <w:tcPr>
            <w:tcW w:w="702" w:type="pct"/>
            <w:tcBorders>
              <w:top w:val="single" w:sz="4" w:space="0" w:color="808080" w:themeColor="background1" w:themeShade="80"/>
              <w:left w:val="nil"/>
              <w:bottom w:val="single" w:sz="4" w:space="0" w:color="808080" w:themeColor="background1" w:themeShade="80"/>
              <w:right w:val="nil"/>
            </w:tcBorders>
            <w:shd w:val="clear" w:color="auto" w:fill="auto"/>
            <w:noWrap/>
            <w:vAlign w:val="bottom"/>
            <w:hideMark/>
          </w:tcPr>
          <w:p w14:paraId="290E5EE0" w14:textId="77777777" w:rsidR="00EA2B5F" w:rsidRPr="00F25EBD" w:rsidRDefault="00EA2B5F" w:rsidP="00FC7062">
            <w:pPr>
              <w:spacing w:after="0" w:line="276" w:lineRule="auto"/>
              <w:ind w:right="340"/>
              <w:jc w:val="right"/>
              <w:rPr>
                <w:rFonts w:asciiTheme="majorHAnsi" w:eastAsia="Times New Roman" w:hAnsiTheme="majorHAnsi" w:cstheme="majorHAnsi"/>
                <w:sz w:val="20"/>
                <w:szCs w:val="20"/>
                <w:lang w:eastAsia="pl-PL"/>
              </w:rPr>
            </w:pPr>
            <w:r w:rsidRPr="00F25EBD">
              <w:rPr>
                <w:rFonts w:asciiTheme="majorHAnsi" w:eastAsia="Times New Roman" w:hAnsiTheme="majorHAnsi" w:cstheme="majorHAnsi"/>
                <w:sz w:val="20"/>
                <w:szCs w:val="20"/>
                <w:lang w:eastAsia="pl-PL"/>
              </w:rPr>
              <w:t>66,3</w:t>
            </w:r>
          </w:p>
        </w:tc>
        <w:tc>
          <w:tcPr>
            <w:tcW w:w="702" w:type="pct"/>
            <w:tcBorders>
              <w:top w:val="single" w:sz="4" w:space="0" w:color="808080" w:themeColor="background1" w:themeShade="80"/>
              <w:left w:val="nil"/>
              <w:bottom w:val="single" w:sz="4" w:space="0" w:color="808080" w:themeColor="background1" w:themeShade="80"/>
              <w:right w:val="nil"/>
            </w:tcBorders>
            <w:shd w:val="clear" w:color="auto" w:fill="auto"/>
            <w:noWrap/>
            <w:vAlign w:val="bottom"/>
            <w:hideMark/>
          </w:tcPr>
          <w:p w14:paraId="275A896C" w14:textId="77777777" w:rsidR="00EA2B5F" w:rsidRPr="00F25EBD" w:rsidRDefault="00EA2B5F" w:rsidP="00FC7062">
            <w:pPr>
              <w:spacing w:after="0" w:line="276" w:lineRule="auto"/>
              <w:ind w:right="340"/>
              <w:jc w:val="right"/>
              <w:rPr>
                <w:rFonts w:asciiTheme="majorHAnsi" w:eastAsia="Times New Roman" w:hAnsiTheme="majorHAnsi" w:cstheme="majorHAnsi"/>
                <w:sz w:val="20"/>
                <w:szCs w:val="20"/>
                <w:lang w:eastAsia="pl-PL"/>
              </w:rPr>
            </w:pPr>
            <w:r w:rsidRPr="00F25EBD">
              <w:rPr>
                <w:rFonts w:asciiTheme="majorHAnsi" w:eastAsia="Times New Roman" w:hAnsiTheme="majorHAnsi" w:cstheme="majorHAnsi"/>
                <w:sz w:val="20"/>
                <w:szCs w:val="20"/>
                <w:lang w:eastAsia="pl-PL"/>
              </w:rPr>
              <w:t>60,8</w:t>
            </w:r>
          </w:p>
        </w:tc>
        <w:tc>
          <w:tcPr>
            <w:tcW w:w="702" w:type="pct"/>
            <w:tcBorders>
              <w:top w:val="single" w:sz="4" w:space="0" w:color="808080" w:themeColor="background1" w:themeShade="80"/>
              <w:left w:val="nil"/>
              <w:bottom w:val="single" w:sz="4" w:space="0" w:color="808080" w:themeColor="background1" w:themeShade="80"/>
              <w:right w:val="nil"/>
            </w:tcBorders>
            <w:shd w:val="clear" w:color="auto" w:fill="auto"/>
            <w:noWrap/>
            <w:vAlign w:val="bottom"/>
            <w:hideMark/>
          </w:tcPr>
          <w:p w14:paraId="5756CA1A" w14:textId="77777777" w:rsidR="00EA2B5F" w:rsidRPr="00F25EBD" w:rsidRDefault="00EA2B5F" w:rsidP="00FC7062">
            <w:pPr>
              <w:spacing w:after="0" w:line="276" w:lineRule="auto"/>
              <w:ind w:right="340"/>
              <w:jc w:val="right"/>
              <w:rPr>
                <w:rFonts w:asciiTheme="majorHAnsi" w:eastAsia="Times New Roman" w:hAnsiTheme="majorHAnsi" w:cstheme="majorHAnsi"/>
                <w:sz w:val="20"/>
                <w:szCs w:val="20"/>
                <w:lang w:eastAsia="pl-PL"/>
              </w:rPr>
            </w:pPr>
            <w:r w:rsidRPr="00F25EBD">
              <w:rPr>
                <w:rFonts w:asciiTheme="majorHAnsi" w:eastAsia="Times New Roman" w:hAnsiTheme="majorHAnsi" w:cstheme="majorHAnsi"/>
                <w:sz w:val="20"/>
                <w:szCs w:val="20"/>
                <w:lang w:eastAsia="pl-PL"/>
              </w:rPr>
              <w:t>70,6</w:t>
            </w:r>
          </w:p>
        </w:tc>
      </w:tr>
      <w:tr w:rsidR="00EA2B5F" w:rsidRPr="00F25EBD" w14:paraId="7FE1D329" w14:textId="77777777" w:rsidTr="002C7D64">
        <w:trPr>
          <w:trHeight w:val="283"/>
        </w:trPr>
        <w:tc>
          <w:tcPr>
            <w:tcW w:w="1115" w:type="pct"/>
            <w:vMerge/>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hideMark/>
          </w:tcPr>
          <w:p w14:paraId="49B97496" w14:textId="77777777" w:rsidR="00EA2B5F" w:rsidRPr="00F25EBD" w:rsidRDefault="00EA2B5F" w:rsidP="00FC7062">
            <w:pPr>
              <w:spacing w:after="0" w:line="276" w:lineRule="auto"/>
              <w:ind w:left="284"/>
              <w:rPr>
                <w:rFonts w:asciiTheme="majorHAnsi" w:eastAsia="Times New Roman" w:hAnsiTheme="majorHAnsi" w:cstheme="majorHAnsi"/>
                <w:sz w:val="20"/>
                <w:szCs w:val="20"/>
                <w:lang w:eastAsia="pl-PL"/>
              </w:rPr>
            </w:pPr>
          </w:p>
        </w:tc>
        <w:tc>
          <w:tcPr>
            <w:tcW w:w="1078"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shd w:val="clear" w:color="auto" w:fill="auto"/>
            <w:vAlign w:val="bottom"/>
            <w:hideMark/>
          </w:tcPr>
          <w:p w14:paraId="6ABA7F39" w14:textId="77777777" w:rsidR="00EA2B5F" w:rsidRPr="00F25EBD" w:rsidRDefault="00EA2B5F" w:rsidP="00FC7062">
            <w:pPr>
              <w:spacing w:after="0" w:line="276" w:lineRule="auto"/>
              <w:jc w:val="center"/>
              <w:rPr>
                <w:rFonts w:asciiTheme="majorHAnsi" w:eastAsia="Times New Roman" w:hAnsiTheme="majorHAnsi" w:cstheme="majorHAnsi"/>
                <w:sz w:val="18"/>
                <w:szCs w:val="18"/>
                <w:lang w:eastAsia="pl-PL"/>
              </w:rPr>
            </w:pPr>
            <w:r w:rsidRPr="00F25EBD">
              <w:rPr>
                <w:rFonts w:asciiTheme="majorHAnsi" w:eastAsia="Times New Roman" w:hAnsiTheme="majorHAnsi" w:cstheme="majorHAnsi"/>
                <w:sz w:val="18"/>
                <w:szCs w:val="18"/>
                <w:lang w:eastAsia="pl-PL"/>
              </w:rPr>
              <w:t>zmiana 2013=100%</w:t>
            </w:r>
          </w:p>
        </w:tc>
        <w:tc>
          <w:tcPr>
            <w:tcW w:w="701" w:type="pct"/>
            <w:tcBorders>
              <w:top w:val="single" w:sz="4" w:space="0" w:color="808080" w:themeColor="background1" w:themeShade="80"/>
              <w:left w:val="nil"/>
              <w:bottom w:val="single" w:sz="4" w:space="0" w:color="808080" w:themeColor="background1" w:themeShade="80"/>
              <w:right w:val="nil"/>
            </w:tcBorders>
            <w:shd w:val="clear" w:color="auto" w:fill="auto"/>
            <w:noWrap/>
            <w:vAlign w:val="bottom"/>
            <w:hideMark/>
          </w:tcPr>
          <w:p w14:paraId="0FAF9AA8" w14:textId="77777777" w:rsidR="00EA2B5F" w:rsidRPr="00F25EBD" w:rsidRDefault="00EA2B5F" w:rsidP="00FC7062">
            <w:pPr>
              <w:spacing w:after="0" w:line="276" w:lineRule="auto"/>
              <w:ind w:right="340"/>
              <w:jc w:val="right"/>
              <w:rPr>
                <w:rFonts w:asciiTheme="majorHAnsi" w:eastAsia="Times New Roman" w:hAnsiTheme="majorHAnsi" w:cstheme="majorHAnsi"/>
                <w:sz w:val="20"/>
                <w:szCs w:val="20"/>
                <w:lang w:eastAsia="pl-PL"/>
              </w:rPr>
            </w:pPr>
            <w:r w:rsidRPr="00F25EBD">
              <w:rPr>
                <w:rFonts w:asciiTheme="majorHAnsi" w:eastAsia="Times New Roman" w:hAnsiTheme="majorHAnsi" w:cstheme="majorHAnsi"/>
                <w:sz w:val="20"/>
                <w:szCs w:val="20"/>
                <w:lang w:eastAsia="pl-PL"/>
              </w:rPr>
              <w:t>3,2</w:t>
            </w:r>
          </w:p>
        </w:tc>
        <w:tc>
          <w:tcPr>
            <w:tcW w:w="702" w:type="pct"/>
            <w:tcBorders>
              <w:top w:val="single" w:sz="4" w:space="0" w:color="808080" w:themeColor="background1" w:themeShade="80"/>
              <w:left w:val="nil"/>
              <w:bottom w:val="single" w:sz="4" w:space="0" w:color="808080" w:themeColor="background1" w:themeShade="80"/>
              <w:right w:val="nil"/>
            </w:tcBorders>
            <w:shd w:val="clear" w:color="auto" w:fill="auto"/>
            <w:noWrap/>
            <w:vAlign w:val="bottom"/>
            <w:hideMark/>
          </w:tcPr>
          <w:p w14:paraId="5ECCD68D" w14:textId="77777777" w:rsidR="00EA2B5F" w:rsidRPr="00F25EBD" w:rsidRDefault="00EA2B5F" w:rsidP="00FC7062">
            <w:pPr>
              <w:spacing w:after="0" w:line="276" w:lineRule="auto"/>
              <w:ind w:right="340"/>
              <w:jc w:val="right"/>
              <w:rPr>
                <w:rFonts w:asciiTheme="majorHAnsi" w:eastAsia="Times New Roman" w:hAnsiTheme="majorHAnsi" w:cstheme="majorHAnsi"/>
                <w:sz w:val="20"/>
                <w:szCs w:val="20"/>
                <w:lang w:eastAsia="pl-PL"/>
              </w:rPr>
            </w:pPr>
            <w:r w:rsidRPr="00F25EBD">
              <w:rPr>
                <w:rFonts w:asciiTheme="majorHAnsi" w:eastAsia="Times New Roman" w:hAnsiTheme="majorHAnsi" w:cstheme="majorHAnsi"/>
                <w:sz w:val="20"/>
                <w:szCs w:val="20"/>
                <w:lang w:eastAsia="pl-PL"/>
              </w:rPr>
              <w:t>2,8</w:t>
            </w:r>
          </w:p>
        </w:tc>
        <w:tc>
          <w:tcPr>
            <w:tcW w:w="702" w:type="pct"/>
            <w:tcBorders>
              <w:top w:val="single" w:sz="4" w:space="0" w:color="808080" w:themeColor="background1" w:themeShade="80"/>
              <w:left w:val="nil"/>
              <w:bottom w:val="single" w:sz="4" w:space="0" w:color="808080" w:themeColor="background1" w:themeShade="80"/>
              <w:right w:val="nil"/>
            </w:tcBorders>
            <w:shd w:val="clear" w:color="auto" w:fill="auto"/>
            <w:noWrap/>
            <w:vAlign w:val="bottom"/>
            <w:hideMark/>
          </w:tcPr>
          <w:p w14:paraId="734FCFE9" w14:textId="77777777" w:rsidR="00EA2B5F" w:rsidRPr="00F25EBD" w:rsidRDefault="00EA2B5F" w:rsidP="00FC7062">
            <w:pPr>
              <w:spacing w:after="0" w:line="276" w:lineRule="auto"/>
              <w:ind w:right="340"/>
              <w:jc w:val="right"/>
              <w:rPr>
                <w:rFonts w:asciiTheme="majorHAnsi" w:eastAsia="Times New Roman" w:hAnsiTheme="majorHAnsi" w:cstheme="majorHAnsi"/>
                <w:sz w:val="20"/>
                <w:szCs w:val="20"/>
                <w:lang w:eastAsia="pl-PL"/>
              </w:rPr>
            </w:pPr>
            <w:r w:rsidRPr="00F25EBD">
              <w:rPr>
                <w:rFonts w:asciiTheme="majorHAnsi" w:eastAsia="Times New Roman" w:hAnsiTheme="majorHAnsi" w:cstheme="majorHAnsi"/>
                <w:sz w:val="20"/>
                <w:szCs w:val="20"/>
                <w:lang w:eastAsia="pl-PL"/>
              </w:rPr>
              <w:t>2,1</w:t>
            </w:r>
          </w:p>
        </w:tc>
        <w:tc>
          <w:tcPr>
            <w:tcW w:w="702" w:type="pct"/>
            <w:tcBorders>
              <w:top w:val="single" w:sz="4" w:space="0" w:color="808080" w:themeColor="background1" w:themeShade="80"/>
              <w:left w:val="nil"/>
              <w:bottom w:val="single" w:sz="4" w:space="0" w:color="808080" w:themeColor="background1" w:themeShade="80"/>
              <w:right w:val="nil"/>
            </w:tcBorders>
            <w:shd w:val="clear" w:color="auto" w:fill="auto"/>
            <w:noWrap/>
            <w:vAlign w:val="bottom"/>
            <w:hideMark/>
          </w:tcPr>
          <w:p w14:paraId="57E8250A" w14:textId="77777777" w:rsidR="00EA2B5F" w:rsidRPr="00F25EBD" w:rsidRDefault="00EA2B5F" w:rsidP="00FC7062">
            <w:pPr>
              <w:spacing w:after="0" w:line="276" w:lineRule="auto"/>
              <w:ind w:right="340"/>
              <w:jc w:val="right"/>
              <w:rPr>
                <w:rFonts w:asciiTheme="majorHAnsi" w:eastAsia="Times New Roman" w:hAnsiTheme="majorHAnsi" w:cstheme="majorHAnsi"/>
                <w:sz w:val="20"/>
                <w:szCs w:val="20"/>
                <w:lang w:eastAsia="pl-PL"/>
              </w:rPr>
            </w:pPr>
            <w:r w:rsidRPr="00F25EBD">
              <w:rPr>
                <w:rFonts w:asciiTheme="majorHAnsi" w:eastAsia="Times New Roman" w:hAnsiTheme="majorHAnsi" w:cstheme="majorHAnsi"/>
                <w:sz w:val="20"/>
                <w:szCs w:val="20"/>
                <w:lang w:eastAsia="pl-PL"/>
              </w:rPr>
              <w:t>4,0</w:t>
            </w:r>
          </w:p>
        </w:tc>
      </w:tr>
      <w:tr w:rsidR="00EA2B5F" w:rsidRPr="00F25EBD" w14:paraId="3658013A" w14:textId="77777777" w:rsidTr="002C7D64">
        <w:trPr>
          <w:trHeight w:val="283"/>
        </w:trPr>
        <w:tc>
          <w:tcPr>
            <w:tcW w:w="1115" w:type="pct"/>
            <w:vMerge w:val="restar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shd w:val="clear" w:color="auto" w:fill="auto"/>
            <w:vAlign w:val="center"/>
            <w:hideMark/>
          </w:tcPr>
          <w:p w14:paraId="156EC6A1" w14:textId="77777777" w:rsidR="00EA2B5F" w:rsidRPr="00F25EBD" w:rsidRDefault="00EA2B5F" w:rsidP="00FC7062">
            <w:pPr>
              <w:spacing w:after="0" w:line="276" w:lineRule="auto"/>
              <w:ind w:left="284"/>
              <w:rPr>
                <w:rFonts w:asciiTheme="majorHAnsi" w:eastAsia="Times New Roman" w:hAnsiTheme="majorHAnsi" w:cstheme="majorHAnsi"/>
                <w:sz w:val="20"/>
                <w:szCs w:val="20"/>
                <w:lang w:eastAsia="pl-PL"/>
              </w:rPr>
            </w:pPr>
            <w:r w:rsidRPr="00F25EBD">
              <w:rPr>
                <w:rFonts w:asciiTheme="majorHAnsi" w:eastAsia="Times New Roman" w:hAnsiTheme="majorHAnsi" w:cstheme="majorHAnsi"/>
                <w:sz w:val="20"/>
                <w:szCs w:val="20"/>
                <w:lang w:eastAsia="pl-PL"/>
              </w:rPr>
              <w:t>łazienka</w:t>
            </w:r>
          </w:p>
        </w:tc>
        <w:tc>
          <w:tcPr>
            <w:tcW w:w="1078"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shd w:val="clear" w:color="auto" w:fill="auto"/>
            <w:vAlign w:val="center"/>
            <w:hideMark/>
          </w:tcPr>
          <w:p w14:paraId="55C6D658" w14:textId="77777777" w:rsidR="00EA2B5F" w:rsidRPr="00F25EBD" w:rsidRDefault="00EA2B5F" w:rsidP="00FC7062">
            <w:pPr>
              <w:spacing w:after="0" w:line="276" w:lineRule="auto"/>
              <w:jc w:val="center"/>
              <w:rPr>
                <w:rFonts w:asciiTheme="majorHAnsi" w:eastAsia="Times New Roman" w:hAnsiTheme="majorHAnsi" w:cstheme="majorHAnsi"/>
                <w:sz w:val="18"/>
                <w:szCs w:val="18"/>
                <w:lang w:eastAsia="pl-PL"/>
              </w:rPr>
            </w:pPr>
            <w:r w:rsidRPr="00F25EBD">
              <w:rPr>
                <w:rFonts w:asciiTheme="majorHAnsi" w:eastAsia="Times New Roman" w:hAnsiTheme="majorHAnsi" w:cstheme="majorHAnsi"/>
                <w:sz w:val="18"/>
                <w:szCs w:val="18"/>
                <w:lang w:eastAsia="pl-PL"/>
              </w:rPr>
              <w:t>2018</w:t>
            </w:r>
          </w:p>
        </w:tc>
        <w:tc>
          <w:tcPr>
            <w:tcW w:w="701" w:type="pct"/>
            <w:tcBorders>
              <w:top w:val="single" w:sz="4" w:space="0" w:color="808080" w:themeColor="background1" w:themeShade="80"/>
              <w:left w:val="nil"/>
              <w:bottom w:val="single" w:sz="4" w:space="0" w:color="808080" w:themeColor="background1" w:themeShade="80"/>
              <w:right w:val="nil"/>
            </w:tcBorders>
            <w:shd w:val="clear" w:color="auto" w:fill="auto"/>
            <w:noWrap/>
            <w:vAlign w:val="bottom"/>
            <w:hideMark/>
          </w:tcPr>
          <w:p w14:paraId="4819CF3A" w14:textId="77777777" w:rsidR="00EA2B5F" w:rsidRPr="00F25EBD" w:rsidRDefault="00EA2B5F" w:rsidP="00FC7062">
            <w:pPr>
              <w:spacing w:after="0" w:line="276" w:lineRule="auto"/>
              <w:ind w:right="340"/>
              <w:jc w:val="right"/>
              <w:rPr>
                <w:rFonts w:asciiTheme="majorHAnsi" w:eastAsia="Times New Roman" w:hAnsiTheme="majorHAnsi" w:cstheme="majorHAnsi"/>
                <w:sz w:val="20"/>
                <w:szCs w:val="20"/>
                <w:lang w:eastAsia="pl-PL"/>
              </w:rPr>
            </w:pPr>
            <w:r w:rsidRPr="00F25EBD">
              <w:rPr>
                <w:rFonts w:asciiTheme="majorHAnsi" w:eastAsia="Times New Roman" w:hAnsiTheme="majorHAnsi" w:cstheme="majorHAnsi"/>
                <w:sz w:val="20"/>
                <w:szCs w:val="20"/>
                <w:lang w:eastAsia="pl-PL"/>
              </w:rPr>
              <w:t>66,4</w:t>
            </w:r>
          </w:p>
        </w:tc>
        <w:tc>
          <w:tcPr>
            <w:tcW w:w="702" w:type="pct"/>
            <w:tcBorders>
              <w:top w:val="single" w:sz="4" w:space="0" w:color="808080" w:themeColor="background1" w:themeShade="80"/>
              <w:left w:val="nil"/>
              <w:bottom w:val="single" w:sz="4" w:space="0" w:color="808080" w:themeColor="background1" w:themeShade="80"/>
              <w:right w:val="nil"/>
            </w:tcBorders>
            <w:shd w:val="clear" w:color="auto" w:fill="auto"/>
            <w:noWrap/>
            <w:vAlign w:val="bottom"/>
            <w:hideMark/>
          </w:tcPr>
          <w:p w14:paraId="212FB512" w14:textId="77777777" w:rsidR="00EA2B5F" w:rsidRPr="00F25EBD" w:rsidRDefault="00EA2B5F" w:rsidP="00FC7062">
            <w:pPr>
              <w:spacing w:after="0" w:line="276" w:lineRule="auto"/>
              <w:ind w:right="340"/>
              <w:jc w:val="right"/>
              <w:rPr>
                <w:rFonts w:asciiTheme="majorHAnsi" w:eastAsia="Times New Roman" w:hAnsiTheme="majorHAnsi" w:cstheme="majorHAnsi"/>
                <w:sz w:val="20"/>
                <w:szCs w:val="20"/>
                <w:lang w:eastAsia="pl-PL"/>
              </w:rPr>
            </w:pPr>
            <w:r w:rsidRPr="00F25EBD">
              <w:rPr>
                <w:rFonts w:asciiTheme="majorHAnsi" w:eastAsia="Times New Roman" w:hAnsiTheme="majorHAnsi" w:cstheme="majorHAnsi"/>
                <w:sz w:val="20"/>
                <w:szCs w:val="20"/>
                <w:lang w:eastAsia="pl-PL"/>
              </w:rPr>
              <w:t>64,7</w:t>
            </w:r>
          </w:p>
        </w:tc>
        <w:tc>
          <w:tcPr>
            <w:tcW w:w="702" w:type="pct"/>
            <w:tcBorders>
              <w:top w:val="single" w:sz="4" w:space="0" w:color="808080" w:themeColor="background1" w:themeShade="80"/>
              <w:left w:val="nil"/>
              <w:bottom w:val="single" w:sz="4" w:space="0" w:color="808080" w:themeColor="background1" w:themeShade="80"/>
              <w:right w:val="nil"/>
            </w:tcBorders>
            <w:shd w:val="clear" w:color="auto" w:fill="auto"/>
            <w:noWrap/>
            <w:vAlign w:val="bottom"/>
            <w:hideMark/>
          </w:tcPr>
          <w:p w14:paraId="3E423494" w14:textId="77777777" w:rsidR="00EA2B5F" w:rsidRPr="00F25EBD" w:rsidRDefault="00EA2B5F" w:rsidP="00FC7062">
            <w:pPr>
              <w:spacing w:after="0" w:line="276" w:lineRule="auto"/>
              <w:ind w:right="340"/>
              <w:jc w:val="right"/>
              <w:rPr>
                <w:rFonts w:asciiTheme="majorHAnsi" w:eastAsia="Times New Roman" w:hAnsiTheme="majorHAnsi" w:cstheme="majorHAnsi"/>
                <w:sz w:val="20"/>
                <w:szCs w:val="20"/>
                <w:lang w:eastAsia="pl-PL"/>
              </w:rPr>
            </w:pPr>
            <w:r w:rsidRPr="00F25EBD">
              <w:rPr>
                <w:rFonts w:asciiTheme="majorHAnsi" w:eastAsia="Times New Roman" w:hAnsiTheme="majorHAnsi" w:cstheme="majorHAnsi"/>
                <w:sz w:val="20"/>
                <w:szCs w:val="20"/>
                <w:lang w:eastAsia="pl-PL"/>
              </w:rPr>
              <w:t>59,6</w:t>
            </w:r>
          </w:p>
        </w:tc>
        <w:tc>
          <w:tcPr>
            <w:tcW w:w="702" w:type="pct"/>
            <w:tcBorders>
              <w:top w:val="single" w:sz="4" w:space="0" w:color="808080" w:themeColor="background1" w:themeShade="80"/>
              <w:left w:val="nil"/>
              <w:bottom w:val="single" w:sz="4" w:space="0" w:color="808080" w:themeColor="background1" w:themeShade="80"/>
              <w:right w:val="nil"/>
            </w:tcBorders>
            <w:shd w:val="clear" w:color="auto" w:fill="auto"/>
            <w:noWrap/>
            <w:vAlign w:val="bottom"/>
            <w:hideMark/>
          </w:tcPr>
          <w:p w14:paraId="0CE7DEB8" w14:textId="77777777" w:rsidR="00EA2B5F" w:rsidRPr="00F25EBD" w:rsidRDefault="00EA2B5F" w:rsidP="00FC7062">
            <w:pPr>
              <w:spacing w:after="0" w:line="276" w:lineRule="auto"/>
              <w:ind w:right="340"/>
              <w:jc w:val="right"/>
              <w:rPr>
                <w:rFonts w:asciiTheme="majorHAnsi" w:eastAsia="Times New Roman" w:hAnsiTheme="majorHAnsi" w:cstheme="majorHAnsi"/>
                <w:sz w:val="20"/>
                <w:szCs w:val="20"/>
                <w:lang w:eastAsia="pl-PL"/>
              </w:rPr>
            </w:pPr>
            <w:r w:rsidRPr="00F25EBD">
              <w:rPr>
                <w:rFonts w:asciiTheme="majorHAnsi" w:eastAsia="Times New Roman" w:hAnsiTheme="majorHAnsi" w:cstheme="majorHAnsi"/>
                <w:sz w:val="20"/>
                <w:szCs w:val="20"/>
                <w:lang w:eastAsia="pl-PL"/>
              </w:rPr>
              <w:t>68,2</w:t>
            </w:r>
          </w:p>
        </w:tc>
      </w:tr>
      <w:tr w:rsidR="00EA2B5F" w:rsidRPr="00F25EBD" w14:paraId="0A2C338D" w14:textId="77777777" w:rsidTr="002C7D64">
        <w:trPr>
          <w:trHeight w:val="283"/>
        </w:trPr>
        <w:tc>
          <w:tcPr>
            <w:tcW w:w="1115" w:type="pct"/>
            <w:vMerge/>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hideMark/>
          </w:tcPr>
          <w:p w14:paraId="6933D360" w14:textId="77777777" w:rsidR="00EA2B5F" w:rsidRPr="00F25EBD" w:rsidRDefault="00EA2B5F" w:rsidP="00FC7062">
            <w:pPr>
              <w:spacing w:after="0" w:line="276" w:lineRule="auto"/>
              <w:ind w:left="284"/>
              <w:rPr>
                <w:rFonts w:asciiTheme="majorHAnsi" w:eastAsia="Times New Roman" w:hAnsiTheme="majorHAnsi" w:cstheme="majorHAnsi"/>
                <w:sz w:val="20"/>
                <w:szCs w:val="20"/>
                <w:lang w:eastAsia="pl-PL"/>
              </w:rPr>
            </w:pPr>
          </w:p>
        </w:tc>
        <w:tc>
          <w:tcPr>
            <w:tcW w:w="1078"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shd w:val="clear" w:color="auto" w:fill="auto"/>
            <w:vAlign w:val="bottom"/>
            <w:hideMark/>
          </w:tcPr>
          <w:p w14:paraId="04410AC1" w14:textId="77777777" w:rsidR="00EA2B5F" w:rsidRPr="00F25EBD" w:rsidRDefault="00EA2B5F" w:rsidP="00FC7062">
            <w:pPr>
              <w:spacing w:after="0" w:line="276" w:lineRule="auto"/>
              <w:jc w:val="center"/>
              <w:rPr>
                <w:rFonts w:asciiTheme="majorHAnsi" w:eastAsia="Times New Roman" w:hAnsiTheme="majorHAnsi" w:cstheme="majorHAnsi"/>
                <w:sz w:val="18"/>
                <w:szCs w:val="18"/>
                <w:lang w:eastAsia="pl-PL"/>
              </w:rPr>
            </w:pPr>
            <w:r w:rsidRPr="00F25EBD">
              <w:rPr>
                <w:rFonts w:asciiTheme="majorHAnsi" w:eastAsia="Times New Roman" w:hAnsiTheme="majorHAnsi" w:cstheme="majorHAnsi"/>
                <w:sz w:val="18"/>
                <w:szCs w:val="18"/>
                <w:lang w:eastAsia="pl-PL"/>
              </w:rPr>
              <w:t>zmiana 2013=100%</w:t>
            </w:r>
          </w:p>
        </w:tc>
        <w:tc>
          <w:tcPr>
            <w:tcW w:w="701" w:type="pct"/>
            <w:tcBorders>
              <w:top w:val="single" w:sz="4" w:space="0" w:color="808080" w:themeColor="background1" w:themeShade="80"/>
              <w:left w:val="nil"/>
              <w:bottom w:val="single" w:sz="4" w:space="0" w:color="808080" w:themeColor="background1" w:themeShade="80"/>
              <w:right w:val="nil"/>
            </w:tcBorders>
            <w:shd w:val="clear" w:color="auto" w:fill="auto"/>
            <w:noWrap/>
            <w:vAlign w:val="bottom"/>
            <w:hideMark/>
          </w:tcPr>
          <w:p w14:paraId="4E4651C6" w14:textId="77777777" w:rsidR="00EA2B5F" w:rsidRPr="00F25EBD" w:rsidRDefault="00EA2B5F" w:rsidP="00FC7062">
            <w:pPr>
              <w:spacing w:after="0" w:line="276" w:lineRule="auto"/>
              <w:ind w:right="340"/>
              <w:jc w:val="right"/>
              <w:rPr>
                <w:rFonts w:asciiTheme="majorHAnsi" w:eastAsia="Times New Roman" w:hAnsiTheme="majorHAnsi" w:cstheme="majorHAnsi"/>
                <w:sz w:val="20"/>
                <w:szCs w:val="20"/>
                <w:lang w:eastAsia="pl-PL"/>
              </w:rPr>
            </w:pPr>
            <w:r w:rsidRPr="00F25EBD">
              <w:rPr>
                <w:rFonts w:asciiTheme="majorHAnsi" w:eastAsia="Times New Roman" w:hAnsiTheme="majorHAnsi" w:cstheme="majorHAnsi"/>
                <w:sz w:val="20"/>
                <w:szCs w:val="20"/>
                <w:lang w:eastAsia="pl-PL"/>
              </w:rPr>
              <w:t>3,2</w:t>
            </w:r>
          </w:p>
        </w:tc>
        <w:tc>
          <w:tcPr>
            <w:tcW w:w="702" w:type="pct"/>
            <w:tcBorders>
              <w:top w:val="single" w:sz="4" w:space="0" w:color="808080" w:themeColor="background1" w:themeShade="80"/>
              <w:left w:val="nil"/>
              <w:bottom w:val="single" w:sz="4" w:space="0" w:color="808080" w:themeColor="background1" w:themeShade="80"/>
              <w:right w:val="nil"/>
            </w:tcBorders>
            <w:shd w:val="clear" w:color="auto" w:fill="auto"/>
            <w:noWrap/>
            <w:vAlign w:val="bottom"/>
            <w:hideMark/>
          </w:tcPr>
          <w:p w14:paraId="7ABBF397" w14:textId="77777777" w:rsidR="00EA2B5F" w:rsidRPr="00F25EBD" w:rsidRDefault="00EA2B5F" w:rsidP="00FC7062">
            <w:pPr>
              <w:spacing w:after="0" w:line="276" w:lineRule="auto"/>
              <w:ind w:right="340"/>
              <w:jc w:val="right"/>
              <w:rPr>
                <w:rFonts w:asciiTheme="majorHAnsi" w:eastAsia="Times New Roman" w:hAnsiTheme="majorHAnsi" w:cstheme="majorHAnsi"/>
                <w:sz w:val="20"/>
                <w:szCs w:val="20"/>
                <w:lang w:eastAsia="pl-PL"/>
              </w:rPr>
            </w:pPr>
            <w:r w:rsidRPr="00F25EBD">
              <w:rPr>
                <w:rFonts w:asciiTheme="majorHAnsi" w:eastAsia="Times New Roman" w:hAnsiTheme="majorHAnsi" w:cstheme="majorHAnsi"/>
                <w:sz w:val="20"/>
                <w:szCs w:val="20"/>
                <w:lang w:eastAsia="pl-PL"/>
              </w:rPr>
              <w:t>2,8</w:t>
            </w:r>
          </w:p>
        </w:tc>
        <w:tc>
          <w:tcPr>
            <w:tcW w:w="702" w:type="pct"/>
            <w:tcBorders>
              <w:top w:val="single" w:sz="4" w:space="0" w:color="808080" w:themeColor="background1" w:themeShade="80"/>
              <w:left w:val="nil"/>
              <w:bottom w:val="single" w:sz="4" w:space="0" w:color="808080" w:themeColor="background1" w:themeShade="80"/>
              <w:right w:val="nil"/>
            </w:tcBorders>
            <w:shd w:val="clear" w:color="auto" w:fill="auto"/>
            <w:noWrap/>
            <w:vAlign w:val="bottom"/>
            <w:hideMark/>
          </w:tcPr>
          <w:p w14:paraId="177CDFD2" w14:textId="77777777" w:rsidR="00EA2B5F" w:rsidRPr="00F25EBD" w:rsidRDefault="00EA2B5F" w:rsidP="00FC7062">
            <w:pPr>
              <w:spacing w:after="0" w:line="276" w:lineRule="auto"/>
              <w:ind w:right="340"/>
              <w:jc w:val="right"/>
              <w:rPr>
                <w:rFonts w:asciiTheme="majorHAnsi" w:eastAsia="Times New Roman" w:hAnsiTheme="majorHAnsi" w:cstheme="majorHAnsi"/>
                <w:sz w:val="20"/>
                <w:szCs w:val="20"/>
                <w:lang w:eastAsia="pl-PL"/>
              </w:rPr>
            </w:pPr>
            <w:r w:rsidRPr="00F25EBD">
              <w:rPr>
                <w:rFonts w:asciiTheme="majorHAnsi" w:eastAsia="Times New Roman" w:hAnsiTheme="majorHAnsi" w:cstheme="majorHAnsi"/>
                <w:sz w:val="20"/>
                <w:szCs w:val="20"/>
                <w:lang w:eastAsia="pl-PL"/>
              </w:rPr>
              <w:t>2,1</w:t>
            </w:r>
          </w:p>
        </w:tc>
        <w:tc>
          <w:tcPr>
            <w:tcW w:w="702" w:type="pct"/>
            <w:tcBorders>
              <w:top w:val="single" w:sz="4" w:space="0" w:color="808080" w:themeColor="background1" w:themeShade="80"/>
              <w:left w:val="nil"/>
              <w:bottom w:val="single" w:sz="4" w:space="0" w:color="808080" w:themeColor="background1" w:themeShade="80"/>
              <w:right w:val="nil"/>
            </w:tcBorders>
            <w:shd w:val="clear" w:color="auto" w:fill="auto"/>
            <w:noWrap/>
            <w:vAlign w:val="bottom"/>
            <w:hideMark/>
          </w:tcPr>
          <w:p w14:paraId="2CA3276C" w14:textId="77777777" w:rsidR="00EA2B5F" w:rsidRPr="00F25EBD" w:rsidRDefault="00EA2B5F" w:rsidP="00FC7062">
            <w:pPr>
              <w:spacing w:after="0" w:line="276" w:lineRule="auto"/>
              <w:ind w:right="340"/>
              <w:jc w:val="right"/>
              <w:rPr>
                <w:rFonts w:asciiTheme="majorHAnsi" w:eastAsia="Times New Roman" w:hAnsiTheme="majorHAnsi" w:cstheme="majorHAnsi"/>
                <w:sz w:val="20"/>
                <w:szCs w:val="20"/>
                <w:lang w:eastAsia="pl-PL"/>
              </w:rPr>
            </w:pPr>
            <w:r w:rsidRPr="00F25EBD">
              <w:rPr>
                <w:rFonts w:asciiTheme="majorHAnsi" w:eastAsia="Times New Roman" w:hAnsiTheme="majorHAnsi" w:cstheme="majorHAnsi"/>
                <w:sz w:val="20"/>
                <w:szCs w:val="20"/>
                <w:lang w:eastAsia="pl-PL"/>
              </w:rPr>
              <w:t>3,9</w:t>
            </w:r>
          </w:p>
        </w:tc>
      </w:tr>
      <w:tr w:rsidR="00EA2B5F" w:rsidRPr="00F25EBD" w14:paraId="5AB495A7" w14:textId="77777777" w:rsidTr="002C7D64">
        <w:trPr>
          <w:trHeight w:val="283"/>
        </w:trPr>
        <w:tc>
          <w:tcPr>
            <w:tcW w:w="1115" w:type="pct"/>
            <w:vMerge w:val="restar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shd w:val="clear" w:color="auto" w:fill="auto"/>
            <w:vAlign w:val="center"/>
            <w:hideMark/>
          </w:tcPr>
          <w:p w14:paraId="5CC26F7A" w14:textId="77777777" w:rsidR="00EA2B5F" w:rsidRPr="00F25EBD" w:rsidRDefault="00EA2B5F" w:rsidP="00FC7062">
            <w:pPr>
              <w:spacing w:after="0" w:line="276" w:lineRule="auto"/>
              <w:ind w:left="284"/>
              <w:rPr>
                <w:rFonts w:asciiTheme="majorHAnsi" w:eastAsia="Times New Roman" w:hAnsiTheme="majorHAnsi" w:cstheme="majorHAnsi"/>
                <w:sz w:val="20"/>
                <w:szCs w:val="20"/>
                <w:lang w:eastAsia="pl-PL"/>
              </w:rPr>
            </w:pPr>
            <w:r w:rsidRPr="00F25EBD">
              <w:rPr>
                <w:rFonts w:asciiTheme="majorHAnsi" w:eastAsia="Times New Roman" w:hAnsiTheme="majorHAnsi" w:cstheme="majorHAnsi"/>
                <w:sz w:val="20"/>
                <w:szCs w:val="20"/>
                <w:lang w:eastAsia="pl-PL"/>
              </w:rPr>
              <w:t>centralne ogrzewanie</w:t>
            </w:r>
          </w:p>
        </w:tc>
        <w:tc>
          <w:tcPr>
            <w:tcW w:w="1078"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shd w:val="clear" w:color="auto" w:fill="auto"/>
            <w:vAlign w:val="center"/>
            <w:hideMark/>
          </w:tcPr>
          <w:p w14:paraId="2A3B918F" w14:textId="77777777" w:rsidR="00EA2B5F" w:rsidRPr="00F25EBD" w:rsidRDefault="00EA2B5F" w:rsidP="00FC7062">
            <w:pPr>
              <w:spacing w:after="0" w:line="276" w:lineRule="auto"/>
              <w:jc w:val="center"/>
              <w:rPr>
                <w:rFonts w:asciiTheme="majorHAnsi" w:eastAsia="Times New Roman" w:hAnsiTheme="majorHAnsi" w:cstheme="majorHAnsi"/>
                <w:sz w:val="18"/>
                <w:szCs w:val="18"/>
                <w:lang w:eastAsia="pl-PL"/>
              </w:rPr>
            </w:pPr>
            <w:r w:rsidRPr="00F25EBD">
              <w:rPr>
                <w:rFonts w:asciiTheme="majorHAnsi" w:eastAsia="Times New Roman" w:hAnsiTheme="majorHAnsi" w:cstheme="majorHAnsi"/>
                <w:sz w:val="18"/>
                <w:szCs w:val="18"/>
                <w:lang w:eastAsia="pl-PL"/>
              </w:rPr>
              <w:t>2018</w:t>
            </w:r>
          </w:p>
        </w:tc>
        <w:tc>
          <w:tcPr>
            <w:tcW w:w="701" w:type="pct"/>
            <w:tcBorders>
              <w:top w:val="single" w:sz="4" w:space="0" w:color="808080" w:themeColor="background1" w:themeShade="80"/>
              <w:left w:val="nil"/>
              <w:bottom w:val="single" w:sz="4" w:space="0" w:color="808080" w:themeColor="background1" w:themeShade="80"/>
              <w:right w:val="nil"/>
            </w:tcBorders>
            <w:shd w:val="clear" w:color="auto" w:fill="auto"/>
            <w:noWrap/>
            <w:vAlign w:val="bottom"/>
            <w:hideMark/>
          </w:tcPr>
          <w:p w14:paraId="4A4BE68D" w14:textId="77777777" w:rsidR="00EA2B5F" w:rsidRPr="00F25EBD" w:rsidRDefault="00EA2B5F" w:rsidP="00FC7062">
            <w:pPr>
              <w:spacing w:after="0" w:line="276" w:lineRule="auto"/>
              <w:ind w:right="340"/>
              <w:jc w:val="right"/>
              <w:rPr>
                <w:rFonts w:asciiTheme="majorHAnsi" w:eastAsia="Times New Roman" w:hAnsiTheme="majorHAnsi" w:cstheme="majorHAnsi"/>
                <w:sz w:val="20"/>
                <w:szCs w:val="20"/>
                <w:lang w:eastAsia="pl-PL"/>
              </w:rPr>
            </w:pPr>
            <w:r w:rsidRPr="00F25EBD">
              <w:rPr>
                <w:rFonts w:asciiTheme="majorHAnsi" w:eastAsia="Times New Roman" w:hAnsiTheme="majorHAnsi" w:cstheme="majorHAnsi"/>
                <w:sz w:val="20"/>
                <w:szCs w:val="20"/>
                <w:lang w:eastAsia="pl-PL"/>
              </w:rPr>
              <w:t>61,1</w:t>
            </w:r>
          </w:p>
        </w:tc>
        <w:tc>
          <w:tcPr>
            <w:tcW w:w="702" w:type="pct"/>
            <w:tcBorders>
              <w:top w:val="single" w:sz="4" w:space="0" w:color="808080" w:themeColor="background1" w:themeShade="80"/>
              <w:left w:val="nil"/>
              <w:bottom w:val="single" w:sz="4" w:space="0" w:color="808080" w:themeColor="background1" w:themeShade="80"/>
              <w:right w:val="nil"/>
            </w:tcBorders>
            <w:shd w:val="clear" w:color="auto" w:fill="auto"/>
            <w:noWrap/>
            <w:vAlign w:val="bottom"/>
            <w:hideMark/>
          </w:tcPr>
          <w:p w14:paraId="5CD893A0" w14:textId="77777777" w:rsidR="00EA2B5F" w:rsidRPr="00F25EBD" w:rsidRDefault="00EA2B5F" w:rsidP="00FC7062">
            <w:pPr>
              <w:spacing w:after="0" w:line="276" w:lineRule="auto"/>
              <w:ind w:right="340"/>
              <w:jc w:val="right"/>
              <w:rPr>
                <w:rFonts w:asciiTheme="majorHAnsi" w:eastAsia="Times New Roman" w:hAnsiTheme="majorHAnsi" w:cstheme="majorHAnsi"/>
                <w:sz w:val="20"/>
                <w:szCs w:val="20"/>
                <w:lang w:eastAsia="pl-PL"/>
              </w:rPr>
            </w:pPr>
            <w:r w:rsidRPr="00F25EBD">
              <w:rPr>
                <w:rFonts w:asciiTheme="majorHAnsi" w:eastAsia="Times New Roman" w:hAnsiTheme="majorHAnsi" w:cstheme="majorHAnsi"/>
                <w:sz w:val="20"/>
                <w:szCs w:val="20"/>
                <w:lang w:eastAsia="pl-PL"/>
              </w:rPr>
              <w:t>58,9</w:t>
            </w:r>
          </w:p>
        </w:tc>
        <w:tc>
          <w:tcPr>
            <w:tcW w:w="702" w:type="pct"/>
            <w:tcBorders>
              <w:top w:val="single" w:sz="4" w:space="0" w:color="808080" w:themeColor="background1" w:themeShade="80"/>
              <w:left w:val="nil"/>
              <w:bottom w:val="single" w:sz="4" w:space="0" w:color="808080" w:themeColor="background1" w:themeShade="80"/>
              <w:right w:val="nil"/>
            </w:tcBorders>
            <w:shd w:val="clear" w:color="auto" w:fill="auto"/>
            <w:noWrap/>
            <w:vAlign w:val="bottom"/>
            <w:hideMark/>
          </w:tcPr>
          <w:p w14:paraId="7BA44A3F" w14:textId="77777777" w:rsidR="00EA2B5F" w:rsidRPr="00F25EBD" w:rsidRDefault="00EA2B5F" w:rsidP="00FC7062">
            <w:pPr>
              <w:spacing w:after="0" w:line="276" w:lineRule="auto"/>
              <w:ind w:right="340"/>
              <w:jc w:val="right"/>
              <w:rPr>
                <w:rFonts w:asciiTheme="majorHAnsi" w:eastAsia="Times New Roman" w:hAnsiTheme="majorHAnsi" w:cstheme="majorHAnsi"/>
                <w:sz w:val="20"/>
                <w:szCs w:val="20"/>
                <w:lang w:eastAsia="pl-PL"/>
              </w:rPr>
            </w:pPr>
            <w:r w:rsidRPr="00F25EBD">
              <w:rPr>
                <w:rFonts w:asciiTheme="majorHAnsi" w:eastAsia="Times New Roman" w:hAnsiTheme="majorHAnsi" w:cstheme="majorHAnsi"/>
                <w:sz w:val="20"/>
                <w:szCs w:val="20"/>
                <w:lang w:eastAsia="pl-PL"/>
              </w:rPr>
              <w:t>53,0</w:t>
            </w:r>
          </w:p>
        </w:tc>
        <w:tc>
          <w:tcPr>
            <w:tcW w:w="702" w:type="pct"/>
            <w:tcBorders>
              <w:top w:val="single" w:sz="4" w:space="0" w:color="808080" w:themeColor="background1" w:themeShade="80"/>
              <w:left w:val="nil"/>
              <w:bottom w:val="single" w:sz="4" w:space="0" w:color="808080" w:themeColor="background1" w:themeShade="80"/>
              <w:right w:val="nil"/>
            </w:tcBorders>
            <w:shd w:val="clear" w:color="auto" w:fill="auto"/>
            <w:noWrap/>
            <w:vAlign w:val="bottom"/>
            <w:hideMark/>
          </w:tcPr>
          <w:p w14:paraId="68C14D05" w14:textId="77777777" w:rsidR="00EA2B5F" w:rsidRPr="00F25EBD" w:rsidRDefault="00EA2B5F" w:rsidP="00FC7062">
            <w:pPr>
              <w:spacing w:after="0" w:line="276" w:lineRule="auto"/>
              <w:ind w:right="340"/>
              <w:jc w:val="right"/>
              <w:rPr>
                <w:rFonts w:asciiTheme="majorHAnsi" w:eastAsia="Times New Roman" w:hAnsiTheme="majorHAnsi" w:cstheme="majorHAnsi"/>
                <w:sz w:val="20"/>
                <w:szCs w:val="20"/>
                <w:lang w:eastAsia="pl-PL"/>
              </w:rPr>
            </w:pPr>
            <w:r w:rsidRPr="00F25EBD">
              <w:rPr>
                <w:rFonts w:asciiTheme="majorHAnsi" w:eastAsia="Times New Roman" w:hAnsiTheme="majorHAnsi" w:cstheme="majorHAnsi"/>
                <w:sz w:val="20"/>
                <w:szCs w:val="20"/>
                <w:lang w:eastAsia="pl-PL"/>
              </w:rPr>
              <w:t>60,1</w:t>
            </w:r>
          </w:p>
        </w:tc>
      </w:tr>
      <w:tr w:rsidR="00EA2B5F" w:rsidRPr="00F25EBD" w14:paraId="68BB7C00" w14:textId="77777777" w:rsidTr="002C7D64">
        <w:trPr>
          <w:trHeight w:val="283"/>
        </w:trPr>
        <w:tc>
          <w:tcPr>
            <w:tcW w:w="1115" w:type="pct"/>
            <w:vMerge/>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hideMark/>
          </w:tcPr>
          <w:p w14:paraId="5CDE0387" w14:textId="77777777" w:rsidR="00EA2B5F" w:rsidRPr="00F25EBD" w:rsidRDefault="00EA2B5F" w:rsidP="00FC7062">
            <w:pPr>
              <w:spacing w:after="0" w:line="276" w:lineRule="auto"/>
              <w:ind w:left="284"/>
              <w:rPr>
                <w:rFonts w:asciiTheme="majorHAnsi" w:eastAsia="Times New Roman" w:hAnsiTheme="majorHAnsi" w:cstheme="majorHAnsi"/>
                <w:sz w:val="20"/>
                <w:szCs w:val="20"/>
                <w:lang w:eastAsia="pl-PL"/>
              </w:rPr>
            </w:pPr>
          </w:p>
        </w:tc>
        <w:tc>
          <w:tcPr>
            <w:tcW w:w="1078"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shd w:val="clear" w:color="auto" w:fill="auto"/>
            <w:vAlign w:val="bottom"/>
            <w:hideMark/>
          </w:tcPr>
          <w:p w14:paraId="4C3A4668" w14:textId="77777777" w:rsidR="00EA2B5F" w:rsidRPr="00F25EBD" w:rsidRDefault="00EA2B5F" w:rsidP="00FC7062">
            <w:pPr>
              <w:spacing w:after="0" w:line="276" w:lineRule="auto"/>
              <w:jc w:val="center"/>
              <w:rPr>
                <w:rFonts w:asciiTheme="majorHAnsi" w:eastAsia="Times New Roman" w:hAnsiTheme="majorHAnsi" w:cstheme="majorHAnsi"/>
                <w:sz w:val="18"/>
                <w:szCs w:val="18"/>
                <w:lang w:eastAsia="pl-PL"/>
              </w:rPr>
            </w:pPr>
            <w:r w:rsidRPr="00F25EBD">
              <w:rPr>
                <w:rFonts w:asciiTheme="majorHAnsi" w:eastAsia="Times New Roman" w:hAnsiTheme="majorHAnsi" w:cstheme="majorHAnsi"/>
                <w:sz w:val="18"/>
                <w:szCs w:val="18"/>
                <w:lang w:eastAsia="pl-PL"/>
              </w:rPr>
              <w:t>zmiana 2013=100%</w:t>
            </w:r>
          </w:p>
        </w:tc>
        <w:tc>
          <w:tcPr>
            <w:tcW w:w="701" w:type="pct"/>
            <w:tcBorders>
              <w:top w:val="single" w:sz="4" w:space="0" w:color="808080" w:themeColor="background1" w:themeShade="80"/>
              <w:left w:val="nil"/>
              <w:bottom w:val="single" w:sz="4" w:space="0" w:color="808080" w:themeColor="background1" w:themeShade="80"/>
              <w:right w:val="nil"/>
            </w:tcBorders>
            <w:shd w:val="clear" w:color="auto" w:fill="auto"/>
            <w:noWrap/>
            <w:vAlign w:val="bottom"/>
            <w:hideMark/>
          </w:tcPr>
          <w:p w14:paraId="72ABE0FD" w14:textId="77777777" w:rsidR="00EA2B5F" w:rsidRPr="00F25EBD" w:rsidRDefault="00EA2B5F" w:rsidP="00FC7062">
            <w:pPr>
              <w:spacing w:after="0" w:line="276" w:lineRule="auto"/>
              <w:ind w:right="340"/>
              <w:jc w:val="right"/>
              <w:rPr>
                <w:rFonts w:asciiTheme="majorHAnsi" w:eastAsia="Times New Roman" w:hAnsiTheme="majorHAnsi" w:cstheme="majorHAnsi"/>
                <w:sz w:val="20"/>
                <w:szCs w:val="20"/>
                <w:lang w:eastAsia="pl-PL"/>
              </w:rPr>
            </w:pPr>
            <w:r w:rsidRPr="00F25EBD">
              <w:rPr>
                <w:rFonts w:asciiTheme="majorHAnsi" w:eastAsia="Times New Roman" w:hAnsiTheme="majorHAnsi" w:cstheme="majorHAnsi"/>
                <w:sz w:val="20"/>
                <w:szCs w:val="20"/>
                <w:lang w:eastAsia="pl-PL"/>
              </w:rPr>
              <w:t>3,1</w:t>
            </w:r>
          </w:p>
        </w:tc>
        <w:tc>
          <w:tcPr>
            <w:tcW w:w="702" w:type="pct"/>
            <w:tcBorders>
              <w:top w:val="single" w:sz="4" w:space="0" w:color="808080" w:themeColor="background1" w:themeShade="80"/>
              <w:left w:val="nil"/>
              <w:bottom w:val="single" w:sz="4" w:space="0" w:color="808080" w:themeColor="background1" w:themeShade="80"/>
              <w:right w:val="nil"/>
            </w:tcBorders>
            <w:shd w:val="clear" w:color="auto" w:fill="auto"/>
            <w:noWrap/>
            <w:vAlign w:val="bottom"/>
            <w:hideMark/>
          </w:tcPr>
          <w:p w14:paraId="46E3489D" w14:textId="77777777" w:rsidR="00EA2B5F" w:rsidRPr="00F25EBD" w:rsidRDefault="00EA2B5F" w:rsidP="00FC7062">
            <w:pPr>
              <w:spacing w:after="0" w:line="276" w:lineRule="auto"/>
              <w:ind w:right="340"/>
              <w:jc w:val="right"/>
              <w:rPr>
                <w:rFonts w:asciiTheme="majorHAnsi" w:eastAsia="Times New Roman" w:hAnsiTheme="majorHAnsi" w:cstheme="majorHAnsi"/>
                <w:sz w:val="20"/>
                <w:szCs w:val="20"/>
                <w:lang w:eastAsia="pl-PL"/>
              </w:rPr>
            </w:pPr>
            <w:r w:rsidRPr="00F25EBD">
              <w:rPr>
                <w:rFonts w:asciiTheme="majorHAnsi" w:eastAsia="Times New Roman" w:hAnsiTheme="majorHAnsi" w:cstheme="majorHAnsi"/>
                <w:sz w:val="20"/>
                <w:szCs w:val="20"/>
                <w:lang w:eastAsia="pl-PL"/>
              </w:rPr>
              <w:t>2,8</w:t>
            </w:r>
          </w:p>
        </w:tc>
        <w:tc>
          <w:tcPr>
            <w:tcW w:w="702" w:type="pct"/>
            <w:tcBorders>
              <w:top w:val="single" w:sz="4" w:space="0" w:color="808080" w:themeColor="background1" w:themeShade="80"/>
              <w:left w:val="nil"/>
              <w:bottom w:val="single" w:sz="4" w:space="0" w:color="808080" w:themeColor="background1" w:themeShade="80"/>
              <w:right w:val="nil"/>
            </w:tcBorders>
            <w:shd w:val="clear" w:color="auto" w:fill="auto"/>
            <w:noWrap/>
            <w:vAlign w:val="bottom"/>
            <w:hideMark/>
          </w:tcPr>
          <w:p w14:paraId="18658EDF" w14:textId="77777777" w:rsidR="00EA2B5F" w:rsidRPr="00F25EBD" w:rsidRDefault="00EA2B5F" w:rsidP="00FC7062">
            <w:pPr>
              <w:spacing w:after="0" w:line="276" w:lineRule="auto"/>
              <w:ind w:right="340"/>
              <w:jc w:val="right"/>
              <w:rPr>
                <w:rFonts w:asciiTheme="majorHAnsi" w:eastAsia="Times New Roman" w:hAnsiTheme="majorHAnsi" w:cstheme="majorHAnsi"/>
                <w:sz w:val="20"/>
                <w:szCs w:val="20"/>
                <w:lang w:eastAsia="pl-PL"/>
              </w:rPr>
            </w:pPr>
            <w:r w:rsidRPr="00F25EBD">
              <w:rPr>
                <w:rFonts w:asciiTheme="majorHAnsi" w:eastAsia="Times New Roman" w:hAnsiTheme="majorHAnsi" w:cstheme="majorHAnsi"/>
                <w:sz w:val="20"/>
                <w:szCs w:val="20"/>
                <w:lang w:eastAsia="pl-PL"/>
              </w:rPr>
              <w:t>2,3</w:t>
            </w:r>
          </w:p>
        </w:tc>
        <w:tc>
          <w:tcPr>
            <w:tcW w:w="702" w:type="pct"/>
            <w:tcBorders>
              <w:top w:val="single" w:sz="4" w:space="0" w:color="808080" w:themeColor="background1" w:themeShade="80"/>
              <w:left w:val="nil"/>
              <w:bottom w:val="single" w:sz="4" w:space="0" w:color="808080" w:themeColor="background1" w:themeShade="80"/>
              <w:right w:val="nil"/>
            </w:tcBorders>
            <w:shd w:val="clear" w:color="auto" w:fill="auto"/>
            <w:noWrap/>
            <w:vAlign w:val="bottom"/>
            <w:hideMark/>
          </w:tcPr>
          <w:p w14:paraId="0B26C0B4" w14:textId="77777777" w:rsidR="00EA2B5F" w:rsidRPr="00F25EBD" w:rsidRDefault="00EA2B5F" w:rsidP="00FC7062">
            <w:pPr>
              <w:spacing w:after="0" w:line="276" w:lineRule="auto"/>
              <w:ind w:right="340"/>
              <w:jc w:val="right"/>
              <w:rPr>
                <w:rFonts w:asciiTheme="majorHAnsi" w:eastAsia="Times New Roman" w:hAnsiTheme="majorHAnsi" w:cstheme="majorHAnsi"/>
                <w:sz w:val="20"/>
                <w:szCs w:val="20"/>
                <w:lang w:eastAsia="pl-PL"/>
              </w:rPr>
            </w:pPr>
            <w:r w:rsidRPr="00F25EBD">
              <w:rPr>
                <w:rFonts w:asciiTheme="majorHAnsi" w:eastAsia="Times New Roman" w:hAnsiTheme="majorHAnsi" w:cstheme="majorHAnsi"/>
                <w:sz w:val="20"/>
                <w:szCs w:val="20"/>
                <w:lang w:eastAsia="pl-PL"/>
              </w:rPr>
              <w:t>3,9</w:t>
            </w:r>
          </w:p>
        </w:tc>
      </w:tr>
      <w:tr w:rsidR="00EA2B5F" w:rsidRPr="00F25EBD" w14:paraId="05E7E775" w14:textId="77777777" w:rsidTr="002C7D64">
        <w:trPr>
          <w:trHeight w:val="283"/>
        </w:trPr>
        <w:tc>
          <w:tcPr>
            <w:tcW w:w="1115" w:type="pct"/>
            <w:vMerge w:val="restar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shd w:val="clear" w:color="auto" w:fill="auto"/>
            <w:vAlign w:val="center"/>
            <w:hideMark/>
          </w:tcPr>
          <w:p w14:paraId="7B90F831" w14:textId="77777777" w:rsidR="00EA2B5F" w:rsidRPr="00F25EBD" w:rsidRDefault="00EA2B5F" w:rsidP="00FC7062">
            <w:pPr>
              <w:spacing w:after="0" w:line="276" w:lineRule="auto"/>
              <w:ind w:left="284"/>
              <w:rPr>
                <w:rFonts w:asciiTheme="majorHAnsi" w:eastAsia="Times New Roman" w:hAnsiTheme="majorHAnsi" w:cstheme="majorHAnsi"/>
                <w:sz w:val="20"/>
                <w:szCs w:val="20"/>
                <w:lang w:eastAsia="pl-PL"/>
              </w:rPr>
            </w:pPr>
            <w:r w:rsidRPr="00F25EBD">
              <w:rPr>
                <w:rFonts w:asciiTheme="majorHAnsi" w:eastAsia="Times New Roman" w:hAnsiTheme="majorHAnsi" w:cstheme="majorHAnsi"/>
                <w:sz w:val="20"/>
                <w:szCs w:val="20"/>
                <w:lang w:eastAsia="pl-PL"/>
              </w:rPr>
              <w:t>gaz sieciowy</w:t>
            </w:r>
          </w:p>
        </w:tc>
        <w:tc>
          <w:tcPr>
            <w:tcW w:w="1078"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shd w:val="clear" w:color="auto" w:fill="auto"/>
            <w:vAlign w:val="center"/>
            <w:hideMark/>
          </w:tcPr>
          <w:p w14:paraId="038E7B19" w14:textId="77777777" w:rsidR="00EA2B5F" w:rsidRPr="00F25EBD" w:rsidRDefault="00EA2B5F" w:rsidP="00FC7062">
            <w:pPr>
              <w:spacing w:after="0" w:line="276" w:lineRule="auto"/>
              <w:jc w:val="center"/>
              <w:rPr>
                <w:rFonts w:asciiTheme="majorHAnsi" w:eastAsia="Times New Roman" w:hAnsiTheme="majorHAnsi" w:cstheme="majorHAnsi"/>
                <w:sz w:val="18"/>
                <w:szCs w:val="18"/>
                <w:lang w:eastAsia="pl-PL"/>
              </w:rPr>
            </w:pPr>
            <w:r w:rsidRPr="00F25EBD">
              <w:rPr>
                <w:rFonts w:asciiTheme="majorHAnsi" w:eastAsia="Times New Roman" w:hAnsiTheme="majorHAnsi" w:cstheme="majorHAnsi"/>
                <w:sz w:val="18"/>
                <w:szCs w:val="18"/>
                <w:lang w:eastAsia="pl-PL"/>
              </w:rPr>
              <w:t>2018</w:t>
            </w:r>
          </w:p>
        </w:tc>
        <w:tc>
          <w:tcPr>
            <w:tcW w:w="701" w:type="pct"/>
            <w:tcBorders>
              <w:top w:val="single" w:sz="4" w:space="0" w:color="808080" w:themeColor="background1" w:themeShade="80"/>
              <w:left w:val="nil"/>
              <w:bottom w:val="single" w:sz="4" w:space="0" w:color="808080" w:themeColor="background1" w:themeShade="80"/>
              <w:right w:val="nil"/>
            </w:tcBorders>
            <w:shd w:val="clear" w:color="auto" w:fill="auto"/>
            <w:noWrap/>
            <w:vAlign w:val="bottom"/>
            <w:hideMark/>
          </w:tcPr>
          <w:p w14:paraId="0C1514F9" w14:textId="77777777" w:rsidR="00EA2B5F" w:rsidRPr="00F25EBD" w:rsidRDefault="00EA2B5F" w:rsidP="00FC7062">
            <w:pPr>
              <w:spacing w:after="0" w:line="276" w:lineRule="auto"/>
              <w:ind w:right="340"/>
              <w:jc w:val="right"/>
              <w:rPr>
                <w:rFonts w:asciiTheme="majorHAnsi" w:eastAsia="Times New Roman" w:hAnsiTheme="majorHAnsi" w:cstheme="majorHAnsi"/>
                <w:sz w:val="20"/>
                <w:szCs w:val="20"/>
                <w:lang w:eastAsia="pl-PL"/>
              </w:rPr>
            </w:pPr>
            <w:r w:rsidRPr="00F25EBD">
              <w:rPr>
                <w:rFonts w:asciiTheme="majorHAnsi" w:eastAsia="Times New Roman" w:hAnsiTheme="majorHAnsi" w:cstheme="majorHAnsi"/>
                <w:sz w:val="20"/>
                <w:szCs w:val="20"/>
                <w:lang w:eastAsia="pl-PL"/>
              </w:rPr>
              <w:t>37,0</w:t>
            </w:r>
          </w:p>
        </w:tc>
        <w:tc>
          <w:tcPr>
            <w:tcW w:w="702" w:type="pct"/>
            <w:tcBorders>
              <w:top w:val="single" w:sz="4" w:space="0" w:color="808080" w:themeColor="background1" w:themeShade="80"/>
              <w:left w:val="nil"/>
              <w:bottom w:val="single" w:sz="4" w:space="0" w:color="808080" w:themeColor="background1" w:themeShade="80"/>
              <w:right w:val="nil"/>
            </w:tcBorders>
            <w:shd w:val="clear" w:color="auto" w:fill="auto"/>
            <w:noWrap/>
            <w:vAlign w:val="bottom"/>
            <w:hideMark/>
          </w:tcPr>
          <w:p w14:paraId="1FD2525A" w14:textId="77777777" w:rsidR="00EA2B5F" w:rsidRPr="00F25EBD" w:rsidRDefault="00EA2B5F" w:rsidP="00FC7062">
            <w:pPr>
              <w:spacing w:after="0" w:line="276" w:lineRule="auto"/>
              <w:ind w:right="340"/>
              <w:jc w:val="right"/>
              <w:rPr>
                <w:rFonts w:asciiTheme="majorHAnsi" w:eastAsia="Times New Roman" w:hAnsiTheme="majorHAnsi" w:cstheme="majorHAnsi"/>
                <w:sz w:val="20"/>
                <w:szCs w:val="20"/>
                <w:lang w:eastAsia="pl-PL"/>
              </w:rPr>
            </w:pPr>
            <w:r w:rsidRPr="00F25EBD">
              <w:rPr>
                <w:rFonts w:asciiTheme="majorHAnsi" w:eastAsia="Times New Roman" w:hAnsiTheme="majorHAnsi" w:cstheme="majorHAnsi"/>
                <w:sz w:val="20"/>
                <w:szCs w:val="20"/>
                <w:lang w:eastAsia="pl-PL"/>
              </w:rPr>
              <w:t>28,5</w:t>
            </w:r>
          </w:p>
        </w:tc>
        <w:tc>
          <w:tcPr>
            <w:tcW w:w="702" w:type="pct"/>
            <w:tcBorders>
              <w:top w:val="single" w:sz="4" w:space="0" w:color="808080" w:themeColor="background1" w:themeShade="80"/>
              <w:left w:val="nil"/>
              <w:bottom w:val="single" w:sz="4" w:space="0" w:color="808080" w:themeColor="background1" w:themeShade="80"/>
              <w:right w:val="nil"/>
            </w:tcBorders>
            <w:shd w:val="clear" w:color="auto" w:fill="auto"/>
            <w:noWrap/>
            <w:vAlign w:val="bottom"/>
            <w:hideMark/>
          </w:tcPr>
          <w:p w14:paraId="62ADFB85" w14:textId="77777777" w:rsidR="00EA2B5F" w:rsidRPr="00F25EBD" w:rsidRDefault="00EA2B5F" w:rsidP="00FC7062">
            <w:pPr>
              <w:spacing w:after="0" w:line="276" w:lineRule="auto"/>
              <w:ind w:right="340"/>
              <w:jc w:val="right"/>
              <w:rPr>
                <w:rFonts w:asciiTheme="majorHAnsi" w:eastAsia="Times New Roman" w:hAnsiTheme="majorHAnsi" w:cstheme="majorHAnsi"/>
                <w:sz w:val="20"/>
                <w:szCs w:val="20"/>
                <w:lang w:eastAsia="pl-PL"/>
              </w:rPr>
            </w:pPr>
            <w:r w:rsidRPr="00F25EBD">
              <w:rPr>
                <w:rFonts w:asciiTheme="majorHAnsi" w:eastAsia="Times New Roman" w:hAnsiTheme="majorHAnsi" w:cstheme="majorHAnsi"/>
                <w:sz w:val="20"/>
                <w:szCs w:val="20"/>
                <w:lang w:eastAsia="pl-PL"/>
              </w:rPr>
              <w:t>14,7</w:t>
            </w:r>
          </w:p>
        </w:tc>
        <w:tc>
          <w:tcPr>
            <w:tcW w:w="702" w:type="pct"/>
            <w:tcBorders>
              <w:top w:val="single" w:sz="4" w:space="0" w:color="808080" w:themeColor="background1" w:themeShade="80"/>
              <w:left w:val="nil"/>
              <w:bottom w:val="single" w:sz="4" w:space="0" w:color="808080" w:themeColor="background1" w:themeShade="80"/>
              <w:right w:val="nil"/>
            </w:tcBorders>
            <w:shd w:val="clear" w:color="auto" w:fill="auto"/>
            <w:noWrap/>
            <w:vAlign w:val="bottom"/>
            <w:hideMark/>
          </w:tcPr>
          <w:p w14:paraId="4796F954" w14:textId="77777777" w:rsidR="00EA2B5F" w:rsidRPr="00F25EBD" w:rsidRDefault="00EA2B5F" w:rsidP="00FC7062">
            <w:pPr>
              <w:spacing w:after="0" w:line="276" w:lineRule="auto"/>
              <w:ind w:right="340"/>
              <w:jc w:val="right"/>
              <w:rPr>
                <w:rFonts w:asciiTheme="majorHAnsi" w:eastAsia="Times New Roman" w:hAnsiTheme="majorHAnsi" w:cstheme="majorHAnsi"/>
                <w:sz w:val="20"/>
                <w:szCs w:val="20"/>
                <w:lang w:eastAsia="pl-PL"/>
              </w:rPr>
            </w:pPr>
            <w:r w:rsidRPr="00F25EBD">
              <w:rPr>
                <w:rFonts w:asciiTheme="majorHAnsi" w:eastAsia="Times New Roman" w:hAnsiTheme="majorHAnsi" w:cstheme="majorHAnsi"/>
                <w:sz w:val="20"/>
                <w:szCs w:val="20"/>
                <w:lang w:eastAsia="pl-PL"/>
              </w:rPr>
              <w:t>29,6</w:t>
            </w:r>
          </w:p>
        </w:tc>
      </w:tr>
      <w:tr w:rsidR="00EA2B5F" w:rsidRPr="00F25EBD" w14:paraId="5BF3FCB7" w14:textId="77777777" w:rsidTr="002C7D64">
        <w:trPr>
          <w:trHeight w:val="283"/>
        </w:trPr>
        <w:tc>
          <w:tcPr>
            <w:tcW w:w="1115" w:type="pct"/>
            <w:vMerge/>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hideMark/>
          </w:tcPr>
          <w:p w14:paraId="2CA7221C" w14:textId="77777777" w:rsidR="00EA2B5F" w:rsidRPr="00F25EBD" w:rsidRDefault="00EA2B5F" w:rsidP="00FC7062">
            <w:pPr>
              <w:spacing w:after="0" w:line="276" w:lineRule="auto"/>
              <w:ind w:left="284"/>
              <w:rPr>
                <w:rFonts w:asciiTheme="majorHAnsi" w:eastAsia="Times New Roman" w:hAnsiTheme="majorHAnsi" w:cstheme="majorHAnsi"/>
                <w:sz w:val="20"/>
                <w:szCs w:val="20"/>
                <w:lang w:eastAsia="pl-PL"/>
              </w:rPr>
            </w:pPr>
          </w:p>
        </w:tc>
        <w:tc>
          <w:tcPr>
            <w:tcW w:w="1078"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shd w:val="clear" w:color="auto" w:fill="auto"/>
            <w:vAlign w:val="bottom"/>
            <w:hideMark/>
          </w:tcPr>
          <w:p w14:paraId="22D46544" w14:textId="77777777" w:rsidR="00EA2B5F" w:rsidRPr="00F25EBD" w:rsidRDefault="00EA2B5F" w:rsidP="00FC7062">
            <w:pPr>
              <w:spacing w:after="0" w:line="276" w:lineRule="auto"/>
              <w:jc w:val="center"/>
              <w:rPr>
                <w:rFonts w:asciiTheme="majorHAnsi" w:eastAsia="Times New Roman" w:hAnsiTheme="majorHAnsi" w:cstheme="majorHAnsi"/>
                <w:sz w:val="18"/>
                <w:szCs w:val="18"/>
                <w:lang w:eastAsia="pl-PL"/>
              </w:rPr>
            </w:pPr>
            <w:r w:rsidRPr="00F25EBD">
              <w:rPr>
                <w:rFonts w:asciiTheme="majorHAnsi" w:eastAsia="Times New Roman" w:hAnsiTheme="majorHAnsi" w:cstheme="majorHAnsi"/>
                <w:sz w:val="18"/>
                <w:szCs w:val="18"/>
                <w:lang w:eastAsia="pl-PL"/>
              </w:rPr>
              <w:t>zmiana 2013=100%</w:t>
            </w:r>
          </w:p>
        </w:tc>
        <w:tc>
          <w:tcPr>
            <w:tcW w:w="701" w:type="pct"/>
            <w:tcBorders>
              <w:top w:val="single" w:sz="4" w:space="0" w:color="808080" w:themeColor="background1" w:themeShade="80"/>
              <w:left w:val="nil"/>
              <w:bottom w:val="single" w:sz="4" w:space="0" w:color="808080" w:themeColor="background1" w:themeShade="80"/>
              <w:right w:val="nil"/>
            </w:tcBorders>
            <w:shd w:val="clear" w:color="auto" w:fill="auto"/>
            <w:noWrap/>
            <w:vAlign w:val="bottom"/>
            <w:hideMark/>
          </w:tcPr>
          <w:p w14:paraId="493D940E" w14:textId="77777777" w:rsidR="00EA2B5F" w:rsidRPr="00F25EBD" w:rsidRDefault="00EA2B5F" w:rsidP="00FC7062">
            <w:pPr>
              <w:spacing w:after="0" w:line="276" w:lineRule="auto"/>
              <w:ind w:right="340"/>
              <w:jc w:val="right"/>
              <w:rPr>
                <w:rFonts w:asciiTheme="majorHAnsi" w:eastAsia="Times New Roman" w:hAnsiTheme="majorHAnsi" w:cstheme="majorHAnsi"/>
                <w:sz w:val="20"/>
                <w:szCs w:val="20"/>
                <w:lang w:eastAsia="pl-PL"/>
              </w:rPr>
            </w:pPr>
            <w:r w:rsidRPr="00F25EBD">
              <w:rPr>
                <w:rFonts w:asciiTheme="majorHAnsi" w:eastAsia="Times New Roman" w:hAnsiTheme="majorHAnsi" w:cstheme="majorHAnsi"/>
                <w:sz w:val="20"/>
                <w:szCs w:val="20"/>
                <w:lang w:eastAsia="pl-PL"/>
              </w:rPr>
              <w:t>1,3</w:t>
            </w:r>
          </w:p>
        </w:tc>
        <w:tc>
          <w:tcPr>
            <w:tcW w:w="702" w:type="pct"/>
            <w:tcBorders>
              <w:top w:val="single" w:sz="4" w:space="0" w:color="808080" w:themeColor="background1" w:themeShade="80"/>
              <w:left w:val="nil"/>
              <w:bottom w:val="single" w:sz="4" w:space="0" w:color="808080" w:themeColor="background1" w:themeShade="80"/>
              <w:right w:val="nil"/>
            </w:tcBorders>
            <w:shd w:val="clear" w:color="auto" w:fill="auto"/>
            <w:noWrap/>
            <w:vAlign w:val="bottom"/>
            <w:hideMark/>
          </w:tcPr>
          <w:p w14:paraId="5A65B952" w14:textId="77777777" w:rsidR="00EA2B5F" w:rsidRPr="00F25EBD" w:rsidRDefault="00EA2B5F" w:rsidP="00FC7062">
            <w:pPr>
              <w:spacing w:after="0" w:line="276" w:lineRule="auto"/>
              <w:ind w:right="340"/>
              <w:jc w:val="right"/>
              <w:rPr>
                <w:rFonts w:asciiTheme="majorHAnsi" w:eastAsia="Times New Roman" w:hAnsiTheme="majorHAnsi" w:cstheme="majorHAnsi"/>
                <w:sz w:val="20"/>
                <w:szCs w:val="20"/>
                <w:lang w:eastAsia="pl-PL"/>
              </w:rPr>
            </w:pPr>
            <w:r w:rsidRPr="00F25EBD">
              <w:rPr>
                <w:rFonts w:asciiTheme="majorHAnsi" w:eastAsia="Times New Roman" w:hAnsiTheme="majorHAnsi" w:cstheme="majorHAnsi"/>
                <w:sz w:val="20"/>
                <w:szCs w:val="20"/>
                <w:lang w:eastAsia="pl-PL"/>
              </w:rPr>
              <w:t>1,0</w:t>
            </w:r>
          </w:p>
        </w:tc>
        <w:tc>
          <w:tcPr>
            <w:tcW w:w="702" w:type="pct"/>
            <w:tcBorders>
              <w:top w:val="single" w:sz="4" w:space="0" w:color="808080" w:themeColor="background1" w:themeShade="80"/>
              <w:left w:val="nil"/>
              <w:bottom w:val="single" w:sz="4" w:space="0" w:color="808080" w:themeColor="background1" w:themeShade="80"/>
              <w:right w:val="nil"/>
            </w:tcBorders>
            <w:shd w:val="clear" w:color="auto" w:fill="auto"/>
            <w:noWrap/>
            <w:vAlign w:val="bottom"/>
            <w:hideMark/>
          </w:tcPr>
          <w:p w14:paraId="0B836FA2" w14:textId="77777777" w:rsidR="00EA2B5F" w:rsidRPr="00F25EBD" w:rsidRDefault="00EA2B5F" w:rsidP="00FC7062">
            <w:pPr>
              <w:spacing w:after="0" w:line="276" w:lineRule="auto"/>
              <w:ind w:right="340"/>
              <w:jc w:val="right"/>
              <w:rPr>
                <w:rFonts w:asciiTheme="majorHAnsi" w:eastAsia="Times New Roman" w:hAnsiTheme="majorHAnsi" w:cstheme="majorHAnsi"/>
                <w:sz w:val="20"/>
                <w:szCs w:val="20"/>
                <w:lang w:eastAsia="pl-PL"/>
              </w:rPr>
            </w:pPr>
            <w:r w:rsidRPr="00F25EBD">
              <w:rPr>
                <w:rFonts w:asciiTheme="majorHAnsi" w:eastAsia="Times New Roman" w:hAnsiTheme="majorHAnsi" w:cstheme="majorHAnsi"/>
                <w:sz w:val="20"/>
                <w:szCs w:val="20"/>
                <w:lang w:eastAsia="pl-PL"/>
              </w:rPr>
              <w:t>0,0</w:t>
            </w:r>
          </w:p>
        </w:tc>
        <w:tc>
          <w:tcPr>
            <w:tcW w:w="702" w:type="pct"/>
            <w:tcBorders>
              <w:top w:val="single" w:sz="4" w:space="0" w:color="808080" w:themeColor="background1" w:themeShade="80"/>
              <w:left w:val="nil"/>
              <w:bottom w:val="single" w:sz="4" w:space="0" w:color="808080" w:themeColor="background1" w:themeShade="80"/>
              <w:right w:val="nil"/>
            </w:tcBorders>
            <w:shd w:val="clear" w:color="auto" w:fill="auto"/>
            <w:noWrap/>
            <w:vAlign w:val="bottom"/>
            <w:hideMark/>
          </w:tcPr>
          <w:p w14:paraId="4C5E6275" w14:textId="77777777" w:rsidR="00EA2B5F" w:rsidRPr="00F25EBD" w:rsidRDefault="00EA2B5F" w:rsidP="00FC7062">
            <w:pPr>
              <w:spacing w:after="0" w:line="276" w:lineRule="auto"/>
              <w:ind w:right="340"/>
              <w:jc w:val="right"/>
              <w:rPr>
                <w:rFonts w:asciiTheme="majorHAnsi" w:eastAsia="Times New Roman" w:hAnsiTheme="majorHAnsi" w:cstheme="majorHAnsi"/>
                <w:sz w:val="20"/>
                <w:szCs w:val="20"/>
                <w:lang w:eastAsia="pl-PL"/>
              </w:rPr>
            </w:pPr>
            <w:r w:rsidRPr="00F25EBD">
              <w:rPr>
                <w:rFonts w:asciiTheme="majorHAnsi" w:eastAsia="Times New Roman" w:hAnsiTheme="majorHAnsi" w:cstheme="majorHAnsi"/>
                <w:sz w:val="20"/>
                <w:szCs w:val="20"/>
                <w:lang w:eastAsia="pl-PL"/>
              </w:rPr>
              <w:t>1,0</w:t>
            </w:r>
          </w:p>
        </w:tc>
      </w:tr>
    </w:tbl>
    <w:p w14:paraId="3A32ECFF" w14:textId="77777777" w:rsidR="00EA2B5F" w:rsidRPr="00F25EBD" w:rsidRDefault="00EA2B5F" w:rsidP="00FC7062">
      <w:pPr>
        <w:spacing w:after="0" w:line="276" w:lineRule="auto"/>
        <w:jc w:val="both"/>
        <w:rPr>
          <w:rFonts w:asciiTheme="majorHAnsi" w:hAnsiTheme="majorHAnsi" w:cstheme="majorHAnsi"/>
          <w:sz w:val="18"/>
          <w:szCs w:val="18"/>
        </w:rPr>
      </w:pPr>
      <w:r w:rsidRPr="00F25EBD">
        <w:rPr>
          <w:rFonts w:asciiTheme="majorHAnsi" w:hAnsiTheme="majorHAnsi" w:cstheme="majorHAnsi"/>
          <w:sz w:val="18"/>
          <w:szCs w:val="18"/>
        </w:rPr>
        <w:t>Źródło: opracowanie własne na podstawie danych BDL.</w:t>
      </w:r>
    </w:p>
    <w:p w14:paraId="4EBAB76C" w14:textId="77777777" w:rsidR="00EA2B5F" w:rsidRPr="00F25EBD" w:rsidRDefault="00EA2B5F" w:rsidP="00FC7062">
      <w:pPr>
        <w:spacing w:after="0" w:line="276" w:lineRule="auto"/>
        <w:jc w:val="both"/>
        <w:rPr>
          <w:rFonts w:asciiTheme="majorHAnsi" w:hAnsiTheme="majorHAnsi" w:cstheme="majorHAnsi"/>
        </w:rPr>
      </w:pPr>
    </w:p>
    <w:p w14:paraId="504D998C" w14:textId="77777777" w:rsidR="008543EA" w:rsidRDefault="008543EA" w:rsidP="008543EA">
      <w:pPr>
        <w:pStyle w:val="Nagwek1"/>
        <w:spacing w:line="276" w:lineRule="auto"/>
        <w:jc w:val="both"/>
        <w:rPr>
          <w:rFonts w:cstheme="majorHAnsi"/>
        </w:rPr>
      </w:pPr>
      <w:r>
        <w:rPr>
          <w:rFonts w:cstheme="majorHAnsi"/>
        </w:rPr>
        <w:br w:type="page"/>
      </w:r>
    </w:p>
    <w:p w14:paraId="6C1B7A55" w14:textId="4C0873F7" w:rsidR="00EA2B5F" w:rsidRPr="00F25EBD" w:rsidRDefault="008543EA" w:rsidP="008543EA">
      <w:pPr>
        <w:pStyle w:val="Nagwek1"/>
        <w:spacing w:line="276" w:lineRule="auto"/>
        <w:jc w:val="both"/>
        <w:rPr>
          <w:rFonts w:cstheme="majorHAnsi"/>
        </w:rPr>
      </w:pPr>
      <w:bookmarkStart w:id="56" w:name="_Toc77070613"/>
      <w:r>
        <w:rPr>
          <w:rFonts w:cstheme="majorHAnsi"/>
        </w:rPr>
        <w:t xml:space="preserve">6. </w:t>
      </w:r>
      <w:r w:rsidR="00EA2B5F" w:rsidRPr="00F25EBD">
        <w:rPr>
          <w:rFonts w:cstheme="majorHAnsi"/>
        </w:rPr>
        <w:t>Infrastruktura społeczna</w:t>
      </w:r>
      <w:bookmarkEnd w:id="56"/>
    </w:p>
    <w:p w14:paraId="715C8101" w14:textId="45B4DDB5" w:rsidR="00EA2B5F" w:rsidRPr="002C7D64" w:rsidRDefault="002C7D64" w:rsidP="002C7D64">
      <w:pPr>
        <w:pStyle w:val="Nagwek2"/>
      </w:pPr>
      <w:bookmarkStart w:id="57" w:name="_Toc77070614"/>
      <w:r w:rsidRPr="002C7D64">
        <w:t xml:space="preserve">6.1 </w:t>
      </w:r>
      <w:r w:rsidR="00EA2B5F" w:rsidRPr="002C7D64">
        <w:t>Edukacja</w:t>
      </w:r>
      <w:bookmarkEnd w:id="57"/>
    </w:p>
    <w:p w14:paraId="6B24492F" w14:textId="256D3F31" w:rsidR="00EA2B5F" w:rsidRPr="00F25EBD" w:rsidRDefault="00EA2B5F" w:rsidP="008A3FED">
      <w:pPr>
        <w:spacing w:line="276" w:lineRule="auto"/>
        <w:jc w:val="both"/>
        <w:rPr>
          <w:rFonts w:asciiTheme="majorHAnsi" w:hAnsiTheme="majorHAnsi" w:cstheme="majorHAnsi"/>
        </w:rPr>
      </w:pPr>
      <w:r w:rsidRPr="00F25EBD">
        <w:rPr>
          <w:rFonts w:asciiTheme="majorHAnsi" w:hAnsiTheme="majorHAnsi" w:cstheme="majorHAnsi"/>
        </w:rPr>
        <w:t>Współcześnie przyjmuje się, że podstawowym zasobem, który pozwala na osiągnięcie konkurencyjności i</w:t>
      </w:r>
      <w:r w:rsidR="007B04A7">
        <w:rPr>
          <w:rFonts w:asciiTheme="majorHAnsi" w:hAnsiTheme="majorHAnsi" w:cstheme="majorHAnsi"/>
        </w:rPr>
        <w:t xml:space="preserve"> </w:t>
      </w:r>
      <w:r w:rsidRPr="00F25EBD">
        <w:rPr>
          <w:rFonts w:asciiTheme="majorHAnsi" w:hAnsiTheme="majorHAnsi" w:cstheme="majorHAnsi"/>
        </w:rPr>
        <w:t>wysokiego poziomu rozwoju jest wiedza. Jej nośnikiem jest wysokiej jakości kapitał ludzki</w:t>
      </w:r>
      <w:r w:rsidRPr="00F25EBD">
        <w:rPr>
          <w:rStyle w:val="Odwoanieprzypisudolnego"/>
          <w:rFonts w:asciiTheme="majorHAnsi" w:hAnsiTheme="majorHAnsi" w:cstheme="majorHAnsi"/>
        </w:rPr>
        <w:footnoteReference w:id="34"/>
      </w:r>
      <w:r w:rsidRPr="00F25EBD">
        <w:rPr>
          <w:rFonts w:asciiTheme="majorHAnsi" w:hAnsiTheme="majorHAnsi" w:cstheme="majorHAnsi"/>
        </w:rPr>
        <w:t>, który zdaniem G. S. Beckera (autora koncepcji inwestowania w kapitał ludzki) można osiągnąć poprzez wspieranie edukacji, zdobywanie doświadczenia w pracy, szkolenia, opiekę medyczną, a</w:t>
      </w:r>
      <w:r w:rsidR="007B04A7">
        <w:rPr>
          <w:rFonts w:asciiTheme="majorHAnsi" w:hAnsiTheme="majorHAnsi" w:cstheme="majorHAnsi"/>
        </w:rPr>
        <w:t xml:space="preserve"> </w:t>
      </w:r>
      <w:r w:rsidRPr="00F25EBD">
        <w:rPr>
          <w:rFonts w:asciiTheme="majorHAnsi" w:hAnsiTheme="majorHAnsi" w:cstheme="majorHAnsi"/>
        </w:rPr>
        <w:t>także zdobywanie informacji na temat funkcjonowania gospodarki</w:t>
      </w:r>
      <w:r w:rsidRPr="00F25EBD">
        <w:rPr>
          <w:rStyle w:val="Odwoanieprzypisudolnego"/>
          <w:rFonts w:asciiTheme="majorHAnsi" w:hAnsiTheme="majorHAnsi" w:cstheme="majorHAnsi"/>
        </w:rPr>
        <w:footnoteReference w:id="35"/>
      </w:r>
      <w:r w:rsidRPr="00F25EBD">
        <w:rPr>
          <w:rFonts w:asciiTheme="majorHAnsi" w:hAnsiTheme="majorHAnsi" w:cstheme="majorHAnsi"/>
        </w:rPr>
        <w:t>. Szczególnie podkreśla się tu rolę edukacji wskazując, że proces kształcenia w różnego typu szkołach sprzyja nabywaniu wiedzy, kształtowaniu umiejętności i kompetencji oraz systemu wartości i postaw niezbędnych w życiu zawodowym i</w:t>
      </w:r>
      <w:r w:rsidR="007B04A7">
        <w:rPr>
          <w:rFonts w:asciiTheme="majorHAnsi" w:hAnsiTheme="majorHAnsi" w:cstheme="majorHAnsi"/>
        </w:rPr>
        <w:t xml:space="preserve"> </w:t>
      </w:r>
      <w:r w:rsidRPr="00F25EBD">
        <w:rPr>
          <w:rFonts w:asciiTheme="majorHAnsi" w:hAnsiTheme="majorHAnsi" w:cstheme="majorHAnsi"/>
        </w:rPr>
        <w:t>relacjach społecznych młodego człowieka</w:t>
      </w:r>
      <w:r w:rsidRPr="00F25EBD">
        <w:rPr>
          <w:rStyle w:val="Odwoanieprzypisudolnego"/>
          <w:rFonts w:asciiTheme="majorHAnsi" w:hAnsiTheme="majorHAnsi" w:cstheme="majorHAnsi"/>
        </w:rPr>
        <w:footnoteReference w:id="36"/>
      </w:r>
      <w:r w:rsidRPr="00F25EBD">
        <w:rPr>
          <w:rFonts w:asciiTheme="majorHAnsi" w:hAnsiTheme="majorHAnsi" w:cstheme="majorHAnsi"/>
        </w:rPr>
        <w:t>.</w:t>
      </w:r>
    </w:p>
    <w:p w14:paraId="48BA8444" w14:textId="5D0EBDAF" w:rsidR="00EA2B5F" w:rsidRPr="00F25EBD" w:rsidRDefault="00EA2B5F" w:rsidP="008A3FED">
      <w:pPr>
        <w:spacing w:line="276" w:lineRule="auto"/>
        <w:jc w:val="both"/>
        <w:rPr>
          <w:rFonts w:asciiTheme="majorHAnsi" w:hAnsiTheme="majorHAnsi" w:cstheme="majorHAnsi"/>
        </w:rPr>
      </w:pPr>
      <w:r w:rsidRPr="00F25EBD">
        <w:rPr>
          <w:rFonts w:asciiTheme="majorHAnsi" w:hAnsiTheme="majorHAnsi" w:cstheme="majorHAnsi"/>
        </w:rPr>
        <w:t>Najefektywniejsza edukacja ma miejsce wówczas gdy w sposób odpowiedzialny rozpoczynana jest od najmłodszych lat życia człowieka. Pierwsze próby łączenia opieki nad dzieckiem z kształtowaniem odpowiednich postaw społecznych i przekazywaniem wiedzy o otaczającym go świecie rozpoczynają się już w żłobku. W 2018</w:t>
      </w:r>
      <w:r w:rsidR="00F7062F">
        <w:rPr>
          <w:rFonts w:asciiTheme="majorHAnsi" w:hAnsiTheme="majorHAnsi" w:cstheme="majorHAnsi"/>
        </w:rPr>
        <w:t>r.</w:t>
      </w:r>
      <w:r w:rsidRPr="00F25EBD">
        <w:rPr>
          <w:rFonts w:asciiTheme="majorHAnsi" w:hAnsiTheme="majorHAnsi" w:cstheme="majorHAnsi"/>
        </w:rPr>
        <w:t xml:space="preserve"> na terenie Południowych Mazur funkcjonowało 5 tego typu placówek, z</w:t>
      </w:r>
      <w:r w:rsidR="007B04A7">
        <w:rPr>
          <w:rFonts w:asciiTheme="majorHAnsi" w:hAnsiTheme="majorHAnsi" w:cstheme="majorHAnsi"/>
        </w:rPr>
        <w:t xml:space="preserve"> </w:t>
      </w:r>
      <w:r w:rsidRPr="00F25EBD">
        <w:rPr>
          <w:rFonts w:asciiTheme="majorHAnsi" w:hAnsiTheme="majorHAnsi" w:cstheme="majorHAnsi"/>
        </w:rPr>
        <w:t>czego 2 w powiecie działdowskim i po jednej w pozostałych. Dodatkowo, w powiecie działdowskim działały dwa kluby dziecięce. Łącznie instytucje te oferowały 175 miejsc, czego niemal połowa (49,7%) znajdowała się w powiecie działdowskim. W grudniu 2018</w:t>
      </w:r>
      <w:r w:rsidR="00F7062F">
        <w:rPr>
          <w:rFonts w:asciiTheme="majorHAnsi" w:hAnsiTheme="majorHAnsi" w:cstheme="majorHAnsi"/>
        </w:rPr>
        <w:t>r.</w:t>
      </w:r>
      <w:r w:rsidRPr="00F25EBD">
        <w:rPr>
          <w:rFonts w:asciiTheme="majorHAnsi" w:hAnsiTheme="majorHAnsi" w:cstheme="majorHAnsi"/>
        </w:rPr>
        <w:t xml:space="preserve"> przebywało w nich 150 dzieci, a</w:t>
      </w:r>
      <w:r w:rsidR="007B04A7">
        <w:rPr>
          <w:rFonts w:asciiTheme="majorHAnsi" w:hAnsiTheme="majorHAnsi" w:cstheme="majorHAnsi"/>
        </w:rPr>
        <w:t xml:space="preserve"> </w:t>
      </w:r>
      <w:r w:rsidRPr="00F25EBD">
        <w:rPr>
          <w:rFonts w:asciiTheme="majorHAnsi" w:hAnsiTheme="majorHAnsi" w:cstheme="majorHAnsi"/>
        </w:rPr>
        <w:t xml:space="preserve">pełne obłożenie wystąpiło jedynie w dwóch powiatach, tj. w </w:t>
      </w:r>
      <w:proofErr w:type="spellStart"/>
      <w:r w:rsidRPr="00F25EBD">
        <w:rPr>
          <w:rFonts w:asciiTheme="majorHAnsi" w:hAnsiTheme="majorHAnsi" w:cstheme="majorHAnsi"/>
        </w:rPr>
        <w:t>piskim</w:t>
      </w:r>
      <w:proofErr w:type="spellEnd"/>
      <w:r w:rsidRPr="00F25EBD">
        <w:rPr>
          <w:rFonts w:asciiTheme="majorHAnsi" w:hAnsiTheme="majorHAnsi" w:cstheme="majorHAnsi"/>
        </w:rPr>
        <w:t xml:space="preserve"> i szczycieńskim. </w:t>
      </w:r>
    </w:p>
    <w:p w14:paraId="26CB18B7" w14:textId="3DD3D6CC" w:rsidR="00EA2B5F" w:rsidRPr="00F25EBD" w:rsidRDefault="00EA2B5F" w:rsidP="008A3FED">
      <w:pPr>
        <w:spacing w:line="276" w:lineRule="auto"/>
        <w:jc w:val="both"/>
        <w:rPr>
          <w:rFonts w:asciiTheme="majorHAnsi" w:hAnsiTheme="majorHAnsi" w:cstheme="majorHAnsi"/>
        </w:rPr>
      </w:pPr>
      <w:r w:rsidRPr="00F25EBD">
        <w:rPr>
          <w:rFonts w:asciiTheme="majorHAnsi" w:hAnsiTheme="majorHAnsi" w:cstheme="majorHAnsi"/>
        </w:rPr>
        <w:t>Kolejnym etapem rozwoju człowieka jest edukacja przedszkolna. W 2018</w:t>
      </w:r>
      <w:r w:rsidR="00F7062F">
        <w:rPr>
          <w:rFonts w:asciiTheme="majorHAnsi" w:hAnsiTheme="majorHAnsi" w:cstheme="majorHAnsi"/>
        </w:rPr>
        <w:t>r.</w:t>
      </w:r>
      <w:r w:rsidRPr="00F25EBD">
        <w:rPr>
          <w:rFonts w:asciiTheme="majorHAnsi" w:hAnsiTheme="majorHAnsi" w:cstheme="majorHAnsi"/>
        </w:rPr>
        <w:t xml:space="preserve"> mieszkańcy Południowych Mazur mieli do dyspozycji 48 tego typu instytucji, w tym dwa przedszkola specjalne zlokalizowane w</w:t>
      </w:r>
      <w:r w:rsidR="007B04A7">
        <w:rPr>
          <w:rFonts w:asciiTheme="majorHAnsi" w:hAnsiTheme="majorHAnsi" w:cstheme="majorHAnsi"/>
        </w:rPr>
        <w:t xml:space="preserve"> </w:t>
      </w:r>
      <w:r w:rsidRPr="00F25EBD">
        <w:rPr>
          <w:rFonts w:asciiTheme="majorHAnsi" w:hAnsiTheme="majorHAnsi" w:cstheme="majorHAnsi"/>
        </w:rPr>
        <w:t>powiecie szczycieńskim i jedno w nidzickim. Adekwatnie do wielkości jednostki terytorialnej, niemal połowa przedszkoli zlokalizowana była w powiecie szczycieńskim (46,9%), a ok. ¼ w</w:t>
      </w:r>
      <w:r w:rsidR="007B04A7">
        <w:rPr>
          <w:rFonts w:asciiTheme="majorHAnsi" w:hAnsiTheme="majorHAnsi" w:cstheme="majorHAnsi"/>
        </w:rPr>
        <w:t xml:space="preserve"> </w:t>
      </w:r>
      <w:r w:rsidRPr="00F25EBD">
        <w:rPr>
          <w:rFonts w:asciiTheme="majorHAnsi" w:hAnsiTheme="majorHAnsi" w:cstheme="majorHAnsi"/>
        </w:rPr>
        <w:t>działdowskim. Większość z nich prowadzona była przez jednostki samorządu gminnego, tj. 8 na 12 w</w:t>
      </w:r>
      <w:r w:rsidR="007B04A7">
        <w:rPr>
          <w:rFonts w:asciiTheme="majorHAnsi" w:hAnsiTheme="majorHAnsi" w:cstheme="majorHAnsi"/>
        </w:rPr>
        <w:t xml:space="preserve"> </w:t>
      </w:r>
      <w:r w:rsidRPr="00F25EBD">
        <w:rPr>
          <w:rFonts w:asciiTheme="majorHAnsi" w:hAnsiTheme="majorHAnsi" w:cstheme="majorHAnsi"/>
        </w:rPr>
        <w:t xml:space="preserve">powiecie działdowskim, 3 na 5 w nidzickim, 6 na 8 w </w:t>
      </w:r>
      <w:proofErr w:type="spellStart"/>
      <w:r w:rsidRPr="00F25EBD">
        <w:rPr>
          <w:rFonts w:asciiTheme="majorHAnsi" w:hAnsiTheme="majorHAnsi" w:cstheme="majorHAnsi"/>
        </w:rPr>
        <w:t>piskim</w:t>
      </w:r>
      <w:proofErr w:type="spellEnd"/>
      <w:r w:rsidRPr="00F25EBD">
        <w:rPr>
          <w:rFonts w:asciiTheme="majorHAnsi" w:hAnsiTheme="majorHAnsi" w:cstheme="majorHAnsi"/>
        </w:rPr>
        <w:t xml:space="preserve"> i 13 na 21 w szczycieńskim. Dodatkowo, jedno przedszkole specjalne prowadzone było przez powiat szczycieński. W</w:t>
      </w:r>
      <w:r w:rsidR="007B04A7">
        <w:rPr>
          <w:rFonts w:asciiTheme="majorHAnsi" w:hAnsiTheme="majorHAnsi" w:cstheme="majorHAnsi"/>
        </w:rPr>
        <w:t xml:space="preserve"> </w:t>
      </w:r>
      <w:r w:rsidRPr="00F25EBD">
        <w:rPr>
          <w:rFonts w:asciiTheme="majorHAnsi" w:hAnsiTheme="majorHAnsi" w:cstheme="majorHAnsi"/>
        </w:rPr>
        <w:t>przedszkolach Południowych Mazur funkcjonowało łącznie 238 oddziałów, w których było 5.242 miejsc (w tym 44 w przedszkolach specjalnych). Na jedno miejsce przypadało średnio więcej niż jedno dziecko (1,3),</w:t>
      </w:r>
      <w:r w:rsidR="00B34211">
        <w:rPr>
          <w:rFonts w:asciiTheme="majorHAnsi" w:hAnsiTheme="majorHAnsi" w:cstheme="majorHAnsi"/>
        </w:rPr>
        <w:t xml:space="preserve"> </w:t>
      </w:r>
      <w:r w:rsidRPr="00F25EBD">
        <w:rPr>
          <w:rFonts w:asciiTheme="majorHAnsi" w:hAnsiTheme="majorHAnsi" w:cstheme="majorHAnsi"/>
        </w:rPr>
        <w:t xml:space="preserve">tj. więcej niż wynosił poziom wskaźnika w Polsce (0,89) i województwie warmińsko-mazurskim (1,0). Nadwyżka popytu nad podażą miejsc przedszkolnych widoczna była przede wszystkim w powiecie nidzickim (1,74), a także działdowskim (1,28) i </w:t>
      </w:r>
      <w:proofErr w:type="spellStart"/>
      <w:r w:rsidRPr="00F25EBD">
        <w:rPr>
          <w:rFonts w:asciiTheme="majorHAnsi" w:hAnsiTheme="majorHAnsi" w:cstheme="majorHAnsi"/>
        </w:rPr>
        <w:t>piskim</w:t>
      </w:r>
      <w:proofErr w:type="spellEnd"/>
      <w:r w:rsidRPr="00F25EBD">
        <w:rPr>
          <w:rFonts w:asciiTheme="majorHAnsi" w:hAnsiTheme="majorHAnsi" w:cstheme="majorHAnsi"/>
        </w:rPr>
        <w:t xml:space="preserve"> (1,22).</w:t>
      </w:r>
    </w:p>
    <w:p w14:paraId="3DE568A6" w14:textId="782DED16" w:rsidR="00EA2B5F" w:rsidRPr="00F25EBD" w:rsidRDefault="00EA2B5F" w:rsidP="008A3FED">
      <w:pPr>
        <w:spacing w:line="276" w:lineRule="auto"/>
        <w:jc w:val="both"/>
        <w:rPr>
          <w:rFonts w:asciiTheme="majorHAnsi" w:hAnsiTheme="majorHAnsi" w:cstheme="majorHAnsi"/>
        </w:rPr>
      </w:pPr>
      <w:r w:rsidRPr="00F25EBD">
        <w:rPr>
          <w:rFonts w:asciiTheme="majorHAnsi" w:hAnsiTheme="majorHAnsi" w:cstheme="majorHAnsi"/>
        </w:rPr>
        <w:t>Młody człowiek zaczyna stawiać pierwsze poważne kroki w zakresie edukacji na etapie szkoły podstawowej. W 2018</w:t>
      </w:r>
      <w:r w:rsidR="00F7062F">
        <w:rPr>
          <w:rFonts w:asciiTheme="majorHAnsi" w:hAnsiTheme="majorHAnsi" w:cstheme="majorHAnsi"/>
        </w:rPr>
        <w:t>r.</w:t>
      </w:r>
      <w:r w:rsidRPr="00F25EBD">
        <w:rPr>
          <w:rFonts w:asciiTheme="majorHAnsi" w:hAnsiTheme="majorHAnsi" w:cstheme="majorHAnsi"/>
        </w:rPr>
        <w:t xml:space="preserve"> w powiatach Południowych Mazur funkcjonowało 10</w:t>
      </w:r>
      <w:r w:rsidR="002C7D64">
        <w:rPr>
          <w:rFonts w:asciiTheme="majorHAnsi" w:hAnsiTheme="majorHAnsi" w:cstheme="majorHAnsi"/>
        </w:rPr>
        <w:t>5 tego typu placówek, w </w:t>
      </w:r>
      <w:r w:rsidRPr="00F25EBD">
        <w:rPr>
          <w:rFonts w:asciiTheme="majorHAnsi" w:hAnsiTheme="majorHAnsi" w:cstheme="majorHAnsi"/>
        </w:rPr>
        <w:t>których w</w:t>
      </w:r>
      <w:r w:rsidR="007B04A7">
        <w:rPr>
          <w:rFonts w:asciiTheme="majorHAnsi" w:hAnsiTheme="majorHAnsi" w:cstheme="majorHAnsi"/>
        </w:rPr>
        <w:t xml:space="preserve"> </w:t>
      </w:r>
      <w:r w:rsidRPr="00F25EBD">
        <w:rPr>
          <w:rFonts w:asciiTheme="majorHAnsi" w:hAnsiTheme="majorHAnsi" w:cstheme="majorHAnsi"/>
        </w:rPr>
        <w:t>1.129 oddziałach uczyło się 18.171 dzieci. Oznacza to, że średnio w klasie było ok. 16 uczniów, co z</w:t>
      </w:r>
      <w:r w:rsidR="007B04A7">
        <w:rPr>
          <w:rFonts w:asciiTheme="majorHAnsi" w:hAnsiTheme="majorHAnsi" w:cstheme="majorHAnsi"/>
        </w:rPr>
        <w:t xml:space="preserve"> </w:t>
      </w:r>
      <w:r w:rsidRPr="00F25EBD">
        <w:rPr>
          <w:rFonts w:asciiTheme="majorHAnsi" w:hAnsiTheme="majorHAnsi" w:cstheme="majorHAnsi"/>
        </w:rPr>
        <w:t>punktu widzenia efektywności pracy można uznać za wynik optymalny. Proces dydaktyczny prowadzony był przez nauczycieli, zatrudnionych na 1.568,88 etatu, z czego 42,52</w:t>
      </w:r>
      <w:r w:rsidR="001522BD">
        <w:rPr>
          <w:rFonts w:asciiTheme="majorHAnsi" w:hAnsiTheme="majorHAnsi" w:cstheme="majorHAnsi"/>
        </w:rPr>
        <w:t>%</w:t>
      </w:r>
      <w:r w:rsidRPr="00F25EBD">
        <w:rPr>
          <w:rFonts w:asciiTheme="majorHAnsi" w:hAnsiTheme="majorHAnsi" w:cstheme="majorHAnsi"/>
        </w:rPr>
        <w:t xml:space="preserve"> przypadało na szkoły specjalne. Organem prowadzącym dla większości jednostek był samorząd gminny (82,7%), a w przypadku szkół specjalnych</w:t>
      </w:r>
      <w:r w:rsidR="00336D76" w:rsidRPr="00F25EBD">
        <w:rPr>
          <w:rFonts w:asciiTheme="majorHAnsi" w:hAnsiTheme="majorHAnsi" w:cstheme="majorHAnsi"/>
        </w:rPr>
        <w:t xml:space="preserve"> - </w:t>
      </w:r>
      <w:r w:rsidRPr="00F25EBD">
        <w:rPr>
          <w:rFonts w:asciiTheme="majorHAnsi" w:hAnsiTheme="majorHAnsi" w:cstheme="majorHAnsi"/>
        </w:rPr>
        <w:t xml:space="preserve">samorząd powiatowy (75,0%). Gestorem pozostałej części były różnego rodzaju organizacje i stowarzyszenia. Charakterystykę szkół podstawowych w układzie poszczególnych powiatów Południowych Mazur zestawiono w tabeli poniżej. Widoczny w niej znaczący przyrost liczby oddziałów i etatów nauczycielskich to w dużej części efekt </w:t>
      </w:r>
      <w:r w:rsidR="002C7D64">
        <w:rPr>
          <w:rFonts w:asciiTheme="majorHAnsi" w:eastAsia="Calibri" w:hAnsiTheme="majorHAnsi" w:cstheme="majorHAnsi"/>
        </w:rPr>
        <w:t>reformy systemu oświaty z </w:t>
      </w:r>
      <w:r w:rsidRPr="00F25EBD">
        <w:rPr>
          <w:rFonts w:asciiTheme="majorHAnsi" w:eastAsia="Calibri" w:hAnsiTheme="majorHAnsi" w:cstheme="majorHAnsi"/>
        </w:rPr>
        <w:t>2017</w:t>
      </w:r>
      <w:r w:rsidR="00F7062F">
        <w:rPr>
          <w:rFonts w:asciiTheme="majorHAnsi" w:eastAsia="Calibri" w:hAnsiTheme="majorHAnsi" w:cstheme="majorHAnsi"/>
        </w:rPr>
        <w:t>r.</w:t>
      </w:r>
      <w:r w:rsidRPr="00F25EBD">
        <w:rPr>
          <w:rFonts w:asciiTheme="majorHAnsi" w:eastAsia="Calibri" w:hAnsiTheme="majorHAnsi" w:cstheme="majorHAnsi"/>
        </w:rPr>
        <w:t>, która polegała m.in. na wydłużeniu nauki w szkole podstawowej (z 6 do 8 lat) i likwidacji gimnazjów</w:t>
      </w:r>
      <w:r w:rsidRPr="00F25EBD">
        <w:rPr>
          <w:rFonts w:asciiTheme="majorHAnsi" w:eastAsia="Calibri" w:hAnsiTheme="majorHAnsi" w:cstheme="majorHAnsi"/>
          <w:vertAlign w:val="superscript"/>
        </w:rPr>
        <w:footnoteReference w:id="37"/>
      </w:r>
      <w:r w:rsidRPr="00F25EBD">
        <w:rPr>
          <w:rFonts w:asciiTheme="majorHAnsi" w:eastAsia="Calibri" w:hAnsiTheme="majorHAnsi" w:cstheme="majorHAnsi"/>
        </w:rPr>
        <w:t>.</w:t>
      </w:r>
    </w:p>
    <w:p w14:paraId="1DA055C4" w14:textId="011E9ABE" w:rsidR="00EA2B5F" w:rsidRPr="002C7D64" w:rsidRDefault="00EA2B5F" w:rsidP="002C7D64">
      <w:pPr>
        <w:pStyle w:val="nad"/>
      </w:pPr>
      <w:bookmarkStart w:id="58" w:name="_Toc81300538"/>
      <w:r w:rsidRPr="002C7D64">
        <w:t xml:space="preserve">Tabela </w:t>
      </w:r>
      <w:r w:rsidRPr="002C7D64">
        <w:rPr>
          <w:noProof/>
        </w:rPr>
        <w:fldChar w:fldCharType="begin"/>
      </w:r>
      <w:r w:rsidRPr="002C7D64">
        <w:rPr>
          <w:noProof/>
        </w:rPr>
        <w:instrText xml:space="preserve"> SEQ Tabela \* ARABIC </w:instrText>
      </w:r>
      <w:r w:rsidRPr="002C7D64">
        <w:rPr>
          <w:noProof/>
        </w:rPr>
        <w:fldChar w:fldCharType="separate"/>
      </w:r>
      <w:r w:rsidR="006C7815">
        <w:rPr>
          <w:noProof/>
        </w:rPr>
        <w:t>12</w:t>
      </w:r>
      <w:r w:rsidRPr="002C7D64">
        <w:rPr>
          <w:noProof/>
        </w:rPr>
        <w:fldChar w:fldCharType="end"/>
      </w:r>
      <w:r w:rsidRPr="002C7D64">
        <w:t>. Charakterystyka szkolnictwa podstawowego w powiatach Południowych Mazur (2018</w:t>
      </w:r>
      <w:r w:rsidR="00F7062F">
        <w:t>r.</w:t>
      </w:r>
      <w:r w:rsidRPr="002C7D64">
        <w:t>)</w:t>
      </w:r>
      <w:bookmarkEnd w:id="5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021"/>
        <w:gridCol w:w="1953"/>
        <w:gridCol w:w="1270"/>
        <w:gridCol w:w="1272"/>
        <w:gridCol w:w="1272"/>
        <w:gridCol w:w="1272"/>
      </w:tblGrid>
      <w:tr w:rsidR="002C7D64" w:rsidRPr="002C7D64" w14:paraId="0F5DAC6F" w14:textId="77777777" w:rsidTr="002C7D64">
        <w:trPr>
          <w:trHeight w:val="47"/>
        </w:trPr>
        <w:tc>
          <w:tcPr>
            <w:tcW w:w="1115" w:type="pct"/>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noWrap/>
            <w:vAlign w:val="center"/>
            <w:hideMark/>
          </w:tcPr>
          <w:p w14:paraId="2B0704D7" w14:textId="77777777" w:rsidR="00EA2B5F" w:rsidRPr="002C7D64" w:rsidRDefault="00EA2B5F" w:rsidP="002C7D64">
            <w:pPr>
              <w:spacing w:after="0" w:line="240" w:lineRule="auto"/>
              <w:jc w:val="center"/>
              <w:rPr>
                <w:rFonts w:asciiTheme="majorHAnsi" w:eastAsia="Times New Roman" w:hAnsiTheme="majorHAnsi" w:cstheme="majorHAnsi"/>
                <w:color w:val="FFFFFF" w:themeColor="background1"/>
                <w:sz w:val="20"/>
                <w:szCs w:val="20"/>
                <w:lang w:eastAsia="pl-PL"/>
              </w:rPr>
            </w:pPr>
            <w:r w:rsidRPr="002C7D64">
              <w:rPr>
                <w:rFonts w:asciiTheme="majorHAnsi" w:eastAsia="Times New Roman" w:hAnsiTheme="majorHAnsi" w:cstheme="majorHAnsi"/>
                <w:color w:val="FFFFFF" w:themeColor="background1"/>
                <w:sz w:val="20"/>
                <w:szCs w:val="20"/>
                <w:lang w:eastAsia="pl-PL"/>
              </w:rPr>
              <w:t>Wyszczególnienie</w:t>
            </w:r>
          </w:p>
        </w:tc>
        <w:tc>
          <w:tcPr>
            <w:tcW w:w="1078" w:type="pct"/>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noWrap/>
            <w:vAlign w:val="center"/>
            <w:hideMark/>
          </w:tcPr>
          <w:p w14:paraId="47516E44" w14:textId="77777777" w:rsidR="00EA2B5F" w:rsidRPr="002C7D64" w:rsidRDefault="00EA2B5F" w:rsidP="002C7D64">
            <w:pPr>
              <w:spacing w:after="0" w:line="240" w:lineRule="auto"/>
              <w:jc w:val="center"/>
              <w:rPr>
                <w:rFonts w:asciiTheme="majorHAnsi" w:eastAsia="Times New Roman" w:hAnsiTheme="majorHAnsi" w:cstheme="majorHAnsi"/>
                <w:color w:val="FFFFFF" w:themeColor="background1"/>
                <w:sz w:val="20"/>
                <w:szCs w:val="20"/>
                <w:lang w:eastAsia="pl-PL"/>
              </w:rPr>
            </w:pPr>
            <w:r w:rsidRPr="002C7D64">
              <w:rPr>
                <w:rFonts w:asciiTheme="majorHAnsi" w:eastAsia="Times New Roman" w:hAnsiTheme="majorHAnsi" w:cstheme="majorHAnsi"/>
                <w:color w:val="FFFFFF" w:themeColor="background1"/>
                <w:sz w:val="20"/>
                <w:szCs w:val="20"/>
                <w:lang w:eastAsia="pl-PL"/>
              </w:rPr>
              <w:t>Rok</w:t>
            </w:r>
          </w:p>
        </w:tc>
        <w:tc>
          <w:tcPr>
            <w:tcW w:w="2807" w:type="pct"/>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noWrap/>
            <w:vAlign w:val="bottom"/>
            <w:hideMark/>
          </w:tcPr>
          <w:p w14:paraId="1A000F75" w14:textId="77777777" w:rsidR="00EA2B5F" w:rsidRPr="002C7D64" w:rsidRDefault="00EA2B5F" w:rsidP="002C7D64">
            <w:pPr>
              <w:spacing w:after="0" w:line="240" w:lineRule="auto"/>
              <w:jc w:val="center"/>
              <w:rPr>
                <w:rFonts w:asciiTheme="majorHAnsi" w:eastAsia="Times New Roman" w:hAnsiTheme="majorHAnsi" w:cstheme="majorHAnsi"/>
                <w:color w:val="FFFFFF" w:themeColor="background1"/>
                <w:sz w:val="20"/>
                <w:szCs w:val="20"/>
                <w:lang w:eastAsia="pl-PL"/>
              </w:rPr>
            </w:pPr>
            <w:r w:rsidRPr="002C7D64">
              <w:rPr>
                <w:rFonts w:asciiTheme="majorHAnsi" w:eastAsia="Times New Roman" w:hAnsiTheme="majorHAnsi" w:cstheme="majorHAnsi"/>
                <w:color w:val="FFFFFF" w:themeColor="background1"/>
                <w:sz w:val="20"/>
                <w:szCs w:val="20"/>
                <w:lang w:eastAsia="pl-PL"/>
              </w:rPr>
              <w:t>Powiat</w:t>
            </w:r>
          </w:p>
        </w:tc>
      </w:tr>
      <w:tr w:rsidR="00EA2B5F" w:rsidRPr="002C7D64" w14:paraId="3E0A05AF" w14:textId="77777777" w:rsidTr="002C7D64">
        <w:trPr>
          <w:trHeight w:val="283"/>
        </w:trPr>
        <w:tc>
          <w:tcPr>
            <w:tcW w:w="1115" w:type="pct"/>
            <w:vMerge/>
            <w:tcBorders>
              <w:top w:val="single" w:sz="4" w:space="0" w:color="FFFFFF" w:themeColor="background1"/>
              <w:left w:val="single" w:sz="4" w:space="0" w:color="FFFFFF" w:themeColor="background1"/>
              <w:bottom w:val="nil"/>
              <w:right w:val="single" w:sz="4" w:space="0" w:color="FFFFFF" w:themeColor="background1"/>
            </w:tcBorders>
            <w:shd w:val="clear" w:color="auto" w:fill="auto"/>
            <w:noWrap/>
            <w:vAlign w:val="bottom"/>
            <w:hideMark/>
          </w:tcPr>
          <w:p w14:paraId="17ACE941" w14:textId="77777777" w:rsidR="00EA2B5F" w:rsidRPr="002C7D64" w:rsidRDefault="00EA2B5F" w:rsidP="002C7D64">
            <w:pPr>
              <w:spacing w:after="0" w:line="240" w:lineRule="auto"/>
              <w:ind w:left="284"/>
              <w:rPr>
                <w:rFonts w:asciiTheme="majorHAnsi" w:eastAsia="Times New Roman" w:hAnsiTheme="majorHAnsi" w:cstheme="majorHAnsi"/>
                <w:sz w:val="20"/>
                <w:szCs w:val="20"/>
                <w:lang w:eastAsia="pl-PL"/>
              </w:rPr>
            </w:pPr>
          </w:p>
        </w:tc>
        <w:tc>
          <w:tcPr>
            <w:tcW w:w="1078" w:type="pct"/>
            <w:vMerge/>
            <w:tcBorders>
              <w:top w:val="single" w:sz="4" w:space="0" w:color="FFFFFF" w:themeColor="background1"/>
              <w:left w:val="single" w:sz="4" w:space="0" w:color="FFFFFF" w:themeColor="background1"/>
              <w:bottom w:val="nil"/>
              <w:right w:val="single" w:sz="4" w:space="0" w:color="FFFFFF" w:themeColor="background1"/>
            </w:tcBorders>
            <w:shd w:val="clear" w:color="auto" w:fill="auto"/>
            <w:noWrap/>
            <w:vAlign w:val="bottom"/>
            <w:hideMark/>
          </w:tcPr>
          <w:p w14:paraId="5F7D2EAA" w14:textId="77777777" w:rsidR="00EA2B5F" w:rsidRPr="002C7D64" w:rsidRDefault="00EA2B5F" w:rsidP="002C7D64">
            <w:pPr>
              <w:spacing w:after="0" w:line="240" w:lineRule="auto"/>
              <w:rPr>
                <w:rFonts w:asciiTheme="majorHAnsi" w:eastAsia="Times New Roman" w:hAnsiTheme="majorHAnsi" w:cstheme="majorHAnsi"/>
                <w:sz w:val="20"/>
                <w:szCs w:val="20"/>
                <w:lang w:eastAsia="pl-PL"/>
              </w:rPr>
            </w:pPr>
          </w:p>
        </w:tc>
        <w:tc>
          <w:tcPr>
            <w:tcW w:w="701" w:type="pct"/>
            <w:tcBorders>
              <w:top w:val="single" w:sz="4" w:space="0" w:color="FFFFFF" w:themeColor="background1"/>
              <w:left w:val="single" w:sz="4" w:space="0" w:color="FFFFFF" w:themeColor="background1"/>
              <w:bottom w:val="nil"/>
              <w:right w:val="single" w:sz="4" w:space="0" w:color="FFFFFF" w:themeColor="background1"/>
            </w:tcBorders>
            <w:shd w:val="clear" w:color="auto" w:fill="92D050"/>
            <w:noWrap/>
            <w:vAlign w:val="bottom"/>
            <w:hideMark/>
          </w:tcPr>
          <w:p w14:paraId="6074179B" w14:textId="77777777" w:rsidR="00EA2B5F" w:rsidRPr="002C7D64" w:rsidRDefault="00EA2B5F" w:rsidP="002C7D64">
            <w:pPr>
              <w:spacing w:after="0" w:line="240" w:lineRule="auto"/>
              <w:jc w:val="center"/>
              <w:rPr>
                <w:rFonts w:asciiTheme="majorHAnsi" w:eastAsia="Times New Roman" w:hAnsiTheme="majorHAnsi" w:cstheme="majorHAnsi"/>
                <w:color w:val="FFFFFF" w:themeColor="background1"/>
                <w:sz w:val="20"/>
                <w:szCs w:val="20"/>
                <w:lang w:eastAsia="pl-PL"/>
              </w:rPr>
            </w:pPr>
            <w:r w:rsidRPr="002C7D64">
              <w:rPr>
                <w:rFonts w:asciiTheme="majorHAnsi" w:eastAsia="Times New Roman" w:hAnsiTheme="majorHAnsi" w:cstheme="majorHAnsi"/>
                <w:color w:val="FFFFFF" w:themeColor="background1"/>
                <w:sz w:val="20"/>
                <w:szCs w:val="20"/>
                <w:lang w:eastAsia="pl-PL"/>
              </w:rPr>
              <w:t>działdowski</w:t>
            </w:r>
          </w:p>
        </w:tc>
        <w:tc>
          <w:tcPr>
            <w:tcW w:w="702" w:type="pct"/>
            <w:tcBorders>
              <w:top w:val="single" w:sz="4" w:space="0" w:color="FFFFFF" w:themeColor="background1"/>
              <w:left w:val="single" w:sz="4" w:space="0" w:color="FFFFFF" w:themeColor="background1"/>
              <w:bottom w:val="nil"/>
              <w:right w:val="single" w:sz="4" w:space="0" w:color="FFFFFF" w:themeColor="background1"/>
            </w:tcBorders>
            <w:shd w:val="clear" w:color="auto" w:fill="92D050"/>
            <w:noWrap/>
            <w:vAlign w:val="bottom"/>
            <w:hideMark/>
          </w:tcPr>
          <w:p w14:paraId="60BA8C11" w14:textId="77777777" w:rsidR="00EA2B5F" w:rsidRPr="002C7D64" w:rsidRDefault="00EA2B5F" w:rsidP="002C7D64">
            <w:pPr>
              <w:spacing w:after="0" w:line="240" w:lineRule="auto"/>
              <w:jc w:val="center"/>
              <w:rPr>
                <w:rFonts w:asciiTheme="majorHAnsi" w:eastAsia="Times New Roman" w:hAnsiTheme="majorHAnsi" w:cstheme="majorHAnsi"/>
                <w:color w:val="FFFFFF" w:themeColor="background1"/>
                <w:sz w:val="20"/>
                <w:szCs w:val="20"/>
                <w:lang w:eastAsia="pl-PL"/>
              </w:rPr>
            </w:pPr>
            <w:r w:rsidRPr="002C7D64">
              <w:rPr>
                <w:rFonts w:asciiTheme="majorHAnsi" w:eastAsia="Times New Roman" w:hAnsiTheme="majorHAnsi" w:cstheme="majorHAnsi"/>
                <w:color w:val="FFFFFF" w:themeColor="background1"/>
                <w:sz w:val="20"/>
                <w:szCs w:val="20"/>
                <w:lang w:eastAsia="pl-PL"/>
              </w:rPr>
              <w:t>nidzicki</w:t>
            </w:r>
          </w:p>
        </w:tc>
        <w:tc>
          <w:tcPr>
            <w:tcW w:w="702" w:type="pct"/>
            <w:tcBorders>
              <w:top w:val="single" w:sz="4" w:space="0" w:color="FFFFFF" w:themeColor="background1"/>
              <w:left w:val="single" w:sz="4" w:space="0" w:color="FFFFFF" w:themeColor="background1"/>
              <w:bottom w:val="nil"/>
              <w:right w:val="single" w:sz="4" w:space="0" w:color="FFFFFF" w:themeColor="background1"/>
            </w:tcBorders>
            <w:shd w:val="clear" w:color="auto" w:fill="92D050"/>
            <w:noWrap/>
            <w:vAlign w:val="bottom"/>
            <w:hideMark/>
          </w:tcPr>
          <w:p w14:paraId="6F9C648E" w14:textId="77777777" w:rsidR="00EA2B5F" w:rsidRPr="002C7D64" w:rsidRDefault="00EA2B5F" w:rsidP="002C7D64">
            <w:pPr>
              <w:spacing w:after="0" w:line="240" w:lineRule="auto"/>
              <w:jc w:val="center"/>
              <w:rPr>
                <w:rFonts w:asciiTheme="majorHAnsi" w:eastAsia="Times New Roman" w:hAnsiTheme="majorHAnsi" w:cstheme="majorHAnsi"/>
                <w:color w:val="FFFFFF" w:themeColor="background1"/>
                <w:sz w:val="20"/>
                <w:szCs w:val="20"/>
                <w:lang w:eastAsia="pl-PL"/>
              </w:rPr>
            </w:pPr>
            <w:r w:rsidRPr="002C7D64">
              <w:rPr>
                <w:rFonts w:asciiTheme="majorHAnsi" w:eastAsia="Times New Roman" w:hAnsiTheme="majorHAnsi" w:cstheme="majorHAnsi"/>
                <w:color w:val="FFFFFF" w:themeColor="background1"/>
                <w:sz w:val="20"/>
                <w:szCs w:val="20"/>
                <w:lang w:eastAsia="pl-PL"/>
              </w:rPr>
              <w:t>piski</w:t>
            </w:r>
          </w:p>
        </w:tc>
        <w:tc>
          <w:tcPr>
            <w:tcW w:w="702" w:type="pct"/>
            <w:tcBorders>
              <w:top w:val="single" w:sz="4" w:space="0" w:color="FFFFFF" w:themeColor="background1"/>
              <w:left w:val="single" w:sz="4" w:space="0" w:color="FFFFFF" w:themeColor="background1"/>
              <w:bottom w:val="nil"/>
              <w:right w:val="single" w:sz="4" w:space="0" w:color="FFFFFF" w:themeColor="background1"/>
            </w:tcBorders>
            <w:shd w:val="clear" w:color="auto" w:fill="92D050"/>
            <w:noWrap/>
            <w:vAlign w:val="bottom"/>
            <w:hideMark/>
          </w:tcPr>
          <w:p w14:paraId="5DCA8981" w14:textId="77777777" w:rsidR="00EA2B5F" w:rsidRPr="002C7D64" w:rsidRDefault="00EA2B5F" w:rsidP="002C7D64">
            <w:pPr>
              <w:spacing w:after="0" w:line="240" w:lineRule="auto"/>
              <w:jc w:val="center"/>
              <w:rPr>
                <w:rFonts w:asciiTheme="majorHAnsi" w:eastAsia="Times New Roman" w:hAnsiTheme="majorHAnsi" w:cstheme="majorHAnsi"/>
                <w:color w:val="FFFFFF" w:themeColor="background1"/>
                <w:sz w:val="20"/>
                <w:szCs w:val="20"/>
                <w:lang w:eastAsia="pl-PL"/>
              </w:rPr>
            </w:pPr>
            <w:r w:rsidRPr="002C7D64">
              <w:rPr>
                <w:rFonts w:asciiTheme="majorHAnsi" w:eastAsia="Times New Roman" w:hAnsiTheme="majorHAnsi" w:cstheme="majorHAnsi"/>
                <w:color w:val="FFFFFF" w:themeColor="background1"/>
                <w:sz w:val="20"/>
                <w:szCs w:val="20"/>
                <w:lang w:eastAsia="pl-PL"/>
              </w:rPr>
              <w:t>szczycieński</w:t>
            </w:r>
          </w:p>
        </w:tc>
      </w:tr>
      <w:tr w:rsidR="00EA2B5F" w:rsidRPr="002C7D64" w14:paraId="0FA7D4B8" w14:textId="77777777" w:rsidTr="002C7D64">
        <w:trPr>
          <w:trHeight w:val="227"/>
        </w:trPr>
        <w:tc>
          <w:tcPr>
            <w:tcW w:w="1115" w:type="pct"/>
            <w:vMerge w:val="restart"/>
            <w:tcBorders>
              <w:top w:val="nil"/>
              <w:left w:val="nil"/>
              <w:bottom w:val="single" w:sz="4" w:space="0" w:color="808080" w:themeColor="background1" w:themeShade="80"/>
              <w:right w:val="nil"/>
            </w:tcBorders>
            <w:shd w:val="clear" w:color="auto" w:fill="auto"/>
            <w:vAlign w:val="center"/>
          </w:tcPr>
          <w:p w14:paraId="2188F307" w14:textId="77777777" w:rsidR="00EA2B5F" w:rsidRPr="002C7D64" w:rsidRDefault="00EA2B5F" w:rsidP="002C7D64">
            <w:pPr>
              <w:spacing w:after="0" w:line="240" w:lineRule="auto"/>
              <w:ind w:left="284"/>
              <w:rPr>
                <w:rFonts w:asciiTheme="majorHAnsi" w:eastAsia="Times New Roman" w:hAnsiTheme="majorHAnsi" w:cstheme="majorHAnsi"/>
                <w:sz w:val="20"/>
                <w:szCs w:val="20"/>
                <w:lang w:eastAsia="pl-PL"/>
              </w:rPr>
            </w:pPr>
            <w:r w:rsidRPr="002C7D64">
              <w:rPr>
                <w:rFonts w:asciiTheme="majorHAnsi" w:eastAsia="Times New Roman" w:hAnsiTheme="majorHAnsi" w:cstheme="majorHAnsi"/>
                <w:sz w:val="20"/>
                <w:szCs w:val="20"/>
                <w:lang w:eastAsia="pl-PL"/>
              </w:rPr>
              <w:t>Szkoły</w:t>
            </w:r>
          </w:p>
        </w:tc>
        <w:tc>
          <w:tcPr>
            <w:tcW w:w="1078" w:type="pct"/>
            <w:tcBorders>
              <w:top w:val="nil"/>
              <w:left w:val="nil"/>
              <w:bottom w:val="single" w:sz="4" w:space="0" w:color="808080" w:themeColor="background1" w:themeShade="80"/>
              <w:right w:val="nil"/>
            </w:tcBorders>
            <w:shd w:val="clear" w:color="auto" w:fill="auto"/>
            <w:vAlign w:val="center"/>
            <w:hideMark/>
          </w:tcPr>
          <w:p w14:paraId="1DE00EF7" w14:textId="77777777" w:rsidR="00EA2B5F" w:rsidRPr="002C7D64" w:rsidRDefault="00EA2B5F" w:rsidP="002C7D64">
            <w:pPr>
              <w:spacing w:after="0" w:line="240" w:lineRule="auto"/>
              <w:jc w:val="center"/>
              <w:rPr>
                <w:rFonts w:asciiTheme="majorHAnsi" w:eastAsia="Times New Roman" w:hAnsiTheme="majorHAnsi" w:cstheme="majorHAnsi"/>
                <w:sz w:val="20"/>
                <w:szCs w:val="20"/>
                <w:lang w:eastAsia="pl-PL"/>
              </w:rPr>
            </w:pPr>
            <w:r w:rsidRPr="002C7D64">
              <w:rPr>
                <w:rFonts w:asciiTheme="majorHAnsi" w:eastAsia="Times New Roman" w:hAnsiTheme="majorHAnsi" w:cstheme="majorHAnsi"/>
                <w:sz w:val="20"/>
                <w:szCs w:val="20"/>
                <w:lang w:eastAsia="pl-PL"/>
              </w:rPr>
              <w:t>2018</w:t>
            </w:r>
          </w:p>
        </w:tc>
        <w:tc>
          <w:tcPr>
            <w:tcW w:w="701" w:type="pct"/>
            <w:tcBorders>
              <w:top w:val="nil"/>
              <w:left w:val="nil"/>
              <w:bottom w:val="single" w:sz="4" w:space="0" w:color="808080" w:themeColor="background1" w:themeShade="80"/>
              <w:right w:val="nil"/>
            </w:tcBorders>
            <w:shd w:val="clear" w:color="auto" w:fill="auto"/>
            <w:noWrap/>
          </w:tcPr>
          <w:p w14:paraId="37AACEC8" w14:textId="77777777" w:rsidR="00EA2B5F" w:rsidRPr="002C7D64" w:rsidRDefault="00EA2B5F" w:rsidP="002C7D64">
            <w:pPr>
              <w:spacing w:after="0" w:line="240" w:lineRule="auto"/>
              <w:ind w:right="340"/>
              <w:jc w:val="right"/>
              <w:rPr>
                <w:rFonts w:asciiTheme="majorHAnsi" w:eastAsia="Times New Roman" w:hAnsiTheme="majorHAnsi" w:cstheme="majorHAnsi"/>
                <w:sz w:val="20"/>
                <w:szCs w:val="20"/>
                <w:lang w:eastAsia="pl-PL"/>
              </w:rPr>
            </w:pPr>
            <w:r w:rsidRPr="002C7D64">
              <w:rPr>
                <w:rFonts w:asciiTheme="majorHAnsi" w:hAnsiTheme="majorHAnsi" w:cstheme="majorHAnsi"/>
                <w:sz w:val="20"/>
                <w:szCs w:val="20"/>
              </w:rPr>
              <w:t>31,0</w:t>
            </w:r>
          </w:p>
        </w:tc>
        <w:tc>
          <w:tcPr>
            <w:tcW w:w="702" w:type="pct"/>
            <w:tcBorders>
              <w:top w:val="nil"/>
              <w:left w:val="nil"/>
              <w:bottom w:val="single" w:sz="4" w:space="0" w:color="808080" w:themeColor="background1" w:themeShade="80"/>
              <w:right w:val="nil"/>
            </w:tcBorders>
            <w:shd w:val="clear" w:color="auto" w:fill="auto"/>
            <w:noWrap/>
          </w:tcPr>
          <w:p w14:paraId="2ECB9936" w14:textId="77777777" w:rsidR="00EA2B5F" w:rsidRPr="002C7D64" w:rsidRDefault="00EA2B5F" w:rsidP="002C7D64">
            <w:pPr>
              <w:spacing w:after="0" w:line="240" w:lineRule="auto"/>
              <w:ind w:right="340"/>
              <w:jc w:val="right"/>
              <w:rPr>
                <w:rFonts w:asciiTheme="majorHAnsi" w:eastAsia="Times New Roman" w:hAnsiTheme="majorHAnsi" w:cstheme="majorHAnsi"/>
                <w:sz w:val="20"/>
                <w:szCs w:val="20"/>
                <w:lang w:eastAsia="pl-PL"/>
              </w:rPr>
            </w:pPr>
            <w:r w:rsidRPr="002C7D64">
              <w:rPr>
                <w:rFonts w:asciiTheme="majorHAnsi" w:hAnsiTheme="majorHAnsi" w:cstheme="majorHAnsi"/>
                <w:sz w:val="20"/>
                <w:szCs w:val="20"/>
              </w:rPr>
              <w:t>16,0</w:t>
            </w:r>
          </w:p>
        </w:tc>
        <w:tc>
          <w:tcPr>
            <w:tcW w:w="702" w:type="pct"/>
            <w:tcBorders>
              <w:top w:val="nil"/>
              <w:left w:val="nil"/>
              <w:bottom w:val="single" w:sz="4" w:space="0" w:color="808080" w:themeColor="background1" w:themeShade="80"/>
              <w:right w:val="nil"/>
            </w:tcBorders>
            <w:shd w:val="clear" w:color="auto" w:fill="auto"/>
            <w:noWrap/>
          </w:tcPr>
          <w:p w14:paraId="53C17C31" w14:textId="77777777" w:rsidR="00EA2B5F" w:rsidRPr="002C7D64" w:rsidRDefault="00EA2B5F" w:rsidP="002C7D64">
            <w:pPr>
              <w:spacing w:after="0" w:line="240" w:lineRule="auto"/>
              <w:ind w:right="340"/>
              <w:jc w:val="right"/>
              <w:rPr>
                <w:rFonts w:asciiTheme="majorHAnsi" w:eastAsia="Times New Roman" w:hAnsiTheme="majorHAnsi" w:cstheme="majorHAnsi"/>
                <w:sz w:val="20"/>
                <w:szCs w:val="20"/>
                <w:lang w:eastAsia="pl-PL"/>
              </w:rPr>
            </w:pPr>
            <w:r w:rsidRPr="002C7D64">
              <w:rPr>
                <w:rFonts w:asciiTheme="majorHAnsi" w:hAnsiTheme="majorHAnsi" w:cstheme="majorHAnsi"/>
                <w:sz w:val="20"/>
                <w:szCs w:val="20"/>
              </w:rPr>
              <w:t>26,0</w:t>
            </w:r>
          </w:p>
        </w:tc>
        <w:tc>
          <w:tcPr>
            <w:tcW w:w="702" w:type="pct"/>
            <w:tcBorders>
              <w:top w:val="nil"/>
              <w:left w:val="nil"/>
              <w:bottom w:val="single" w:sz="4" w:space="0" w:color="808080" w:themeColor="background1" w:themeShade="80"/>
              <w:right w:val="nil"/>
            </w:tcBorders>
            <w:shd w:val="clear" w:color="auto" w:fill="auto"/>
            <w:noWrap/>
          </w:tcPr>
          <w:p w14:paraId="40C639E5" w14:textId="77777777" w:rsidR="00EA2B5F" w:rsidRPr="002C7D64" w:rsidRDefault="00EA2B5F" w:rsidP="002C7D64">
            <w:pPr>
              <w:spacing w:after="0" w:line="240" w:lineRule="auto"/>
              <w:ind w:right="340"/>
              <w:jc w:val="right"/>
              <w:rPr>
                <w:rFonts w:asciiTheme="majorHAnsi" w:eastAsia="Times New Roman" w:hAnsiTheme="majorHAnsi" w:cstheme="majorHAnsi"/>
                <w:sz w:val="20"/>
                <w:szCs w:val="20"/>
                <w:lang w:eastAsia="pl-PL"/>
              </w:rPr>
            </w:pPr>
            <w:r w:rsidRPr="002C7D64">
              <w:rPr>
                <w:rFonts w:asciiTheme="majorHAnsi" w:hAnsiTheme="majorHAnsi" w:cstheme="majorHAnsi"/>
                <w:sz w:val="20"/>
                <w:szCs w:val="20"/>
              </w:rPr>
              <w:t>32,0</w:t>
            </w:r>
          </w:p>
        </w:tc>
      </w:tr>
      <w:tr w:rsidR="00EA2B5F" w:rsidRPr="002C7D64" w14:paraId="769906AC" w14:textId="77777777" w:rsidTr="002C7D64">
        <w:trPr>
          <w:trHeight w:val="227"/>
        </w:trPr>
        <w:tc>
          <w:tcPr>
            <w:tcW w:w="1115" w:type="pct"/>
            <w:vMerge/>
            <w:tcBorders>
              <w:top w:val="single" w:sz="4" w:space="0" w:color="808080" w:themeColor="background1" w:themeShade="80"/>
              <w:left w:val="nil"/>
              <w:bottom w:val="single" w:sz="4" w:space="0" w:color="808080" w:themeColor="background1" w:themeShade="80"/>
              <w:right w:val="nil"/>
            </w:tcBorders>
            <w:vAlign w:val="center"/>
          </w:tcPr>
          <w:p w14:paraId="3498581B" w14:textId="77777777" w:rsidR="00EA2B5F" w:rsidRPr="002C7D64" w:rsidRDefault="00EA2B5F" w:rsidP="002C7D64">
            <w:pPr>
              <w:spacing w:after="0" w:line="240" w:lineRule="auto"/>
              <w:ind w:left="284"/>
              <w:rPr>
                <w:rFonts w:asciiTheme="majorHAnsi" w:eastAsia="Times New Roman" w:hAnsiTheme="majorHAnsi" w:cstheme="majorHAnsi"/>
                <w:sz w:val="20"/>
                <w:szCs w:val="20"/>
                <w:lang w:eastAsia="pl-PL"/>
              </w:rPr>
            </w:pPr>
          </w:p>
        </w:tc>
        <w:tc>
          <w:tcPr>
            <w:tcW w:w="1078" w:type="pct"/>
            <w:tcBorders>
              <w:top w:val="single" w:sz="4" w:space="0" w:color="808080" w:themeColor="background1" w:themeShade="80"/>
              <w:left w:val="nil"/>
              <w:bottom w:val="single" w:sz="4" w:space="0" w:color="808080" w:themeColor="background1" w:themeShade="80"/>
              <w:right w:val="nil"/>
            </w:tcBorders>
            <w:shd w:val="clear" w:color="auto" w:fill="auto"/>
            <w:vAlign w:val="bottom"/>
            <w:hideMark/>
          </w:tcPr>
          <w:p w14:paraId="5378E5AA" w14:textId="77777777" w:rsidR="00EA2B5F" w:rsidRPr="002C7D64" w:rsidRDefault="00EA2B5F" w:rsidP="002C7D64">
            <w:pPr>
              <w:spacing w:after="0" w:line="240" w:lineRule="auto"/>
              <w:jc w:val="center"/>
              <w:rPr>
                <w:rFonts w:asciiTheme="majorHAnsi" w:eastAsia="Times New Roman" w:hAnsiTheme="majorHAnsi" w:cstheme="majorHAnsi"/>
                <w:sz w:val="20"/>
                <w:szCs w:val="20"/>
                <w:lang w:eastAsia="pl-PL"/>
              </w:rPr>
            </w:pPr>
            <w:r w:rsidRPr="002C7D64">
              <w:rPr>
                <w:rFonts w:asciiTheme="majorHAnsi" w:eastAsia="Times New Roman" w:hAnsiTheme="majorHAnsi" w:cstheme="majorHAnsi"/>
                <w:sz w:val="20"/>
                <w:szCs w:val="20"/>
                <w:lang w:eastAsia="pl-PL"/>
              </w:rPr>
              <w:t>zmiana 2012=100%</w:t>
            </w:r>
          </w:p>
        </w:tc>
        <w:tc>
          <w:tcPr>
            <w:tcW w:w="701" w:type="pct"/>
            <w:tcBorders>
              <w:top w:val="single" w:sz="4" w:space="0" w:color="808080" w:themeColor="background1" w:themeShade="80"/>
              <w:left w:val="nil"/>
              <w:bottom w:val="single" w:sz="4" w:space="0" w:color="808080" w:themeColor="background1" w:themeShade="80"/>
              <w:right w:val="nil"/>
            </w:tcBorders>
            <w:shd w:val="clear" w:color="auto" w:fill="auto"/>
            <w:noWrap/>
          </w:tcPr>
          <w:p w14:paraId="600F8D23" w14:textId="77777777" w:rsidR="00EA2B5F" w:rsidRPr="002C7D64" w:rsidRDefault="00EA2B5F" w:rsidP="002C7D64">
            <w:pPr>
              <w:spacing w:after="0" w:line="240" w:lineRule="auto"/>
              <w:ind w:right="340"/>
              <w:jc w:val="right"/>
              <w:rPr>
                <w:rFonts w:asciiTheme="majorHAnsi" w:eastAsia="Times New Roman" w:hAnsiTheme="majorHAnsi" w:cstheme="majorHAnsi"/>
                <w:sz w:val="20"/>
                <w:szCs w:val="20"/>
                <w:lang w:eastAsia="pl-PL"/>
              </w:rPr>
            </w:pPr>
            <w:r w:rsidRPr="002C7D64">
              <w:rPr>
                <w:rFonts w:asciiTheme="majorHAnsi" w:hAnsiTheme="majorHAnsi" w:cstheme="majorHAnsi"/>
                <w:sz w:val="20"/>
                <w:szCs w:val="20"/>
              </w:rPr>
              <w:t>10,7</w:t>
            </w:r>
          </w:p>
        </w:tc>
        <w:tc>
          <w:tcPr>
            <w:tcW w:w="702" w:type="pct"/>
            <w:tcBorders>
              <w:top w:val="single" w:sz="4" w:space="0" w:color="808080" w:themeColor="background1" w:themeShade="80"/>
              <w:left w:val="nil"/>
              <w:bottom w:val="single" w:sz="4" w:space="0" w:color="808080" w:themeColor="background1" w:themeShade="80"/>
              <w:right w:val="nil"/>
            </w:tcBorders>
            <w:shd w:val="clear" w:color="auto" w:fill="auto"/>
            <w:noWrap/>
          </w:tcPr>
          <w:p w14:paraId="4FA66483" w14:textId="77777777" w:rsidR="00EA2B5F" w:rsidRPr="002C7D64" w:rsidRDefault="00EA2B5F" w:rsidP="002C7D64">
            <w:pPr>
              <w:spacing w:after="0" w:line="240" w:lineRule="auto"/>
              <w:ind w:right="340"/>
              <w:jc w:val="right"/>
              <w:rPr>
                <w:rFonts w:asciiTheme="majorHAnsi" w:eastAsia="Times New Roman" w:hAnsiTheme="majorHAnsi" w:cstheme="majorHAnsi"/>
                <w:sz w:val="20"/>
                <w:szCs w:val="20"/>
                <w:lang w:eastAsia="pl-PL"/>
              </w:rPr>
            </w:pPr>
            <w:r w:rsidRPr="002C7D64">
              <w:rPr>
                <w:rFonts w:asciiTheme="majorHAnsi" w:hAnsiTheme="majorHAnsi" w:cstheme="majorHAnsi"/>
                <w:sz w:val="20"/>
                <w:szCs w:val="20"/>
              </w:rPr>
              <w:t>6,7</w:t>
            </w:r>
          </w:p>
        </w:tc>
        <w:tc>
          <w:tcPr>
            <w:tcW w:w="702" w:type="pct"/>
            <w:tcBorders>
              <w:top w:val="single" w:sz="4" w:space="0" w:color="808080" w:themeColor="background1" w:themeShade="80"/>
              <w:left w:val="nil"/>
              <w:bottom w:val="single" w:sz="4" w:space="0" w:color="808080" w:themeColor="background1" w:themeShade="80"/>
              <w:right w:val="nil"/>
            </w:tcBorders>
            <w:shd w:val="clear" w:color="auto" w:fill="auto"/>
            <w:noWrap/>
          </w:tcPr>
          <w:p w14:paraId="3D6AC58A" w14:textId="77777777" w:rsidR="00EA2B5F" w:rsidRPr="002C7D64" w:rsidRDefault="00EA2B5F" w:rsidP="002C7D64">
            <w:pPr>
              <w:spacing w:after="0" w:line="240" w:lineRule="auto"/>
              <w:ind w:right="340"/>
              <w:jc w:val="right"/>
              <w:rPr>
                <w:rFonts w:asciiTheme="majorHAnsi" w:eastAsia="Times New Roman" w:hAnsiTheme="majorHAnsi" w:cstheme="majorHAnsi"/>
                <w:sz w:val="20"/>
                <w:szCs w:val="20"/>
                <w:lang w:eastAsia="pl-PL"/>
              </w:rPr>
            </w:pPr>
            <w:r w:rsidRPr="002C7D64">
              <w:rPr>
                <w:rFonts w:asciiTheme="majorHAnsi" w:hAnsiTheme="majorHAnsi" w:cstheme="majorHAnsi"/>
                <w:sz w:val="20"/>
                <w:szCs w:val="20"/>
              </w:rPr>
              <w:t>4,0</w:t>
            </w:r>
          </w:p>
        </w:tc>
        <w:tc>
          <w:tcPr>
            <w:tcW w:w="702" w:type="pct"/>
            <w:tcBorders>
              <w:top w:val="single" w:sz="4" w:space="0" w:color="808080" w:themeColor="background1" w:themeShade="80"/>
              <w:left w:val="nil"/>
              <w:bottom w:val="single" w:sz="4" w:space="0" w:color="808080" w:themeColor="background1" w:themeShade="80"/>
              <w:right w:val="nil"/>
            </w:tcBorders>
            <w:shd w:val="clear" w:color="auto" w:fill="auto"/>
            <w:noWrap/>
          </w:tcPr>
          <w:p w14:paraId="442911B4" w14:textId="77777777" w:rsidR="00EA2B5F" w:rsidRPr="002C7D64" w:rsidRDefault="00EA2B5F" w:rsidP="002C7D64">
            <w:pPr>
              <w:spacing w:after="0" w:line="240" w:lineRule="auto"/>
              <w:ind w:right="340"/>
              <w:jc w:val="right"/>
              <w:rPr>
                <w:rFonts w:asciiTheme="majorHAnsi" w:eastAsia="Times New Roman" w:hAnsiTheme="majorHAnsi" w:cstheme="majorHAnsi"/>
                <w:sz w:val="20"/>
                <w:szCs w:val="20"/>
                <w:lang w:eastAsia="pl-PL"/>
              </w:rPr>
            </w:pPr>
            <w:r w:rsidRPr="002C7D64">
              <w:rPr>
                <w:rFonts w:asciiTheme="majorHAnsi" w:hAnsiTheme="majorHAnsi" w:cstheme="majorHAnsi"/>
                <w:sz w:val="20"/>
                <w:szCs w:val="20"/>
              </w:rPr>
              <w:t>-5,9</w:t>
            </w:r>
          </w:p>
        </w:tc>
      </w:tr>
      <w:tr w:rsidR="00EA2B5F" w:rsidRPr="002C7D64" w14:paraId="13537EB6" w14:textId="77777777" w:rsidTr="002C7D64">
        <w:trPr>
          <w:trHeight w:val="227"/>
        </w:trPr>
        <w:tc>
          <w:tcPr>
            <w:tcW w:w="1115" w:type="pct"/>
            <w:vMerge w:val="restart"/>
            <w:tcBorders>
              <w:top w:val="single" w:sz="4" w:space="0" w:color="808080" w:themeColor="background1" w:themeShade="80"/>
              <w:left w:val="nil"/>
              <w:bottom w:val="single" w:sz="4" w:space="0" w:color="808080" w:themeColor="background1" w:themeShade="80"/>
              <w:right w:val="nil"/>
            </w:tcBorders>
            <w:shd w:val="clear" w:color="auto" w:fill="auto"/>
            <w:vAlign w:val="center"/>
          </w:tcPr>
          <w:p w14:paraId="67A1DDFB" w14:textId="77777777" w:rsidR="00EA2B5F" w:rsidRPr="002C7D64" w:rsidRDefault="00EA2B5F" w:rsidP="002C7D64">
            <w:pPr>
              <w:spacing w:after="0" w:line="240" w:lineRule="auto"/>
              <w:ind w:left="284"/>
              <w:rPr>
                <w:rFonts w:asciiTheme="majorHAnsi" w:eastAsia="Times New Roman" w:hAnsiTheme="majorHAnsi" w:cstheme="majorHAnsi"/>
                <w:sz w:val="20"/>
                <w:szCs w:val="20"/>
                <w:lang w:eastAsia="pl-PL"/>
              </w:rPr>
            </w:pPr>
            <w:r w:rsidRPr="002C7D64">
              <w:rPr>
                <w:rFonts w:asciiTheme="majorHAnsi" w:eastAsia="Times New Roman" w:hAnsiTheme="majorHAnsi" w:cstheme="majorHAnsi"/>
                <w:sz w:val="20"/>
                <w:szCs w:val="20"/>
                <w:lang w:eastAsia="pl-PL"/>
              </w:rPr>
              <w:t>Oddziały</w:t>
            </w:r>
          </w:p>
        </w:tc>
        <w:tc>
          <w:tcPr>
            <w:tcW w:w="1078" w:type="pct"/>
            <w:tcBorders>
              <w:top w:val="single" w:sz="4" w:space="0" w:color="808080" w:themeColor="background1" w:themeShade="80"/>
              <w:left w:val="nil"/>
              <w:bottom w:val="single" w:sz="4" w:space="0" w:color="808080" w:themeColor="background1" w:themeShade="80"/>
              <w:right w:val="nil"/>
            </w:tcBorders>
            <w:shd w:val="clear" w:color="auto" w:fill="auto"/>
            <w:vAlign w:val="center"/>
            <w:hideMark/>
          </w:tcPr>
          <w:p w14:paraId="47CDDCCC" w14:textId="77777777" w:rsidR="00EA2B5F" w:rsidRPr="002C7D64" w:rsidRDefault="00EA2B5F" w:rsidP="002C7D64">
            <w:pPr>
              <w:spacing w:after="0" w:line="240" w:lineRule="auto"/>
              <w:jc w:val="center"/>
              <w:rPr>
                <w:rFonts w:asciiTheme="majorHAnsi" w:eastAsia="Times New Roman" w:hAnsiTheme="majorHAnsi" w:cstheme="majorHAnsi"/>
                <w:sz w:val="20"/>
                <w:szCs w:val="20"/>
                <w:lang w:eastAsia="pl-PL"/>
              </w:rPr>
            </w:pPr>
            <w:r w:rsidRPr="002C7D64">
              <w:rPr>
                <w:rFonts w:asciiTheme="majorHAnsi" w:eastAsia="Times New Roman" w:hAnsiTheme="majorHAnsi" w:cstheme="majorHAnsi"/>
                <w:sz w:val="20"/>
                <w:szCs w:val="20"/>
                <w:lang w:eastAsia="pl-PL"/>
              </w:rPr>
              <w:t>2018</w:t>
            </w:r>
          </w:p>
        </w:tc>
        <w:tc>
          <w:tcPr>
            <w:tcW w:w="701" w:type="pct"/>
            <w:tcBorders>
              <w:top w:val="single" w:sz="4" w:space="0" w:color="808080" w:themeColor="background1" w:themeShade="80"/>
              <w:left w:val="nil"/>
              <w:bottom w:val="single" w:sz="4" w:space="0" w:color="808080" w:themeColor="background1" w:themeShade="80"/>
              <w:right w:val="nil"/>
            </w:tcBorders>
            <w:shd w:val="clear" w:color="auto" w:fill="auto"/>
            <w:noWrap/>
          </w:tcPr>
          <w:p w14:paraId="3F9C4631" w14:textId="77777777" w:rsidR="00EA2B5F" w:rsidRPr="002C7D64" w:rsidRDefault="00EA2B5F" w:rsidP="002C7D64">
            <w:pPr>
              <w:spacing w:after="0" w:line="240" w:lineRule="auto"/>
              <w:ind w:right="340"/>
              <w:jc w:val="right"/>
              <w:rPr>
                <w:rFonts w:asciiTheme="majorHAnsi" w:eastAsia="Times New Roman" w:hAnsiTheme="majorHAnsi" w:cstheme="majorHAnsi"/>
                <w:sz w:val="20"/>
                <w:szCs w:val="20"/>
                <w:lang w:eastAsia="pl-PL"/>
              </w:rPr>
            </w:pPr>
            <w:r w:rsidRPr="002C7D64">
              <w:rPr>
                <w:rFonts w:asciiTheme="majorHAnsi" w:hAnsiTheme="majorHAnsi" w:cstheme="majorHAnsi"/>
                <w:sz w:val="20"/>
                <w:szCs w:val="20"/>
              </w:rPr>
              <w:t>336,0</w:t>
            </w:r>
          </w:p>
        </w:tc>
        <w:tc>
          <w:tcPr>
            <w:tcW w:w="702" w:type="pct"/>
            <w:tcBorders>
              <w:top w:val="single" w:sz="4" w:space="0" w:color="808080" w:themeColor="background1" w:themeShade="80"/>
              <w:left w:val="nil"/>
              <w:bottom w:val="single" w:sz="4" w:space="0" w:color="808080" w:themeColor="background1" w:themeShade="80"/>
              <w:right w:val="nil"/>
            </w:tcBorders>
            <w:shd w:val="clear" w:color="auto" w:fill="auto"/>
            <w:noWrap/>
          </w:tcPr>
          <w:p w14:paraId="693D9599" w14:textId="77777777" w:rsidR="00EA2B5F" w:rsidRPr="002C7D64" w:rsidRDefault="00EA2B5F" w:rsidP="002C7D64">
            <w:pPr>
              <w:spacing w:after="0" w:line="240" w:lineRule="auto"/>
              <w:ind w:right="340"/>
              <w:jc w:val="right"/>
              <w:rPr>
                <w:rFonts w:asciiTheme="majorHAnsi" w:eastAsia="Times New Roman" w:hAnsiTheme="majorHAnsi" w:cstheme="majorHAnsi"/>
                <w:sz w:val="20"/>
                <w:szCs w:val="20"/>
                <w:lang w:eastAsia="pl-PL"/>
              </w:rPr>
            </w:pPr>
            <w:r w:rsidRPr="002C7D64">
              <w:rPr>
                <w:rFonts w:asciiTheme="majorHAnsi" w:hAnsiTheme="majorHAnsi" w:cstheme="majorHAnsi"/>
                <w:sz w:val="20"/>
                <w:szCs w:val="20"/>
              </w:rPr>
              <w:t>174,0</w:t>
            </w:r>
          </w:p>
        </w:tc>
        <w:tc>
          <w:tcPr>
            <w:tcW w:w="702" w:type="pct"/>
            <w:tcBorders>
              <w:top w:val="single" w:sz="4" w:space="0" w:color="808080" w:themeColor="background1" w:themeShade="80"/>
              <w:left w:val="nil"/>
              <w:bottom w:val="single" w:sz="4" w:space="0" w:color="808080" w:themeColor="background1" w:themeShade="80"/>
              <w:right w:val="nil"/>
            </w:tcBorders>
            <w:shd w:val="clear" w:color="auto" w:fill="auto"/>
            <w:noWrap/>
          </w:tcPr>
          <w:p w14:paraId="7AA0F994" w14:textId="77777777" w:rsidR="00EA2B5F" w:rsidRPr="002C7D64" w:rsidRDefault="00EA2B5F" w:rsidP="002C7D64">
            <w:pPr>
              <w:spacing w:after="0" w:line="240" w:lineRule="auto"/>
              <w:ind w:right="340"/>
              <w:jc w:val="right"/>
              <w:rPr>
                <w:rFonts w:asciiTheme="majorHAnsi" w:eastAsia="Times New Roman" w:hAnsiTheme="majorHAnsi" w:cstheme="majorHAnsi"/>
                <w:sz w:val="20"/>
                <w:szCs w:val="20"/>
                <w:lang w:eastAsia="pl-PL"/>
              </w:rPr>
            </w:pPr>
            <w:r w:rsidRPr="002C7D64">
              <w:rPr>
                <w:rFonts w:asciiTheme="majorHAnsi" w:hAnsiTheme="majorHAnsi" w:cstheme="majorHAnsi"/>
                <w:sz w:val="20"/>
                <w:szCs w:val="20"/>
              </w:rPr>
              <w:t>266,0</w:t>
            </w:r>
          </w:p>
        </w:tc>
        <w:tc>
          <w:tcPr>
            <w:tcW w:w="702" w:type="pct"/>
            <w:tcBorders>
              <w:top w:val="single" w:sz="4" w:space="0" w:color="808080" w:themeColor="background1" w:themeShade="80"/>
              <w:left w:val="nil"/>
              <w:bottom w:val="single" w:sz="4" w:space="0" w:color="808080" w:themeColor="background1" w:themeShade="80"/>
              <w:right w:val="nil"/>
            </w:tcBorders>
            <w:shd w:val="clear" w:color="auto" w:fill="auto"/>
            <w:noWrap/>
          </w:tcPr>
          <w:p w14:paraId="0C938B4B" w14:textId="77777777" w:rsidR="00EA2B5F" w:rsidRPr="002C7D64" w:rsidRDefault="00EA2B5F" w:rsidP="002C7D64">
            <w:pPr>
              <w:spacing w:after="0" w:line="240" w:lineRule="auto"/>
              <w:ind w:right="340"/>
              <w:jc w:val="right"/>
              <w:rPr>
                <w:rFonts w:asciiTheme="majorHAnsi" w:eastAsia="Times New Roman" w:hAnsiTheme="majorHAnsi" w:cstheme="majorHAnsi"/>
                <w:sz w:val="20"/>
                <w:szCs w:val="20"/>
                <w:lang w:eastAsia="pl-PL"/>
              </w:rPr>
            </w:pPr>
            <w:r w:rsidRPr="002C7D64">
              <w:rPr>
                <w:rFonts w:asciiTheme="majorHAnsi" w:hAnsiTheme="majorHAnsi" w:cstheme="majorHAnsi"/>
                <w:sz w:val="20"/>
                <w:szCs w:val="20"/>
              </w:rPr>
              <w:t>353,0</w:t>
            </w:r>
          </w:p>
        </w:tc>
      </w:tr>
      <w:tr w:rsidR="00EA2B5F" w:rsidRPr="002C7D64" w14:paraId="51018734" w14:textId="77777777" w:rsidTr="002C7D64">
        <w:trPr>
          <w:trHeight w:val="227"/>
        </w:trPr>
        <w:tc>
          <w:tcPr>
            <w:tcW w:w="1115" w:type="pct"/>
            <w:vMerge/>
            <w:tcBorders>
              <w:top w:val="single" w:sz="4" w:space="0" w:color="808080" w:themeColor="background1" w:themeShade="80"/>
              <w:left w:val="nil"/>
              <w:bottom w:val="single" w:sz="4" w:space="0" w:color="808080" w:themeColor="background1" w:themeShade="80"/>
              <w:right w:val="nil"/>
            </w:tcBorders>
            <w:vAlign w:val="center"/>
          </w:tcPr>
          <w:p w14:paraId="0530C405" w14:textId="77777777" w:rsidR="00EA2B5F" w:rsidRPr="002C7D64" w:rsidRDefault="00EA2B5F" w:rsidP="002C7D64">
            <w:pPr>
              <w:spacing w:after="0" w:line="240" w:lineRule="auto"/>
              <w:ind w:left="284"/>
              <w:rPr>
                <w:rFonts w:asciiTheme="majorHAnsi" w:eastAsia="Times New Roman" w:hAnsiTheme="majorHAnsi" w:cstheme="majorHAnsi"/>
                <w:sz w:val="20"/>
                <w:szCs w:val="20"/>
                <w:lang w:eastAsia="pl-PL"/>
              </w:rPr>
            </w:pPr>
          </w:p>
        </w:tc>
        <w:tc>
          <w:tcPr>
            <w:tcW w:w="1078" w:type="pct"/>
            <w:tcBorders>
              <w:top w:val="single" w:sz="4" w:space="0" w:color="808080" w:themeColor="background1" w:themeShade="80"/>
              <w:left w:val="nil"/>
              <w:bottom w:val="single" w:sz="4" w:space="0" w:color="808080" w:themeColor="background1" w:themeShade="80"/>
              <w:right w:val="nil"/>
            </w:tcBorders>
            <w:shd w:val="clear" w:color="auto" w:fill="auto"/>
            <w:vAlign w:val="bottom"/>
            <w:hideMark/>
          </w:tcPr>
          <w:p w14:paraId="3ADC9443" w14:textId="77777777" w:rsidR="00EA2B5F" w:rsidRPr="002C7D64" w:rsidRDefault="00EA2B5F" w:rsidP="002C7D64">
            <w:pPr>
              <w:spacing w:after="0" w:line="240" w:lineRule="auto"/>
              <w:jc w:val="center"/>
              <w:rPr>
                <w:rFonts w:asciiTheme="majorHAnsi" w:eastAsia="Times New Roman" w:hAnsiTheme="majorHAnsi" w:cstheme="majorHAnsi"/>
                <w:sz w:val="20"/>
                <w:szCs w:val="20"/>
                <w:lang w:eastAsia="pl-PL"/>
              </w:rPr>
            </w:pPr>
            <w:r w:rsidRPr="002C7D64">
              <w:rPr>
                <w:rFonts w:asciiTheme="majorHAnsi" w:eastAsia="Times New Roman" w:hAnsiTheme="majorHAnsi" w:cstheme="majorHAnsi"/>
                <w:sz w:val="20"/>
                <w:szCs w:val="20"/>
                <w:lang w:eastAsia="pl-PL"/>
              </w:rPr>
              <w:t>zmiana 2012=100%</w:t>
            </w:r>
          </w:p>
        </w:tc>
        <w:tc>
          <w:tcPr>
            <w:tcW w:w="701" w:type="pct"/>
            <w:tcBorders>
              <w:top w:val="single" w:sz="4" w:space="0" w:color="808080" w:themeColor="background1" w:themeShade="80"/>
              <w:left w:val="nil"/>
              <w:bottom w:val="single" w:sz="4" w:space="0" w:color="808080" w:themeColor="background1" w:themeShade="80"/>
              <w:right w:val="nil"/>
            </w:tcBorders>
            <w:shd w:val="clear" w:color="auto" w:fill="auto"/>
            <w:noWrap/>
          </w:tcPr>
          <w:p w14:paraId="3B309AC4" w14:textId="77777777" w:rsidR="00EA2B5F" w:rsidRPr="002C7D64" w:rsidRDefault="00EA2B5F" w:rsidP="002C7D64">
            <w:pPr>
              <w:spacing w:after="0" w:line="240" w:lineRule="auto"/>
              <w:ind w:right="340"/>
              <w:jc w:val="right"/>
              <w:rPr>
                <w:rFonts w:asciiTheme="majorHAnsi" w:eastAsia="Times New Roman" w:hAnsiTheme="majorHAnsi" w:cstheme="majorHAnsi"/>
                <w:sz w:val="20"/>
                <w:szCs w:val="20"/>
                <w:lang w:eastAsia="pl-PL"/>
              </w:rPr>
            </w:pPr>
            <w:r w:rsidRPr="002C7D64">
              <w:rPr>
                <w:rFonts w:asciiTheme="majorHAnsi" w:hAnsiTheme="majorHAnsi" w:cstheme="majorHAnsi"/>
                <w:sz w:val="20"/>
                <w:szCs w:val="20"/>
              </w:rPr>
              <w:t>38,3</w:t>
            </w:r>
          </w:p>
        </w:tc>
        <w:tc>
          <w:tcPr>
            <w:tcW w:w="702" w:type="pct"/>
            <w:tcBorders>
              <w:top w:val="single" w:sz="4" w:space="0" w:color="808080" w:themeColor="background1" w:themeShade="80"/>
              <w:left w:val="nil"/>
              <w:bottom w:val="single" w:sz="4" w:space="0" w:color="808080" w:themeColor="background1" w:themeShade="80"/>
              <w:right w:val="nil"/>
            </w:tcBorders>
            <w:shd w:val="clear" w:color="auto" w:fill="auto"/>
            <w:noWrap/>
          </w:tcPr>
          <w:p w14:paraId="52AE3588" w14:textId="77777777" w:rsidR="00EA2B5F" w:rsidRPr="002C7D64" w:rsidRDefault="00EA2B5F" w:rsidP="002C7D64">
            <w:pPr>
              <w:spacing w:after="0" w:line="240" w:lineRule="auto"/>
              <w:ind w:right="340"/>
              <w:jc w:val="right"/>
              <w:rPr>
                <w:rFonts w:asciiTheme="majorHAnsi" w:eastAsia="Times New Roman" w:hAnsiTheme="majorHAnsi" w:cstheme="majorHAnsi"/>
                <w:sz w:val="20"/>
                <w:szCs w:val="20"/>
                <w:lang w:eastAsia="pl-PL"/>
              </w:rPr>
            </w:pPr>
            <w:r w:rsidRPr="002C7D64">
              <w:rPr>
                <w:rFonts w:asciiTheme="majorHAnsi" w:hAnsiTheme="majorHAnsi" w:cstheme="majorHAnsi"/>
                <w:sz w:val="20"/>
                <w:szCs w:val="20"/>
              </w:rPr>
              <w:t>39,2</w:t>
            </w:r>
          </w:p>
        </w:tc>
        <w:tc>
          <w:tcPr>
            <w:tcW w:w="702" w:type="pct"/>
            <w:tcBorders>
              <w:top w:val="single" w:sz="4" w:space="0" w:color="808080" w:themeColor="background1" w:themeShade="80"/>
              <w:left w:val="nil"/>
              <w:bottom w:val="single" w:sz="4" w:space="0" w:color="808080" w:themeColor="background1" w:themeShade="80"/>
              <w:right w:val="nil"/>
            </w:tcBorders>
            <w:shd w:val="clear" w:color="auto" w:fill="auto"/>
            <w:noWrap/>
          </w:tcPr>
          <w:p w14:paraId="00488491" w14:textId="77777777" w:rsidR="00EA2B5F" w:rsidRPr="002C7D64" w:rsidRDefault="00EA2B5F" w:rsidP="002C7D64">
            <w:pPr>
              <w:spacing w:after="0" w:line="240" w:lineRule="auto"/>
              <w:ind w:right="340"/>
              <w:jc w:val="right"/>
              <w:rPr>
                <w:rFonts w:asciiTheme="majorHAnsi" w:eastAsia="Times New Roman" w:hAnsiTheme="majorHAnsi" w:cstheme="majorHAnsi"/>
                <w:sz w:val="20"/>
                <w:szCs w:val="20"/>
                <w:lang w:eastAsia="pl-PL"/>
              </w:rPr>
            </w:pPr>
            <w:r w:rsidRPr="002C7D64">
              <w:rPr>
                <w:rFonts w:asciiTheme="majorHAnsi" w:hAnsiTheme="majorHAnsi" w:cstheme="majorHAnsi"/>
                <w:sz w:val="20"/>
                <w:szCs w:val="20"/>
              </w:rPr>
              <w:t>41,5</w:t>
            </w:r>
          </w:p>
        </w:tc>
        <w:tc>
          <w:tcPr>
            <w:tcW w:w="702" w:type="pct"/>
            <w:tcBorders>
              <w:top w:val="single" w:sz="4" w:space="0" w:color="808080" w:themeColor="background1" w:themeShade="80"/>
              <w:left w:val="nil"/>
              <w:bottom w:val="single" w:sz="4" w:space="0" w:color="808080" w:themeColor="background1" w:themeShade="80"/>
              <w:right w:val="nil"/>
            </w:tcBorders>
            <w:shd w:val="clear" w:color="auto" w:fill="auto"/>
            <w:noWrap/>
          </w:tcPr>
          <w:p w14:paraId="79126033" w14:textId="77777777" w:rsidR="00EA2B5F" w:rsidRPr="002C7D64" w:rsidRDefault="00EA2B5F" w:rsidP="002C7D64">
            <w:pPr>
              <w:spacing w:after="0" w:line="240" w:lineRule="auto"/>
              <w:ind w:right="340"/>
              <w:jc w:val="right"/>
              <w:rPr>
                <w:rFonts w:asciiTheme="majorHAnsi" w:eastAsia="Times New Roman" w:hAnsiTheme="majorHAnsi" w:cstheme="majorHAnsi"/>
                <w:sz w:val="20"/>
                <w:szCs w:val="20"/>
                <w:lang w:eastAsia="pl-PL"/>
              </w:rPr>
            </w:pPr>
            <w:r w:rsidRPr="002C7D64">
              <w:rPr>
                <w:rFonts w:asciiTheme="majorHAnsi" w:hAnsiTheme="majorHAnsi" w:cstheme="majorHAnsi"/>
                <w:sz w:val="20"/>
                <w:szCs w:val="20"/>
              </w:rPr>
              <w:t>32,7</w:t>
            </w:r>
          </w:p>
        </w:tc>
      </w:tr>
      <w:tr w:rsidR="00EA2B5F" w:rsidRPr="002C7D64" w14:paraId="47677E24" w14:textId="77777777" w:rsidTr="002C7D64">
        <w:trPr>
          <w:trHeight w:val="227"/>
        </w:trPr>
        <w:tc>
          <w:tcPr>
            <w:tcW w:w="1115" w:type="pct"/>
            <w:vMerge w:val="restart"/>
            <w:tcBorders>
              <w:top w:val="single" w:sz="4" w:space="0" w:color="808080" w:themeColor="background1" w:themeShade="80"/>
              <w:left w:val="nil"/>
              <w:bottom w:val="single" w:sz="4" w:space="0" w:color="808080" w:themeColor="background1" w:themeShade="80"/>
              <w:right w:val="nil"/>
            </w:tcBorders>
            <w:shd w:val="clear" w:color="auto" w:fill="auto"/>
            <w:vAlign w:val="center"/>
          </w:tcPr>
          <w:p w14:paraId="42ACB5B9" w14:textId="77777777" w:rsidR="00EA2B5F" w:rsidRPr="002C7D64" w:rsidRDefault="00EA2B5F" w:rsidP="002C7D64">
            <w:pPr>
              <w:spacing w:after="0" w:line="240" w:lineRule="auto"/>
              <w:ind w:left="284"/>
              <w:rPr>
                <w:rFonts w:asciiTheme="majorHAnsi" w:eastAsia="Times New Roman" w:hAnsiTheme="majorHAnsi" w:cstheme="majorHAnsi"/>
                <w:sz w:val="20"/>
                <w:szCs w:val="20"/>
                <w:lang w:eastAsia="pl-PL"/>
              </w:rPr>
            </w:pPr>
            <w:r w:rsidRPr="002C7D64">
              <w:rPr>
                <w:rFonts w:asciiTheme="majorHAnsi" w:eastAsia="Times New Roman" w:hAnsiTheme="majorHAnsi" w:cstheme="majorHAnsi"/>
                <w:sz w:val="20"/>
                <w:szCs w:val="20"/>
                <w:lang w:eastAsia="pl-PL"/>
              </w:rPr>
              <w:t>Uczniowie</w:t>
            </w:r>
          </w:p>
        </w:tc>
        <w:tc>
          <w:tcPr>
            <w:tcW w:w="1078" w:type="pct"/>
            <w:tcBorders>
              <w:top w:val="single" w:sz="4" w:space="0" w:color="808080" w:themeColor="background1" w:themeShade="80"/>
              <w:left w:val="nil"/>
              <w:bottom w:val="single" w:sz="4" w:space="0" w:color="808080" w:themeColor="background1" w:themeShade="80"/>
              <w:right w:val="nil"/>
            </w:tcBorders>
            <w:shd w:val="clear" w:color="auto" w:fill="auto"/>
            <w:vAlign w:val="center"/>
            <w:hideMark/>
          </w:tcPr>
          <w:p w14:paraId="76C46042" w14:textId="77777777" w:rsidR="00EA2B5F" w:rsidRPr="002C7D64" w:rsidRDefault="00EA2B5F" w:rsidP="002C7D64">
            <w:pPr>
              <w:spacing w:after="0" w:line="240" w:lineRule="auto"/>
              <w:jc w:val="center"/>
              <w:rPr>
                <w:rFonts w:asciiTheme="majorHAnsi" w:eastAsia="Times New Roman" w:hAnsiTheme="majorHAnsi" w:cstheme="majorHAnsi"/>
                <w:sz w:val="20"/>
                <w:szCs w:val="20"/>
                <w:lang w:eastAsia="pl-PL"/>
              </w:rPr>
            </w:pPr>
            <w:r w:rsidRPr="002C7D64">
              <w:rPr>
                <w:rFonts w:asciiTheme="majorHAnsi" w:eastAsia="Times New Roman" w:hAnsiTheme="majorHAnsi" w:cstheme="majorHAnsi"/>
                <w:sz w:val="20"/>
                <w:szCs w:val="20"/>
                <w:lang w:eastAsia="pl-PL"/>
              </w:rPr>
              <w:t>2018</w:t>
            </w:r>
          </w:p>
        </w:tc>
        <w:tc>
          <w:tcPr>
            <w:tcW w:w="701" w:type="pct"/>
            <w:tcBorders>
              <w:top w:val="single" w:sz="4" w:space="0" w:color="808080" w:themeColor="background1" w:themeShade="80"/>
              <w:left w:val="nil"/>
              <w:bottom w:val="single" w:sz="4" w:space="0" w:color="808080" w:themeColor="background1" w:themeShade="80"/>
              <w:right w:val="nil"/>
            </w:tcBorders>
            <w:shd w:val="clear" w:color="auto" w:fill="auto"/>
            <w:noWrap/>
          </w:tcPr>
          <w:p w14:paraId="66ADACF3" w14:textId="77777777" w:rsidR="00EA2B5F" w:rsidRPr="002C7D64" w:rsidRDefault="00EA2B5F" w:rsidP="002C7D64">
            <w:pPr>
              <w:spacing w:after="0" w:line="240" w:lineRule="auto"/>
              <w:ind w:right="340"/>
              <w:jc w:val="right"/>
              <w:rPr>
                <w:rFonts w:asciiTheme="majorHAnsi" w:eastAsia="Times New Roman" w:hAnsiTheme="majorHAnsi" w:cstheme="majorHAnsi"/>
                <w:sz w:val="20"/>
                <w:szCs w:val="20"/>
                <w:lang w:eastAsia="pl-PL"/>
              </w:rPr>
            </w:pPr>
            <w:r w:rsidRPr="002C7D64">
              <w:rPr>
                <w:rFonts w:asciiTheme="majorHAnsi" w:hAnsiTheme="majorHAnsi" w:cstheme="majorHAnsi"/>
                <w:sz w:val="20"/>
                <w:szCs w:val="20"/>
              </w:rPr>
              <w:t>5610,0</w:t>
            </w:r>
          </w:p>
        </w:tc>
        <w:tc>
          <w:tcPr>
            <w:tcW w:w="702" w:type="pct"/>
            <w:tcBorders>
              <w:top w:val="single" w:sz="4" w:space="0" w:color="808080" w:themeColor="background1" w:themeShade="80"/>
              <w:left w:val="nil"/>
              <w:bottom w:val="single" w:sz="4" w:space="0" w:color="808080" w:themeColor="background1" w:themeShade="80"/>
              <w:right w:val="nil"/>
            </w:tcBorders>
            <w:shd w:val="clear" w:color="auto" w:fill="auto"/>
            <w:noWrap/>
          </w:tcPr>
          <w:p w14:paraId="2FD0D28D" w14:textId="77777777" w:rsidR="00EA2B5F" w:rsidRPr="002C7D64" w:rsidRDefault="00EA2B5F" w:rsidP="002C7D64">
            <w:pPr>
              <w:spacing w:after="0" w:line="240" w:lineRule="auto"/>
              <w:ind w:right="340"/>
              <w:jc w:val="right"/>
              <w:rPr>
                <w:rFonts w:asciiTheme="majorHAnsi" w:eastAsia="Times New Roman" w:hAnsiTheme="majorHAnsi" w:cstheme="majorHAnsi"/>
                <w:sz w:val="20"/>
                <w:szCs w:val="20"/>
                <w:lang w:eastAsia="pl-PL"/>
              </w:rPr>
            </w:pPr>
            <w:r w:rsidRPr="002C7D64">
              <w:rPr>
                <w:rFonts w:asciiTheme="majorHAnsi" w:hAnsiTheme="majorHAnsi" w:cstheme="majorHAnsi"/>
                <w:sz w:val="20"/>
                <w:szCs w:val="20"/>
              </w:rPr>
              <w:t>2597,0</w:t>
            </w:r>
          </w:p>
        </w:tc>
        <w:tc>
          <w:tcPr>
            <w:tcW w:w="702" w:type="pct"/>
            <w:tcBorders>
              <w:top w:val="single" w:sz="4" w:space="0" w:color="808080" w:themeColor="background1" w:themeShade="80"/>
              <w:left w:val="nil"/>
              <w:bottom w:val="single" w:sz="4" w:space="0" w:color="808080" w:themeColor="background1" w:themeShade="80"/>
              <w:right w:val="nil"/>
            </w:tcBorders>
            <w:shd w:val="clear" w:color="auto" w:fill="auto"/>
            <w:noWrap/>
          </w:tcPr>
          <w:p w14:paraId="792A30C1" w14:textId="77777777" w:rsidR="00EA2B5F" w:rsidRPr="002C7D64" w:rsidRDefault="00EA2B5F" w:rsidP="002C7D64">
            <w:pPr>
              <w:spacing w:after="0" w:line="240" w:lineRule="auto"/>
              <w:ind w:right="340"/>
              <w:jc w:val="right"/>
              <w:rPr>
                <w:rFonts w:asciiTheme="majorHAnsi" w:eastAsia="Times New Roman" w:hAnsiTheme="majorHAnsi" w:cstheme="majorHAnsi"/>
                <w:sz w:val="20"/>
                <w:szCs w:val="20"/>
                <w:lang w:eastAsia="pl-PL"/>
              </w:rPr>
            </w:pPr>
            <w:r w:rsidRPr="002C7D64">
              <w:rPr>
                <w:rFonts w:asciiTheme="majorHAnsi" w:hAnsiTheme="majorHAnsi" w:cstheme="majorHAnsi"/>
                <w:sz w:val="20"/>
                <w:szCs w:val="20"/>
              </w:rPr>
              <w:t>4286,0</w:t>
            </w:r>
          </w:p>
        </w:tc>
        <w:tc>
          <w:tcPr>
            <w:tcW w:w="702" w:type="pct"/>
            <w:tcBorders>
              <w:top w:val="single" w:sz="4" w:space="0" w:color="808080" w:themeColor="background1" w:themeShade="80"/>
              <w:left w:val="nil"/>
              <w:bottom w:val="single" w:sz="4" w:space="0" w:color="808080" w:themeColor="background1" w:themeShade="80"/>
              <w:right w:val="nil"/>
            </w:tcBorders>
            <w:shd w:val="clear" w:color="auto" w:fill="auto"/>
            <w:noWrap/>
          </w:tcPr>
          <w:p w14:paraId="629D4B88" w14:textId="77777777" w:rsidR="00EA2B5F" w:rsidRPr="002C7D64" w:rsidRDefault="00EA2B5F" w:rsidP="002C7D64">
            <w:pPr>
              <w:spacing w:after="0" w:line="240" w:lineRule="auto"/>
              <w:ind w:right="340"/>
              <w:jc w:val="right"/>
              <w:rPr>
                <w:rFonts w:asciiTheme="majorHAnsi" w:eastAsia="Times New Roman" w:hAnsiTheme="majorHAnsi" w:cstheme="majorHAnsi"/>
                <w:sz w:val="20"/>
                <w:szCs w:val="20"/>
                <w:lang w:eastAsia="pl-PL"/>
              </w:rPr>
            </w:pPr>
            <w:r w:rsidRPr="002C7D64">
              <w:rPr>
                <w:rFonts w:asciiTheme="majorHAnsi" w:hAnsiTheme="majorHAnsi" w:cstheme="majorHAnsi"/>
                <w:sz w:val="20"/>
                <w:szCs w:val="20"/>
              </w:rPr>
              <w:t>5678,0</w:t>
            </w:r>
          </w:p>
        </w:tc>
      </w:tr>
      <w:tr w:rsidR="00EA2B5F" w:rsidRPr="002C7D64" w14:paraId="081C2F78" w14:textId="77777777" w:rsidTr="002C7D64">
        <w:trPr>
          <w:trHeight w:val="227"/>
        </w:trPr>
        <w:tc>
          <w:tcPr>
            <w:tcW w:w="1115" w:type="pct"/>
            <w:vMerge/>
            <w:tcBorders>
              <w:top w:val="single" w:sz="4" w:space="0" w:color="808080" w:themeColor="background1" w:themeShade="80"/>
              <w:left w:val="nil"/>
              <w:bottom w:val="single" w:sz="4" w:space="0" w:color="808080" w:themeColor="background1" w:themeShade="80"/>
              <w:right w:val="nil"/>
            </w:tcBorders>
            <w:vAlign w:val="center"/>
          </w:tcPr>
          <w:p w14:paraId="685F0DD5" w14:textId="77777777" w:rsidR="00EA2B5F" w:rsidRPr="002C7D64" w:rsidRDefault="00EA2B5F" w:rsidP="002C7D64">
            <w:pPr>
              <w:spacing w:after="0" w:line="240" w:lineRule="auto"/>
              <w:ind w:left="284"/>
              <w:rPr>
                <w:rFonts w:asciiTheme="majorHAnsi" w:eastAsia="Times New Roman" w:hAnsiTheme="majorHAnsi" w:cstheme="majorHAnsi"/>
                <w:sz w:val="20"/>
                <w:szCs w:val="20"/>
                <w:lang w:eastAsia="pl-PL"/>
              </w:rPr>
            </w:pPr>
          </w:p>
        </w:tc>
        <w:tc>
          <w:tcPr>
            <w:tcW w:w="1078" w:type="pct"/>
            <w:tcBorders>
              <w:top w:val="single" w:sz="4" w:space="0" w:color="808080" w:themeColor="background1" w:themeShade="80"/>
              <w:left w:val="nil"/>
              <w:bottom w:val="single" w:sz="4" w:space="0" w:color="808080" w:themeColor="background1" w:themeShade="80"/>
              <w:right w:val="nil"/>
            </w:tcBorders>
            <w:shd w:val="clear" w:color="auto" w:fill="auto"/>
            <w:vAlign w:val="bottom"/>
            <w:hideMark/>
          </w:tcPr>
          <w:p w14:paraId="21A28DA8" w14:textId="77777777" w:rsidR="00EA2B5F" w:rsidRPr="002C7D64" w:rsidRDefault="00EA2B5F" w:rsidP="002C7D64">
            <w:pPr>
              <w:spacing w:after="0" w:line="240" w:lineRule="auto"/>
              <w:jc w:val="center"/>
              <w:rPr>
                <w:rFonts w:asciiTheme="majorHAnsi" w:eastAsia="Times New Roman" w:hAnsiTheme="majorHAnsi" w:cstheme="majorHAnsi"/>
                <w:sz w:val="20"/>
                <w:szCs w:val="20"/>
                <w:lang w:eastAsia="pl-PL"/>
              </w:rPr>
            </w:pPr>
            <w:r w:rsidRPr="002C7D64">
              <w:rPr>
                <w:rFonts w:asciiTheme="majorHAnsi" w:eastAsia="Times New Roman" w:hAnsiTheme="majorHAnsi" w:cstheme="majorHAnsi"/>
                <w:sz w:val="20"/>
                <w:szCs w:val="20"/>
                <w:lang w:eastAsia="pl-PL"/>
              </w:rPr>
              <w:t>zmiana 2012=100%</w:t>
            </w:r>
          </w:p>
        </w:tc>
        <w:tc>
          <w:tcPr>
            <w:tcW w:w="701" w:type="pct"/>
            <w:tcBorders>
              <w:top w:val="single" w:sz="4" w:space="0" w:color="808080" w:themeColor="background1" w:themeShade="80"/>
              <w:left w:val="nil"/>
              <w:bottom w:val="single" w:sz="4" w:space="0" w:color="808080" w:themeColor="background1" w:themeShade="80"/>
              <w:right w:val="nil"/>
            </w:tcBorders>
            <w:shd w:val="clear" w:color="auto" w:fill="auto"/>
            <w:noWrap/>
          </w:tcPr>
          <w:p w14:paraId="7421215F" w14:textId="77777777" w:rsidR="00EA2B5F" w:rsidRPr="002C7D64" w:rsidRDefault="00EA2B5F" w:rsidP="002C7D64">
            <w:pPr>
              <w:spacing w:after="0" w:line="240" w:lineRule="auto"/>
              <w:ind w:right="340"/>
              <w:jc w:val="right"/>
              <w:rPr>
                <w:rFonts w:asciiTheme="majorHAnsi" w:eastAsia="Times New Roman" w:hAnsiTheme="majorHAnsi" w:cstheme="majorHAnsi"/>
                <w:sz w:val="20"/>
                <w:szCs w:val="20"/>
                <w:lang w:eastAsia="pl-PL"/>
              </w:rPr>
            </w:pPr>
            <w:r w:rsidRPr="002C7D64">
              <w:rPr>
                <w:rFonts w:asciiTheme="majorHAnsi" w:hAnsiTheme="majorHAnsi" w:cstheme="majorHAnsi"/>
                <w:sz w:val="20"/>
                <w:szCs w:val="20"/>
              </w:rPr>
              <w:t>32,6</w:t>
            </w:r>
          </w:p>
        </w:tc>
        <w:tc>
          <w:tcPr>
            <w:tcW w:w="702" w:type="pct"/>
            <w:tcBorders>
              <w:top w:val="single" w:sz="4" w:space="0" w:color="808080" w:themeColor="background1" w:themeShade="80"/>
              <w:left w:val="nil"/>
              <w:bottom w:val="single" w:sz="4" w:space="0" w:color="808080" w:themeColor="background1" w:themeShade="80"/>
              <w:right w:val="nil"/>
            </w:tcBorders>
            <w:shd w:val="clear" w:color="auto" w:fill="auto"/>
            <w:noWrap/>
          </w:tcPr>
          <w:p w14:paraId="360A3452" w14:textId="77777777" w:rsidR="00EA2B5F" w:rsidRPr="002C7D64" w:rsidRDefault="00EA2B5F" w:rsidP="002C7D64">
            <w:pPr>
              <w:spacing w:after="0" w:line="240" w:lineRule="auto"/>
              <w:ind w:right="340"/>
              <w:jc w:val="right"/>
              <w:rPr>
                <w:rFonts w:asciiTheme="majorHAnsi" w:eastAsia="Times New Roman" w:hAnsiTheme="majorHAnsi" w:cstheme="majorHAnsi"/>
                <w:sz w:val="20"/>
                <w:szCs w:val="20"/>
                <w:lang w:eastAsia="pl-PL"/>
              </w:rPr>
            </w:pPr>
            <w:r w:rsidRPr="002C7D64">
              <w:rPr>
                <w:rFonts w:asciiTheme="majorHAnsi" w:hAnsiTheme="majorHAnsi" w:cstheme="majorHAnsi"/>
                <w:sz w:val="20"/>
                <w:szCs w:val="20"/>
              </w:rPr>
              <w:t>17,7</w:t>
            </w:r>
          </w:p>
        </w:tc>
        <w:tc>
          <w:tcPr>
            <w:tcW w:w="702" w:type="pct"/>
            <w:tcBorders>
              <w:top w:val="single" w:sz="4" w:space="0" w:color="808080" w:themeColor="background1" w:themeShade="80"/>
              <w:left w:val="nil"/>
              <w:bottom w:val="single" w:sz="4" w:space="0" w:color="808080" w:themeColor="background1" w:themeShade="80"/>
              <w:right w:val="nil"/>
            </w:tcBorders>
            <w:shd w:val="clear" w:color="auto" w:fill="auto"/>
            <w:noWrap/>
          </w:tcPr>
          <w:p w14:paraId="4085FC8A" w14:textId="77777777" w:rsidR="00EA2B5F" w:rsidRPr="002C7D64" w:rsidRDefault="00EA2B5F" w:rsidP="002C7D64">
            <w:pPr>
              <w:spacing w:after="0" w:line="240" w:lineRule="auto"/>
              <w:ind w:right="340"/>
              <w:jc w:val="right"/>
              <w:rPr>
                <w:rFonts w:asciiTheme="majorHAnsi" w:eastAsia="Times New Roman" w:hAnsiTheme="majorHAnsi" w:cstheme="majorHAnsi"/>
                <w:sz w:val="20"/>
                <w:szCs w:val="20"/>
                <w:lang w:eastAsia="pl-PL"/>
              </w:rPr>
            </w:pPr>
            <w:r w:rsidRPr="002C7D64">
              <w:rPr>
                <w:rFonts w:asciiTheme="majorHAnsi" w:hAnsiTheme="majorHAnsi" w:cstheme="majorHAnsi"/>
                <w:sz w:val="20"/>
                <w:szCs w:val="20"/>
              </w:rPr>
              <w:t>21,8</w:t>
            </w:r>
          </w:p>
        </w:tc>
        <w:tc>
          <w:tcPr>
            <w:tcW w:w="702" w:type="pct"/>
            <w:tcBorders>
              <w:top w:val="single" w:sz="4" w:space="0" w:color="808080" w:themeColor="background1" w:themeShade="80"/>
              <w:left w:val="nil"/>
              <w:bottom w:val="single" w:sz="4" w:space="0" w:color="808080" w:themeColor="background1" w:themeShade="80"/>
              <w:right w:val="nil"/>
            </w:tcBorders>
            <w:shd w:val="clear" w:color="auto" w:fill="auto"/>
            <w:noWrap/>
          </w:tcPr>
          <w:p w14:paraId="6F36104C" w14:textId="77777777" w:rsidR="00EA2B5F" w:rsidRPr="002C7D64" w:rsidRDefault="00EA2B5F" w:rsidP="002C7D64">
            <w:pPr>
              <w:spacing w:after="0" w:line="240" w:lineRule="auto"/>
              <w:ind w:right="340"/>
              <w:jc w:val="right"/>
              <w:rPr>
                <w:rFonts w:asciiTheme="majorHAnsi" w:eastAsia="Times New Roman" w:hAnsiTheme="majorHAnsi" w:cstheme="majorHAnsi"/>
                <w:sz w:val="20"/>
                <w:szCs w:val="20"/>
                <w:lang w:eastAsia="pl-PL"/>
              </w:rPr>
            </w:pPr>
            <w:r w:rsidRPr="002C7D64">
              <w:rPr>
                <w:rFonts w:asciiTheme="majorHAnsi" w:hAnsiTheme="majorHAnsi" w:cstheme="majorHAnsi"/>
                <w:sz w:val="20"/>
                <w:szCs w:val="20"/>
              </w:rPr>
              <w:t>26,1</w:t>
            </w:r>
          </w:p>
        </w:tc>
      </w:tr>
      <w:tr w:rsidR="00EA2B5F" w:rsidRPr="002C7D64" w14:paraId="69C80FF4" w14:textId="77777777" w:rsidTr="002C7D64">
        <w:trPr>
          <w:trHeight w:val="227"/>
        </w:trPr>
        <w:tc>
          <w:tcPr>
            <w:tcW w:w="1115" w:type="pct"/>
            <w:vMerge w:val="restart"/>
            <w:tcBorders>
              <w:top w:val="single" w:sz="4" w:space="0" w:color="808080" w:themeColor="background1" w:themeShade="80"/>
              <w:left w:val="nil"/>
              <w:bottom w:val="single" w:sz="4" w:space="0" w:color="808080" w:themeColor="background1" w:themeShade="80"/>
              <w:right w:val="nil"/>
            </w:tcBorders>
            <w:shd w:val="clear" w:color="auto" w:fill="auto"/>
            <w:vAlign w:val="center"/>
          </w:tcPr>
          <w:p w14:paraId="3C55CBD0" w14:textId="77777777" w:rsidR="00EA2B5F" w:rsidRPr="002C7D64" w:rsidRDefault="00EA2B5F" w:rsidP="002C7D64">
            <w:pPr>
              <w:spacing w:after="0" w:line="240" w:lineRule="auto"/>
              <w:ind w:left="284"/>
              <w:rPr>
                <w:rFonts w:asciiTheme="majorHAnsi" w:eastAsia="Times New Roman" w:hAnsiTheme="majorHAnsi" w:cstheme="majorHAnsi"/>
                <w:sz w:val="20"/>
                <w:szCs w:val="20"/>
                <w:lang w:eastAsia="pl-PL"/>
              </w:rPr>
            </w:pPr>
            <w:r w:rsidRPr="002C7D64">
              <w:rPr>
                <w:rFonts w:asciiTheme="majorHAnsi" w:eastAsia="Times New Roman" w:hAnsiTheme="majorHAnsi" w:cstheme="majorHAnsi"/>
                <w:sz w:val="20"/>
                <w:szCs w:val="20"/>
                <w:lang w:eastAsia="pl-PL"/>
              </w:rPr>
              <w:t>Etaty nauczycielskie</w:t>
            </w:r>
          </w:p>
        </w:tc>
        <w:tc>
          <w:tcPr>
            <w:tcW w:w="1078" w:type="pct"/>
            <w:tcBorders>
              <w:top w:val="single" w:sz="4" w:space="0" w:color="808080" w:themeColor="background1" w:themeShade="80"/>
              <w:left w:val="nil"/>
              <w:bottom w:val="single" w:sz="4" w:space="0" w:color="808080" w:themeColor="background1" w:themeShade="80"/>
              <w:right w:val="nil"/>
            </w:tcBorders>
            <w:shd w:val="clear" w:color="auto" w:fill="auto"/>
            <w:vAlign w:val="center"/>
            <w:hideMark/>
          </w:tcPr>
          <w:p w14:paraId="4278AD66" w14:textId="77777777" w:rsidR="00EA2B5F" w:rsidRPr="002C7D64" w:rsidRDefault="00EA2B5F" w:rsidP="002C7D64">
            <w:pPr>
              <w:spacing w:after="0" w:line="240" w:lineRule="auto"/>
              <w:jc w:val="center"/>
              <w:rPr>
                <w:rFonts w:asciiTheme="majorHAnsi" w:eastAsia="Times New Roman" w:hAnsiTheme="majorHAnsi" w:cstheme="majorHAnsi"/>
                <w:sz w:val="20"/>
                <w:szCs w:val="20"/>
                <w:lang w:eastAsia="pl-PL"/>
              </w:rPr>
            </w:pPr>
            <w:r w:rsidRPr="002C7D64">
              <w:rPr>
                <w:rFonts w:asciiTheme="majorHAnsi" w:eastAsia="Times New Roman" w:hAnsiTheme="majorHAnsi" w:cstheme="majorHAnsi"/>
                <w:sz w:val="20"/>
                <w:szCs w:val="20"/>
                <w:lang w:eastAsia="pl-PL"/>
              </w:rPr>
              <w:t>2018</w:t>
            </w:r>
          </w:p>
        </w:tc>
        <w:tc>
          <w:tcPr>
            <w:tcW w:w="701" w:type="pct"/>
            <w:tcBorders>
              <w:top w:val="single" w:sz="4" w:space="0" w:color="808080" w:themeColor="background1" w:themeShade="80"/>
              <w:left w:val="nil"/>
              <w:bottom w:val="single" w:sz="4" w:space="0" w:color="808080" w:themeColor="background1" w:themeShade="80"/>
              <w:right w:val="nil"/>
            </w:tcBorders>
            <w:shd w:val="clear" w:color="auto" w:fill="auto"/>
            <w:noWrap/>
          </w:tcPr>
          <w:p w14:paraId="2AA0FCCB" w14:textId="77777777" w:rsidR="00EA2B5F" w:rsidRPr="002C7D64" w:rsidRDefault="00EA2B5F" w:rsidP="002C7D64">
            <w:pPr>
              <w:spacing w:after="0" w:line="240" w:lineRule="auto"/>
              <w:ind w:right="340"/>
              <w:jc w:val="right"/>
              <w:rPr>
                <w:rFonts w:asciiTheme="majorHAnsi" w:eastAsia="Times New Roman" w:hAnsiTheme="majorHAnsi" w:cstheme="majorHAnsi"/>
                <w:sz w:val="20"/>
                <w:szCs w:val="20"/>
                <w:lang w:eastAsia="pl-PL"/>
              </w:rPr>
            </w:pPr>
            <w:r w:rsidRPr="002C7D64">
              <w:rPr>
                <w:rFonts w:asciiTheme="majorHAnsi" w:hAnsiTheme="majorHAnsi" w:cstheme="majorHAnsi"/>
                <w:sz w:val="20"/>
                <w:szCs w:val="20"/>
              </w:rPr>
              <w:t>461,1</w:t>
            </w:r>
          </w:p>
        </w:tc>
        <w:tc>
          <w:tcPr>
            <w:tcW w:w="702" w:type="pct"/>
            <w:tcBorders>
              <w:top w:val="single" w:sz="4" w:space="0" w:color="808080" w:themeColor="background1" w:themeShade="80"/>
              <w:left w:val="nil"/>
              <w:bottom w:val="single" w:sz="4" w:space="0" w:color="808080" w:themeColor="background1" w:themeShade="80"/>
              <w:right w:val="nil"/>
            </w:tcBorders>
            <w:shd w:val="clear" w:color="auto" w:fill="auto"/>
            <w:noWrap/>
          </w:tcPr>
          <w:p w14:paraId="7D0ED04F" w14:textId="77777777" w:rsidR="00EA2B5F" w:rsidRPr="002C7D64" w:rsidRDefault="00EA2B5F" w:rsidP="002C7D64">
            <w:pPr>
              <w:spacing w:after="0" w:line="240" w:lineRule="auto"/>
              <w:ind w:right="340"/>
              <w:jc w:val="right"/>
              <w:rPr>
                <w:rFonts w:asciiTheme="majorHAnsi" w:eastAsia="Times New Roman" w:hAnsiTheme="majorHAnsi" w:cstheme="majorHAnsi"/>
                <w:sz w:val="20"/>
                <w:szCs w:val="20"/>
                <w:lang w:eastAsia="pl-PL"/>
              </w:rPr>
            </w:pPr>
            <w:r w:rsidRPr="002C7D64">
              <w:rPr>
                <w:rFonts w:asciiTheme="majorHAnsi" w:hAnsiTheme="majorHAnsi" w:cstheme="majorHAnsi"/>
                <w:sz w:val="20"/>
                <w:szCs w:val="20"/>
              </w:rPr>
              <w:t>240,1</w:t>
            </w:r>
          </w:p>
        </w:tc>
        <w:tc>
          <w:tcPr>
            <w:tcW w:w="702" w:type="pct"/>
            <w:tcBorders>
              <w:top w:val="single" w:sz="4" w:space="0" w:color="808080" w:themeColor="background1" w:themeShade="80"/>
              <w:left w:val="nil"/>
              <w:bottom w:val="single" w:sz="4" w:space="0" w:color="808080" w:themeColor="background1" w:themeShade="80"/>
              <w:right w:val="nil"/>
            </w:tcBorders>
            <w:shd w:val="clear" w:color="auto" w:fill="auto"/>
            <w:noWrap/>
          </w:tcPr>
          <w:p w14:paraId="3C5A5B5D" w14:textId="77777777" w:rsidR="00EA2B5F" w:rsidRPr="002C7D64" w:rsidRDefault="00EA2B5F" w:rsidP="002C7D64">
            <w:pPr>
              <w:spacing w:after="0" w:line="240" w:lineRule="auto"/>
              <w:ind w:right="340"/>
              <w:jc w:val="right"/>
              <w:rPr>
                <w:rFonts w:asciiTheme="majorHAnsi" w:eastAsia="Times New Roman" w:hAnsiTheme="majorHAnsi" w:cstheme="majorHAnsi"/>
                <w:sz w:val="20"/>
                <w:szCs w:val="20"/>
                <w:lang w:eastAsia="pl-PL"/>
              </w:rPr>
            </w:pPr>
            <w:r w:rsidRPr="002C7D64">
              <w:rPr>
                <w:rFonts w:asciiTheme="majorHAnsi" w:hAnsiTheme="majorHAnsi" w:cstheme="majorHAnsi"/>
                <w:sz w:val="20"/>
                <w:szCs w:val="20"/>
              </w:rPr>
              <w:t>379,0</w:t>
            </w:r>
          </w:p>
        </w:tc>
        <w:tc>
          <w:tcPr>
            <w:tcW w:w="702" w:type="pct"/>
            <w:tcBorders>
              <w:top w:val="single" w:sz="4" w:space="0" w:color="808080" w:themeColor="background1" w:themeShade="80"/>
              <w:left w:val="nil"/>
              <w:bottom w:val="single" w:sz="4" w:space="0" w:color="808080" w:themeColor="background1" w:themeShade="80"/>
              <w:right w:val="nil"/>
            </w:tcBorders>
            <w:shd w:val="clear" w:color="auto" w:fill="auto"/>
            <w:noWrap/>
          </w:tcPr>
          <w:p w14:paraId="716FD194" w14:textId="77777777" w:rsidR="00EA2B5F" w:rsidRPr="002C7D64" w:rsidRDefault="00EA2B5F" w:rsidP="002C7D64">
            <w:pPr>
              <w:spacing w:after="0" w:line="240" w:lineRule="auto"/>
              <w:ind w:right="340"/>
              <w:jc w:val="right"/>
              <w:rPr>
                <w:rFonts w:asciiTheme="majorHAnsi" w:eastAsia="Times New Roman" w:hAnsiTheme="majorHAnsi" w:cstheme="majorHAnsi"/>
                <w:sz w:val="20"/>
                <w:szCs w:val="20"/>
                <w:lang w:eastAsia="pl-PL"/>
              </w:rPr>
            </w:pPr>
            <w:r w:rsidRPr="002C7D64">
              <w:rPr>
                <w:rFonts w:asciiTheme="majorHAnsi" w:hAnsiTheme="majorHAnsi" w:cstheme="majorHAnsi"/>
                <w:sz w:val="20"/>
                <w:szCs w:val="20"/>
              </w:rPr>
              <w:t>488,7</w:t>
            </w:r>
          </w:p>
        </w:tc>
      </w:tr>
      <w:tr w:rsidR="00EA2B5F" w:rsidRPr="002C7D64" w14:paraId="61ACA034" w14:textId="77777777" w:rsidTr="002C7D64">
        <w:trPr>
          <w:trHeight w:val="227"/>
        </w:trPr>
        <w:tc>
          <w:tcPr>
            <w:tcW w:w="1115" w:type="pct"/>
            <w:vMerge/>
            <w:tcBorders>
              <w:top w:val="single" w:sz="4" w:space="0" w:color="808080" w:themeColor="background1" w:themeShade="80"/>
              <w:left w:val="nil"/>
              <w:bottom w:val="single" w:sz="4" w:space="0" w:color="808080" w:themeColor="background1" w:themeShade="80"/>
              <w:right w:val="nil"/>
            </w:tcBorders>
            <w:vAlign w:val="center"/>
          </w:tcPr>
          <w:p w14:paraId="3B18E0C7" w14:textId="77777777" w:rsidR="00EA2B5F" w:rsidRPr="002C7D64" w:rsidRDefault="00EA2B5F" w:rsidP="002C7D64">
            <w:pPr>
              <w:spacing w:after="0" w:line="240" w:lineRule="auto"/>
              <w:ind w:left="284"/>
              <w:rPr>
                <w:rFonts w:asciiTheme="majorHAnsi" w:eastAsia="Times New Roman" w:hAnsiTheme="majorHAnsi" w:cstheme="majorHAnsi"/>
                <w:sz w:val="20"/>
                <w:szCs w:val="20"/>
                <w:lang w:eastAsia="pl-PL"/>
              </w:rPr>
            </w:pPr>
          </w:p>
        </w:tc>
        <w:tc>
          <w:tcPr>
            <w:tcW w:w="1078" w:type="pct"/>
            <w:tcBorders>
              <w:top w:val="single" w:sz="4" w:space="0" w:color="808080" w:themeColor="background1" w:themeShade="80"/>
              <w:left w:val="nil"/>
              <w:bottom w:val="single" w:sz="4" w:space="0" w:color="808080" w:themeColor="background1" w:themeShade="80"/>
              <w:right w:val="nil"/>
            </w:tcBorders>
            <w:shd w:val="clear" w:color="auto" w:fill="auto"/>
            <w:vAlign w:val="bottom"/>
            <w:hideMark/>
          </w:tcPr>
          <w:p w14:paraId="447403AA" w14:textId="77777777" w:rsidR="00EA2B5F" w:rsidRPr="002C7D64" w:rsidRDefault="00EA2B5F" w:rsidP="002C7D64">
            <w:pPr>
              <w:spacing w:after="0" w:line="240" w:lineRule="auto"/>
              <w:jc w:val="center"/>
              <w:rPr>
                <w:rFonts w:asciiTheme="majorHAnsi" w:eastAsia="Times New Roman" w:hAnsiTheme="majorHAnsi" w:cstheme="majorHAnsi"/>
                <w:sz w:val="20"/>
                <w:szCs w:val="20"/>
                <w:lang w:eastAsia="pl-PL"/>
              </w:rPr>
            </w:pPr>
            <w:r w:rsidRPr="002C7D64">
              <w:rPr>
                <w:rFonts w:asciiTheme="majorHAnsi" w:eastAsia="Times New Roman" w:hAnsiTheme="majorHAnsi" w:cstheme="majorHAnsi"/>
                <w:sz w:val="20"/>
                <w:szCs w:val="20"/>
                <w:lang w:eastAsia="pl-PL"/>
              </w:rPr>
              <w:t>zmiana 2012=100%</w:t>
            </w:r>
          </w:p>
        </w:tc>
        <w:tc>
          <w:tcPr>
            <w:tcW w:w="701" w:type="pct"/>
            <w:tcBorders>
              <w:top w:val="single" w:sz="4" w:space="0" w:color="808080" w:themeColor="background1" w:themeShade="80"/>
              <w:left w:val="nil"/>
              <w:bottom w:val="single" w:sz="4" w:space="0" w:color="808080" w:themeColor="background1" w:themeShade="80"/>
              <w:right w:val="nil"/>
            </w:tcBorders>
            <w:shd w:val="clear" w:color="auto" w:fill="auto"/>
            <w:noWrap/>
          </w:tcPr>
          <w:p w14:paraId="31BD74A3" w14:textId="77777777" w:rsidR="00EA2B5F" w:rsidRPr="002C7D64" w:rsidRDefault="00EA2B5F" w:rsidP="002C7D64">
            <w:pPr>
              <w:spacing w:after="0" w:line="240" w:lineRule="auto"/>
              <w:ind w:right="340"/>
              <w:jc w:val="right"/>
              <w:rPr>
                <w:rFonts w:asciiTheme="majorHAnsi" w:eastAsia="Times New Roman" w:hAnsiTheme="majorHAnsi" w:cstheme="majorHAnsi"/>
                <w:sz w:val="20"/>
                <w:szCs w:val="20"/>
                <w:lang w:eastAsia="pl-PL"/>
              </w:rPr>
            </w:pPr>
            <w:r w:rsidRPr="002C7D64">
              <w:rPr>
                <w:rFonts w:asciiTheme="majorHAnsi" w:hAnsiTheme="majorHAnsi" w:cstheme="majorHAnsi"/>
                <w:sz w:val="20"/>
                <w:szCs w:val="20"/>
              </w:rPr>
              <w:t>42,2</w:t>
            </w:r>
          </w:p>
        </w:tc>
        <w:tc>
          <w:tcPr>
            <w:tcW w:w="702" w:type="pct"/>
            <w:tcBorders>
              <w:top w:val="single" w:sz="4" w:space="0" w:color="808080" w:themeColor="background1" w:themeShade="80"/>
              <w:left w:val="nil"/>
              <w:bottom w:val="single" w:sz="4" w:space="0" w:color="808080" w:themeColor="background1" w:themeShade="80"/>
              <w:right w:val="nil"/>
            </w:tcBorders>
            <w:shd w:val="clear" w:color="auto" w:fill="auto"/>
            <w:noWrap/>
          </w:tcPr>
          <w:p w14:paraId="4C306FEC" w14:textId="77777777" w:rsidR="00EA2B5F" w:rsidRPr="002C7D64" w:rsidRDefault="00EA2B5F" w:rsidP="002C7D64">
            <w:pPr>
              <w:spacing w:after="0" w:line="240" w:lineRule="auto"/>
              <w:ind w:right="340"/>
              <w:jc w:val="right"/>
              <w:rPr>
                <w:rFonts w:asciiTheme="majorHAnsi" w:eastAsia="Times New Roman" w:hAnsiTheme="majorHAnsi" w:cstheme="majorHAnsi"/>
                <w:sz w:val="20"/>
                <w:szCs w:val="20"/>
                <w:lang w:eastAsia="pl-PL"/>
              </w:rPr>
            </w:pPr>
            <w:r w:rsidRPr="002C7D64">
              <w:rPr>
                <w:rFonts w:asciiTheme="majorHAnsi" w:hAnsiTheme="majorHAnsi" w:cstheme="majorHAnsi"/>
                <w:sz w:val="20"/>
                <w:szCs w:val="20"/>
              </w:rPr>
              <w:t>41,2</w:t>
            </w:r>
          </w:p>
        </w:tc>
        <w:tc>
          <w:tcPr>
            <w:tcW w:w="702" w:type="pct"/>
            <w:tcBorders>
              <w:top w:val="single" w:sz="4" w:space="0" w:color="808080" w:themeColor="background1" w:themeShade="80"/>
              <w:left w:val="nil"/>
              <w:bottom w:val="single" w:sz="4" w:space="0" w:color="808080" w:themeColor="background1" w:themeShade="80"/>
              <w:right w:val="nil"/>
            </w:tcBorders>
            <w:shd w:val="clear" w:color="auto" w:fill="auto"/>
            <w:noWrap/>
          </w:tcPr>
          <w:p w14:paraId="7942A159" w14:textId="77777777" w:rsidR="00EA2B5F" w:rsidRPr="002C7D64" w:rsidRDefault="00EA2B5F" w:rsidP="002C7D64">
            <w:pPr>
              <w:spacing w:after="0" w:line="240" w:lineRule="auto"/>
              <w:ind w:right="340"/>
              <w:jc w:val="right"/>
              <w:rPr>
                <w:rFonts w:asciiTheme="majorHAnsi" w:eastAsia="Times New Roman" w:hAnsiTheme="majorHAnsi" w:cstheme="majorHAnsi"/>
                <w:sz w:val="20"/>
                <w:szCs w:val="20"/>
                <w:lang w:eastAsia="pl-PL"/>
              </w:rPr>
            </w:pPr>
            <w:r w:rsidRPr="002C7D64">
              <w:rPr>
                <w:rFonts w:asciiTheme="majorHAnsi" w:hAnsiTheme="majorHAnsi" w:cstheme="majorHAnsi"/>
                <w:sz w:val="20"/>
                <w:szCs w:val="20"/>
              </w:rPr>
              <w:t>37,5</w:t>
            </w:r>
          </w:p>
        </w:tc>
        <w:tc>
          <w:tcPr>
            <w:tcW w:w="702" w:type="pct"/>
            <w:tcBorders>
              <w:top w:val="single" w:sz="4" w:space="0" w:color="808080" w:themeColor="background1" w:themeShade="80"/>
              <w:left w:val="nil"/>
              <w:bottom w:val="single" w:sz="4" w:space="0" w:color="808080" w:themeColor="background1" w:themeShade="80"/>
              <w:right w:val="nil"/>
            </w:tcBorders>
            <w:shd w:val="clear" w:color="auto" w:fill="auto"/>
            <w:noWrap/>
          </w:tcPr>
          <w:p w14:paraId="0C34D3C3" w14:textId="77777777" w:rsidR="00EA2B5F" w:rsidRPr="002C7D64" w:rsidRDefault="00EA2B5F" w:rsidP="002C7D64">
            <w:pPr>
              <w:spacing w:after="0" w:line="240" w:lineRule="auto"/>
              <w:ind w:right="340"/>
              <w:jc w:val="right"/>
              <w:rPr>
                <w:rFonts w:asciiTheme="majorHAnsi" w:eastAsia="Times New Roman" w:hAnsiTheme="majorHAnsi" w:cstheme="majorHAnsi"/>
                <w:sz w:val="20"/>
                <w:szCs w:val="20"/>
                <w:lang w:eastAsia="pl-PL"/>
              </w:rPr>
            </w:pPr>
            <w:r w:rsidRPr="002C7D64">
              <w:rPr>
                <w:rFonts w:asciiTheme="majorHAnsi" w:hAnsiTheme="majorHAnsi" w:cstheme="majorHAnsi"/>
                <w:sz w:val="20"/>
                <w:szCs w:val="20"/>
              </w:rPr>
              <w:t>33,9</w:t>
            </w:r>
          </w:p>
        </w:tc>
      </w:tr>
    </w:tbl>
    <w:p w14:paraId="368AC5DB" w14:textId="77777777" w:rsidR="00EA2B5F" w:rsidRPr="00F25EBD" w:rsidRDefault="00EA2B5F" w:rsidP="002C7D64">
      <w:pPr>
        <w:pStyle w:val="rdo"/>
      </w:pPr>
      <w:r w:rsidRPr="00F25EBD">
        <w:t>Źródło: opracowanie własne na podstawie danych BDL.</w:t>
      </w:r>
    </w:p>
    <w:p w14:paraId="486F2839" w14:textId="77777777" w:rsidR="008A3FED" w:rsidRDefault="008A3FED" w:rsidP="00FC7062">
      <w:pPr>
        <w:spacing w:after="0" w:line="276" w:lineRule="auto"/>
        <w:jc w:val="both"/>
        <w:rPr>
          <w:rFonts w:asciiTheme="majorHAnsi" w:eastAsia="Calibri" w:hAnsiTheme="majorHAnsi" w:cstheme="majorHAnsi"/>
        </w:rPr>
      </w:pPr>
    </w:p>
    <w:p w14:paraId="00AC4710" w14:textId="486FE2F9" w:rsidR="00EA2B5F" w:rsidRPr="00F25EBD" w:rsidRDefault="00EA2B5F" w:rsidP="00FC7062">
      <w:pPr>
        <w:spacing w:after="0" w:line="276" w:lineRule="auto"/>
        <w:jc w:val="both"/>
        <w:rPr>
          <w:rFonts w:asciiTheme="majorHAnsi" w:eastAsia="Calibri" w:hAnsiTheme="majorHAnsi" w:cstheme="majorHAnsi"/>
        </w:rPr>
      </w:pPr>
      <w:r w:rsidRPr="00F25EBD">
        <w:rPr>
          <w:rFonts w:asciiTheme="majorHAnsi" w:eastAsia="Calibri" w:hAnsiTheme="majorHAnsi" w:cstheme="majorHAnsi"/>
        </w:rPr>
        <w:t xml:space="preserve">Miarą powszechności kształcenia są współczynniki </w:t>
      </w:r>
      <w:proofErr w:type="spellStart"/>
      <w:r w:rsidRPr="00F25EBD">
        <w:rPr>
          <w:rFonts w:asciiTheme="majorHAnsi" w:eastAsia="Calibri" w:hAnsiTheme="majorHAnsi" w:cstheme="majorHAnsi"/>
        </w:rPr>
        <w:t>skolaryzacji</w:t>
      </w:r>
      <w:proofErr w:type="spellEnd"/>
      <w:r w:rsidRPr="00F25EBD">
        <w:rPr>
          <w:rFonts w:asciiTheme="majorHAnsi" w:eastAsia="Calibri" w:hAnsiTheme="majorHAnsi" w:cstheme="majorHAnsi"/>
        </w:rPr>
        <w:t xml:space="preserve"> (brutto i netto). Współczynnik netto informuje o relacji liczby osób uczących się na danym poziomie kształcenia (w danej grupie wieku) do liczby ludności w grupie wieku określonej jako odpowiadająca temu poziomowi nauczania</w:t>
      </w:r>
      <w:r w:rsidRPr="00F25EBD">
        <w:rPr>
          <w:rFonts w:asciiTheme="majorHAnsi" w:eastAsia="Calibri" w:hAnsiTheme="majorHAnsi" w:cstheme="majorHAnsi"/>
          <w:vertAlign w:val="superscript"/>
        </w:rPr>
        <w:footnoteReference w:id="38"/>
      </w:r>
      <w:r w:rsidRPr="00F25EBD">
        <w:rPr>
          <w:rFonts w:asciiTheme="majorHAnsi" w:eastAsia="Calibri" w:hAnsiTheme="majorHAnsi" w:cstheme="majorHAnsi"/>
        </w:rPr>
        <w:t>. W</w:t>
      </w:r>
      <w:r w:rsidR="007B04A7">
        <w:rPr>
          <w:rFonts w:asciiTheme="majorHAnsi" w:eastAsia="Calibri" w:hAnsiTheme="majorHAnsi" w:cstheme="majorHAnsi"/>
        </w:rPr>
        <w:t xml:space="preserve"> </w:t>
      </w:r>
      <w:r w:rsidRPr="00F25EBD">
        <w:rPr>
          <w:rFonts w:asciiTheme="majorHAnsi" w:eastAsia="Calibri" w:hAnsiTheme="majorHAnsi" w:cstheme="majorHAnsi"/>
        </w:rPr>
        <w:t>2018</w:t>
      </w:r>
      <w:r w:rsidR="00F7062F">
        <w:rPr>
          <w:rFonts w:asciiTheme="majorHAnsi" w:eastAsia="Calibri" w:hAnsiTheme="majorHAnsi" w:cstheme="majorHAnsi"/>
        </w:rPr>
        <w:t>r.</w:t>
      </w:r>
      <w:r w:rsidRPr="00F25EBD">
        <w:rPr>
          <w:rFonts w:asciiTheme="majorHAnsi" w:eastAsia="Calibri" w:hAnsiTheme="majorHAnsi" w:cstheme="majorHAnsi"/>
        </w:rPr>
        <w:t xml:space="preserve"> średnia wartość tej miary wyniosła w powiatach PM 88,69% i była niższa o 5,16 pkt. proc. od współczynnika </w:t>
      </w:r>
      <w:proofErr w:type="spellStart"/>
      <w:r w:rsidRPr="00F25EBD">
        <w:rPr>
          <w:rFonts w:asciiTheme="majorHAnsi" w:eastAsia="Calibri" w:hAnsiTheme="majorHAnsi" w:cstheme="majorHAnsi"/>
        </w:rPr>
        <w:t>skolaryzacji</w:t>
      </w:r>
      <w:proofErr w:type="spellEnd"/>
      <w:r w:rsidRPr="00F25EBD">
        <w:rPr>
          <w:rFonts w:asciiTheme="majorHAnsi" w:eastAsia="Calibri" w:hAnsiTheme="majorHAnsi" w:cstheme="majorHAnsi"/>
        </w:rPr>
        <w:t xml:space="preserve"> wyznaczonego dla Polski i o 0,52 pkt. proc. niższa od średniej wojewódzkiej. Najwyższą wartość miary osiągnęły szkoły z powiatu działdowskiego (92,16%) natomi</w:t>
      </w:r>
      <w:r w:rsidR="002C7D64">
        <w:rPr>
          <w:rFonts w:asciiTheme="majorHAnsi" w:eastAsia="Calibri" w:hAnsiTheme="majorHAnsi" w:cstheme="majorHAnsi"/>
        </w:rPr>
        <w:t>ast najniższą z </w:t>
      </w:r>
      <w:proofErr w:type="spellStart"/>
      <w:r w:rsidRPr="00F25EBD">
        <w:rPr>
          <w:rFonts w:asciiTheme="majorHAnsi" w:eastAsia="Calibri" w:hAnsiTheme="majorHAnsi" w:cstheme="majorHAnsi"/>
        </w:rPr>
        <w:t>piskiego</w:t>
      </w:r>
      <w:proofErr w:type="spellEnd"/>
      <w:r w:rsidRPr="00F25EBD">
        <w:rPr>
          <w:rFonts w:asciiTheme="majorHAnsi" w:eastAsia="Calibri" w:hAnsiTheme="majorHAnsi" w:cstheme="majorHAnsi"/>
        </w:rPr>
        <w:t xml:space="preserve"> (84,75%). Na przestrzeni lat 2010-2018 współczynnik </w:t>
      </w:r>
      <w:proofErr w:type="spellStart"/>
      <w:r w:rsidRPr="00F25EBD">
        <w:rPr>
          <w:rFonts w:asciiTheme="majorHAnsi" w:eastAsia="Calibri" w:hAnsiTheme="majorHAnsi" w:cstheme="majorHAnsi"/>
        </w:rPr>
        <w:t>skolaryzacji</w:t>
      </w:r>
      <w:proofErr w:type="spellEnd"/>
      <w:r w:rsidRPr="00F25EBD">
        <w:rPr>
          <w:rFonts w:asciiTheme="majorHAnsi" w:eastAsia="Calibri" w:hAnsiTheme="majorHAnsi" w:cstheme="majorHAnsi"/>
        </w:rPr>
        <w:t xml:space="preserve"> zmniejszył się o niemal 5 pkt. proc., przy czym ubytek przekraczający średnią wyznaczoną dla obszaru PM osiągnął powiat piski </w:t>
      </w:r>
      <w:r w:rsidR="002C7D64">
        <w:rPr>
          <w:rFonts w:asciiTheme="majorHAnsi" w:eastAsia="Calibri" w:hAnsiTheme="majorHAnsi" w:cstheme="majorHAnsi"/>
        </w:rPr>
        <w:br/>
      </w:r>
      <w:r w:rsidRPr="00F25EBD">
        <w:rPr>
          <w:rFonts w:asciiTheme="majorHAnsi" w:eastAsia="Calibri" w:hAnsiTheme="majorHAnsi" w:cstheme="majorHAnsi"/>
        </w:rPr>
        <w:t xml:space="preserve">(-7,3 pkt. proc.) oraz nidzicki (-5,2 pkt. proc.). Zmiany wartości współczynnika </w:t>
      </w:r>
      <w:proofErr w:type="spellStart"/>
      <w:r w:rsidRPr="00F25EBD">
        <w:rPr>
          <w:rFonts w:asciiTheme="majorHAnsi" w:eastAsia="Calibri" w:hAnsiTheme="majorHAnsi" w:cstheme="majorHAnsi"/>
        </w:rPr>
        <w:t>skolaryzacji</w:t>
      </w:r>
      <w:proofErr w:type="spellEnd"/>
      <w:r w:rsidRPr="00F25EBD">
        <w:rPr>
          <w:rFonts w:asciiTheme="majorHAnsi" w:eastAsia="Calibri" w:hAnsiTheme="majorHAnsi" w:cstheme="majorHAnsi"/>
        </w:rPr>
        <w:t xml:space="preserve"> w latach 2010-2019 w poszczególnych powiatach PM przedstawione są na poniższym rysunku.</w:t>
      </w:r>
    </w:p>
    <w:p w14:paraId="5D12C6E7" w14:textId="4F3EC559" w:rsidR="00EA2B5F" w:rsidRPr="00F25EBD" w:rsidRDefault="00EA2B5F" w:rsidP="002C7D64">
      <w:pPr>
        <w:pStyle w:val="nad"/>
      </w:pPr>
      <w:bookmarkStart w:id="59" w:name="_Toc81301551"/>
      <w:r w:rsidRPr="00F25EBD">
        <w:t xml:space="preserve">Rysunek </w:t>
      </w:r>
      <w:r w:rsidRPr="00F25EBD">
        <w:rPr>
          <w:noProof/>
        </w:rPr>
        <w:fldChar w:fldCharType="begin"/>
      </w:r>
      <w:r w:rsidRPr="00F25EBD">
        <w:rPr>
          <w:noProof/>
        </w:rPr>
        <w:instrText xml:space="preserve"> SEQ Rysunek \* ARABIC </w:instrText>
      </w:r>
      <w:r w:rsidRPr="00F25EBD">
        <w:rPr>
          <w:noProof/>
        </w:rPr>
        <w:fldChar w:fldCharType="separate"/>
      </w:r>
      <w:r w:rsidR="006C7815">
        <w:rPr>
          <w:noProof/>
        </w:rPr>
        <w:t>23</w:t>
      </w:r>
      <w:r w:rsidRPr="00F25EBD">
        <w:rPr>
          <w:noProof/>
        </w:rPr>
        <w:fldChar w:fldCharType="end"/>
      </w:r>
      <w:r w:rsidRPr="00F25EBD">
        <w:t xml:space="preserve">. Zmiany współczynnika </w:t>
      </w:r>
      <w:proofErr w:type="spellStart"/>
      <w:r w:rsidRPr="00F25EBD">
        <w:t>skolaryzacji</w:t>
      </w:r>
      <w:proofErr w:type="spellEnd"/>
      <w:r w:rsidRPr="00F25EBD">
        <w:t xml:space="preserve"> w latach 2010-2018 w powiatach Południowych Mazur</w:t>
      </w:r>
      <w:bookmarkEnd w:id="59"/>
    </w:p>
    <w:p w14:paraId="34656143" w14:textId="77777777" w:rsidR="00EA2B5F" w:rsidRPr="00F25EBD" w:rsidRDefault="00EA2B5F" w:rsidP="00FC7062">
      <w:pPr>
        <w:spacing w:after="0" w:line="276" w:lineRule="auto"/>
        <w:jc w:val="center"/>
        <w:rPr>
          <w:rFonts w:asciiTheme="majorHAnsi" w:hAnsiTheme="majorHAnsi" w:cstheme="majorHAnsi"/>
        </w:rPr>
      </w:pPr>
      <w:r w:rsidRPr="00F25EBD">
        <w:rPr>
          <w:rFonts w:asciiTheme="majorHAnsi" w:hAnsiTheme="majorHAnsi" w:cstheme="majorHAnsi"/>
          <w:noProof/>
          <w:lang w:eastAsia="pl-PL"/>
        </w:rPr>
        <w:drawing>
          <wp:inline distT="0" distB="0" distL="0" distR="0" wp14:anchorId="13BC2C2E" wp14:editId="4059CB30">
            <wp:extent cx="5759450" cy="2156604"/>
            <wp:effectExtent l="0" t="0" r="12700" b="15240"/>
            <wp:docPr id="27" name="Wykres 27">
              <a:extLst xmlns:a="http://schemas.openxmlformats.org/drawingml/2006/main">
                <a:ext uri="{FF2B5EF4-FFF2-40B4-BE49-F238E27FC236}">
                  <a16:creationId xmlns:a16="http://schemas.microsoft.com/office/drawing/2014/main" id="{39E251C5-D12C-4C24-AA81-4F04AB15D51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30511CE9" w14:textId="77777777" w:rsidR="00EA2B5F" w:rsidRPr="00F25EBD" w:rsidRDefault="00EA2B5F" w:rsidP="002C7D64">
      <w:pPr>
        <w:pStyle w:val="rdo"/>
      </w:pPr>
      <w:r w:rsidRPr="00F25EBD">
        <w:t>Źródło: opracowanie własne na podstawie danych BDL.</w:t>
      </w:r>
    </w:p>
    <w:p w14:paraId="44AAFC39" w14:textId="079BB9A3" w:rsidR="00EA2B5F" w:rsidRPr="00F25EBD" w:rsidRDefault="00EA2B5F" w:rsidP="00FC7062">
      <w:pPr>
        <w:spacing w:after="0" w:line="276" w:lineRule="auto"/>
        <w:jc w:val="both"/>
        <w:rPr>
          <w:rFonts w:asciiTheme="majorHAnsi" w:hAnsiTheme="majorHAnsi" w:cstheme="majorHAnsi"/>
        </w:rPr>
      </w:pPr>
      <w:r w:rsidRPr="00F25EBD">
        <w:rPr>
          <w:rFonts w:asciiTheme="majorHAnsi" w:hAnsiTheme="majorHAnsi" w:cstheme="majorHAnsi"/>
        </w:rPr>
        <w:t>Obecnie, jednym z kryteriów oceny poziomu nauczania w placówce oświatowej są wyniki z egzaminu kończącego edukację na poziomie szkoły podstawowej (tzw. egzamin ośmioklasisty). W 2020</w:t>
      </w:r>
      <w:r w:rsidR="00F7062F">
        <w:rPr>
          <w:rFonts w:asciiTheme="majorHAnsi" w:hAnsiTheme="majorHAnsi" w:cstheme="majorHAnsi"/>
        </w:rPr>
        <w:t>r.</w:t>
      </w:r>
      <w:r w:rsidRPr="00F25EBD">
        <w:rPr>
          <w:rFonts w:asciiTheme="majorHAnsi" w:hAnsiTheme="majorHAnsi" w:cstheme="majorHAnsi"/>
        </w:rPr>
        <w:t xml:space="preserve"> w</w:t>
      </w:r>
      <w:r w:rsidR="007B04A7">
        <w:rPr>
          <w:rFonts w:asciiTheme="majorHAnsi" w:hAnsiTheme="majorHAnsi" w:cstheme="majorHAnsi"/>
        </w:rPr>
        <w:t xml:space="preserve"> </w:t>
      </w:r>
      <w:r w:rsidRPr="00F25EBD">
        <w:rPr>
          <w:rFonts w:asciiTheme="majorHAnsi" w:hAnsiTheme="majorHAnsi" w:cstheme="majorHAnsi"/>
        </w:rPr>
        <w:t>jego ramach do języka polskiego przystąpiło do 2.127 uczniów, do matematyki</w:t>
      </w:r>
      <w:r w:rsidR="00336D76" w:rsidRPr="00F25EBD">
        <w:rPr>
          <w:rFonts w:asciiTheme="majorHAnsi" w:hAnsiTheme="majorHAnsi" w:cstheme="majorHAnsi"/>
        </w:rPr>
        <w:t xml:space="preserve"> - </w:t>
      </w:r>
      <w:r w:rsidRPr="00F25EBD">
        <w:rPr>
          <w:rFonts w:asciiTheme="majorHAnsi" w:hAnsiTheme="majorHAnsi" w:cstheme="majorHAnsi"/>
        </w:rPr>
        <w:t>1.126, do języka angielskiego</w:t>
      </w:r>
      <w:r w:rsidR="00336D76" w:rsidRPr="00F25EBD">
        <w:rPr>
          <w:rFonts w:asciiTheme="majorHAnsi" w:hAnsiTheme="majorHAnsi" w:cstheme="majorHAnsi"/>
        </w:rPr>
        <w:t xml:space="preserve"> - </w:t>
      </w:r>
      <w:r w:rsidRPr="00F25EBD">
        <w:rPr>
          <w:rFonts w:asciiTheme="majorHAnsi" w:hAnsiTheme="majorHAnsi" w:cstheme="majorHAnsi"/>
        </w:rPr>
        <w:t>1.886, do języka niemieckiego</w:t>
      </w:r>
      <w:r w:rsidR="00336D76" w:rsidRPr="00F25EBD">
        <w:rPr>
          <w:rFonts w:asciiTheme="majorHAnsi" w:hAnsiTheme="majorHAnsi" w:cstheme="majorHAnsi"/>
        </w:rPr>
        <w:t xml:space="preserve"> - </w:t>
      </w:r>
      <w:r w:rsidRPr="00F25EBD">
        <w:rPr>
          <w:rFonts w:asciiTheme="majorHAnsi" w:hAnsiTheme="majorHAnsi" w:cstheme="majorHAnsi"/>
        </w:rPr>
        <w:t>237 i do języka rosyjskiego</w:t>
      </w:r>
      <w:r w:rsidR="00336D76" w:rsidRPr="00F25EBD">
        <w:rPr>
          <w:rFonts w:asciiTheme="majorHAnsi" w:hAnsiTheme="majorHAnsi" w:cstheme="majorHAnsi"/>
        </w:rPr>
        <w:t xml:space="preserve"> - </w:t>
      </w:r>
      <w:r w:rsidRPr="00F25EBD">
        <w:rPr>
          <w:rFonts w:asciiTheme="majorHAnsi" w:hAnsiTheme="majorHAnsi" w:cstheme="majorHAnsi"/>
        </w:rPr>
        <w:t>2. Zagregowane i</w:t>
      </w:r>
      <w:r w:rsidR="007B04A7">
        <w:rPr>
          <w:rFonts w:asciiTheme="majorHAnsi" w:hAnsiTheme="majorHAnsi" w:cstheme="majorHAnsi"/>
        </w:rPr>
        <w:t xml:space="preserve"> </w:t>
      </w:r>
      <w:r w:rsidRPr="00F25EBD">
        <w:rPr>
          <w:rFonts w:asciiTheme="majorHAnsi" w:hAnsiTheme="majorHAnsi" w:cstheme="majorHAnsi"/>
        </w:rPr>
        <w:t>uogólnione wyniki dla poszczególnych powiatów zestawione są w poniższej tabeli.</w:t>
      </w:r>
    </w:p>
    <w:p w14:paraId="49548F13" w14:textId="722ED99E" w:rsidR="00EA2B5F" w:rsidRPr="00F25EBD" w:rsidRDefault="00EA2B5F" w:rsidP="002C7D64">
      <w:pPr>
        <w:pStyle w:val="nad"/>
      </w:pPr>
      <w:bookmarkStart w:id="60" w:name="_Toc81300539"/>
      <w:r w:rsidRPr="00F25EBD">
        <w:t xml:space="preserve">Tabela </w:t>
      </w:r>
      <w:r w:rsidRPr="00F25EBD">
        <w:rPr>
          <w:noProof/>
        </w:rPr>
        <w:fldChar w:fldCharType="begin"/>
      </w:r>
      <w:r w:rsidRPr="00F25EBD">
        <w:rPr>
          <w:noProof/>
        </w:rPr>
        <w:instrText xml:space="preserve"> SEQ Tabela \* ARABIC </w:instrText>
      </w:r>
      <w:r w:rsidRPr="00F25EBD">
        <w:rPr>
          <w:noProof/>
        </w:rPr>
        <w:fldChar w:fldCharType="separate"/>
      </w:r>
      <w:r w:rsidR="006C7815">
        <w:rPr>
          <w:noProof/>
        </w:rPr>
        <w:t>13</w:t>
      </w:r>
      <w:r w:rsidRPr="00F25EBD">
        <w:rPr>
          <w:noProof/>
        </w:rPr>
        <w:fldChar w:fldCharType="end"/>
      </w:r>
      <w:r w:rsidRPr="00F25EBD">
        <w:t>. Wyniki egzaminów ósmoklasisty wg powiatów (2020</w:t>
      </w:r>
      <w:r w:rsidR="00F7062F">
        <w:t>r.</w:t>
      </w:r>
      <w:r w:rsidRPr="00F25EBD">
        <w:t>)</w:t>
      </w:r>
      <w:bookmarkEnd w:id="60"/>
    </w:p>
    <w:tbl>
      <w:tblPr>
        <w:tblW w:w="5000" w:type="pct"/>
        <w:tblCellMar>
          <w:left w:w="70" w:type="dxa"/>
          <w:right w:w="70" w:type="dxa"/>
        </w:tblCellMar>
        <w:tblLook w:val="04A0" w:firstRow="1" w:lastRow="0" w:firstColumn="1" w:lastColumn="0" w:noHBand="0" w:noVBand="1"/>
      </w:tblPr>
      <w:tblGrid>
        <w:gridCol w:w="1741"/>
        <w:gridCol w:w="2290"/>
        <w:gridCol w:w="1332"/>
        <w:gridCol w:w="1084"/>
        <w:gridCol w:w="1080"/>
        <w:gridCol w:w="1533"/>
      </w:tblGrid>
      <w:tr w:rsidR="002C7D64" w:rsidRPr="002C7D64" w14:paraId="1039FFC8" w14:textId="77777777" w:rsidTr="002C7D64">
        <w:trPr>
          <w:trHeight w:val="20"/>
        </w:trPr>
        <w:tc>
          <w:tcPr>
            <w:tcW w:w="961" w:type="pct"/>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vAlign w:val="center"/>
          </w:tcPr>
          <w:p w14:paraId="4C019CAD" w14:textId="77777777" w:rsidR="00EA2B5F" w:rsidRPr="002C7D64" w:rsidRDefault="00EA2B5F" w:rsidP="002C7D64">
            <w:pPr>
              <w:spacing w:after="0" w:line="240" w:lineRule="auto"/>
              <w:jc w:val="center"/>
              <w:rPr>
                <w:rFonts w:asciiTheme="majorHAnsi" w:eastAsia="Times New Roman" w:hAnsiTheme="majorHAnsi" w:cstheme="majorHAnsi"/>
                <w:color w:val="FFFFFF" w:themeColor="background1"/>
                <w:sz w:val="20"/>
                <w:szCs w:val="20"/>
                <w:lang w:eastAsia="pl-PL"/>
              </w:rPr>
            </w:pPr>
            <w:r w:rsidRPr="002C7D64">
              <w:rPr>
                <w:rFonts w:asciiTheme="majorHAnsi" w:eastAsia="Times New Roman" w:hAnsiTheme="majorHAnsi" w:cstheme="majorHAnsi"/>
                <w:color w:val="FFFFFF" w:themeColor="background1"/>
                <w:sz w:val="20"/>
                <w:szCs w:val="20"/>
                <w:lang w:eastAsia="pl-PL"/>
              </w:rPr>
              <w:t>Przedmiot</w:t>
            </w:r>
          </w:p>
        </w:tc>
        <w:tc>
          <w:tcPr>
            <w:tcW w:w="1264" w:type="pct"/>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vAlign w:val="center"/>
          </w:tcPr>
          <w:p w14:paraId="74E46B57" w14:textId="77777777" w:rsidR="00EA2B5F" w:rsidRPr="002C7D64" w:rsidRDefault="00EA2B5F" w:rsidP="002C7D64">
            <w:pPr>
              <w:spacing w:after="0" w:line="240" w:lineRule="auto"/>
              <w:jc w:val="center"/>
              <w:rPr>
                <w:rFonts w:asciiTheme="majorHAnsi" w:eastAsia="Times New Roman" w:hAnsiTheme="majorHAnsi" w:cstheme="majorHAnsi"/>
                <w:color w:val="FFFFFF" w:themeColor="background1"/>
                <w:sz w:val="20"/>
                <w:szCs w:val="20"/>
                <w:lang w:eastAsia="pl-PL"/>
              </w:rPr>
            </w:pPr>
            <w:r w:rsidRPr="002C7D64">
              <w:rPr>
                <w:rFonts w:asciiTheme="majorHAnsi" w:eastAsia="Times New Roman" w:hAnsiTheme="majorHAnsi" w:cstheme="majorHAnsi"/>
                <w:color w:val="FFFFFF" w:themeColor="background1"/>
                <w:sz w:val="20"/>
                <w:szCs w:val="20"/>
                <w:lang w:eastAsia="pl-PL"/>
              </w:rPr>
              <w:t>Liczba szkół z wynikiem*</w:t>
            </w:r>
          </w:p>
        </w:tc>
        <w:tc>
          <w:tcPr>
            <w:tcW w:w="2775" w:type="pct"/>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vAlign w:val="center"/>
          </w:tcPr>
          <w:p w14:paraId="79F6E848" w14:textId="77777777" w:rsidR="00EA2B5F" w:rsidRPr="002C7D64" w:rsidRDefault="00EA2B5F" w:rsidP="002C7D64">
            <w:pPr>
              <w:spacing w:after="0" w:line="240" w:lineRule="auto"/>
              <w:jc w:val="center"/>
              <w:rPr>
                <w:rFonts w:asciiTheme="majorHAnsi" w:eastAsia="Times New Roman" w:hAnsiTheme="majorHAnsi" w:cstheme="majorHAnsi"/>
                <w:color w:val="FFFFFF" w:themeColor="background1"/>
                <w:sz w:val="20"/>
                <w:szCs w:val="20"/>
                <w:lang w:eastAsia="pl-PL"/>
              </w:rPr>
            </w:pPr>
            <w:r w:rsidRPr="002C7D64">
              <w:rPr>
                <w:rFonts w:asciiTheme="majorHAnsi" w:eastAsia="Times New Roman" w:hAnsiTheme="majorHAnsi" w:cstheme="majorHAnsi"/>
                <w:color w:val="FFFFFF" w:themeColor="background1"/>
                <w:sz w:val="20"/>
                <w:szCs w:val="20"/>
                <w:lang w:eastAsia="pl-PL"/>
              </w:rPr>
              <w:t>Powiat</w:t>
            </w:r>
          </w:p>
        </w:tc>
      </w:tr>
      <w:tr w:rsidR="00EA2B5F" w:rsidRPr="00F25EBD" w14:paraId="48462E0C" w14:textId="77777777" w:rsidTr="002C7D64">
        <w:trPr>
          <w:trHeight w:val="20"/>
        </w:trPr>
        <w:tc>
          <w:tcPr>
            <w:tcW w:w="961" w:type="pct"/>
            <w:vMerge/>
            <w:tcBorders>
              <w:top w:val="single" w:sz="4" w:space="0" w:color="FFFFFF" w:themeColor="background1"/>
            </w:tcBorders>
            <w:shd w:val="clear" w:color="auto" w:fill="auto"/>
            <w:vAlign w:val="center"/>
            <w:hideMark/>
          </w:tcPr>
          <w:p w14:paraId="1C16453E" w14:textId="77777777" w:rsidR="00EA2B5F" w:rsidRPr="00F25EBD" w:rsidRDefault="00EA2B5F" w:rsidP="002C7D64">
            <w:pPr>
              <w:spacing w:after="0" w:line="240" w:lineRule="auto"/>
              <w:jc w:val="center"/>
              <w:rPr>
                <w:rFonts w:asciiTheme="majorHAnsi" w:eastAsia="Times New Roman" w:hAnsiTheme="majorHAnsi" w:cstheme="majorHAnsi"/>
                <w:sz w:val="20"/>
                <w:szCs w:val="20"/>
                <w:lang w:eastAsia="pl-PL"/>
              </w:rPr>
            </w:pPr>
          </w:p>
        </w:tc>
        <w:tc>
          <w:tcPr>
            <w:tcW w:w="1264" w:type="pct"/>
            <w:vMerge/>
            <w:tcBorders>
              <w:top w:val="single" w:sz="4" w:space="0" w:color="FFFFFF" w:themeColor="background1"/>
              <w:right w:val="single" w:sz="4" w:space="0" w:color="FFFFFF" w:themeColor="background1"/>
            </w:tcBorders>
            <w:shd w:val="clear" w:color="auto" w:fill="auto"/>
            <w:vAlign w:val="center"/>
            <w:hideMark/>
          </w:tcPr>
          <w:p w14:paraId="1D6B2E19" w14:textId="77777777" w:rsidR="00EA2B5F" w:rsidRPr="00F25EBD" w:rsidRDefault="00EA2B5F" w:rsidP="002C7D64">
            <w:pPr>
              <w:spacing w:after="0" w:line="240" w:lineRule="auto"/>
              <w:jc w:val="center"/>
              <w:rPr>
                <w:rFonts w:asciiTheme="majorHAnsi" w:eastAsia="Times New Roman" w:hAnsiTheme="majorHAnsi" w:cstheme="majorHAnsi"/>
                <w:sz w:val="20"/>
                <w:szCs w:val="20"/>
                <w:lang w:eastAsia="pl-PL"/>
              </w:rPr>
            </w:pPr>
          </w:p>
        </w:tc>
        <w:tc>
          <w:tcPr>
            <w:tcW w:w="73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vAlign w:val="center"/>
            <w:hideMark/>
          </w:tcPr>
          <w:p w14:paraId="33D42F01" w14:textId="77777777" w:rsidR="00EA2B5F" w:rsidRPr="002C7D64" w:rsidRDefault="00EA2B5F" w:rsidP="002C7D64">
            <w:pPr>
              <w:spacing w:after="0" w:line="240" w:lineRule="auto"/>
              <w:jc w:val="center"/>
              <w:rPr>
                <w:rFonts w:asciiTheme="majorHAnsi" w:eastAsia="Times New Roman" w:hAnsiTheme="majorHAnsi" w:cstheme="majorHAnsi"/>
                <w:color w:val="FFFFFF" w:themeColor="background1"/>
                <w:sz w:val="20"/>
                <w:szCs w:val="20"/>
                <w:lang w:eastAsia="pl-PL"/>
              </w:rPr>
            </w:pPr>
            <w:r w:rsidRPr="002C7D64">
              <w:rPr>
                <w:rFonts w:asciiTheme="majorHAnsi" w:eastAsia="Times New Roman" w:hAnsiTheme="majorHAnsi" w:cstheme="majorHAnsi"/>
                <w:color w:val="FFFFFF" w:themeColor="background1"/>
                <w:sz w:val="20"/>
                <w:szCs w:val="20"/>
                <w:lang w:eastAsia="pl-PL"/>
              </w:rPr>
              <w:t>działdowski</w:t>
            </w:r>
          </w:p>
        </w:tc>
        <w:tc>
          <w:tcPr>
            <w:tcW w:w="59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vAlign w:val="center"/>
            <w:hideMark/>
          </w:tcPr>
          <w:p w14:paraId="6E1BFC7F" w14:textId="77777777" w:rsidR="00EA2B5F" w:rsidRPr="002C7D64" w:rsidRDefault="00EA2B5F" w:rsidP="002C7D64">
            <w:pPr>
              <w:spacing w:after="0" w:line="240" w:lineRule="auto"/>
              <w:jc w:val="center"/>
              <w:rPr>
                <w:rFonts w:asciiTheme="majorHAnsi" w:eastAsia="Times New Roman" w:hAnsiTheme="majorHAnsi" w:cstheme="majorHAnsi"/>
                <w:color w:val="FFFFFF" w:themeColor="background1"/>
                <w:sz w:val="20"/>
                <w:szCs w:val="20"/>
                <w:lang w:eastAsia="pl-PL"/>
              </w:rPr>
            </w:pPr>
            <w:r w:rsidRPr="002C7D64">
              <w:rPr>
                <w:rFonts w:asciiTheme="majorHAnsi" w:eastAsia="Times New Roman" w:hAnsiTheme="majorHAnsi" w:cstheme="majorHAnsi"/>
                <w:color w:val="FFFFFF" w:themeColor="background1"/>
                <w:sz w:val="20"/>
                <w:szCs w:val="20"/>
                <w:lang w:eastAsia="pl-PL"/>
              </w:rPr>
              <w:t>nidzicki</w:t>
            </w:r>
          </w:p>
        </w:tc>
        <w:tc>
          <w:tcPr>
            <w:tcW w:w="59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vAlign w:val="center"/>
            <w:hideMark/>
          </w:tcPr>
          <w:p w14:paraId="42B28AC0" w14:textId="77777777" w:rsidR="00EA2B5F" w:rsidRPr="002C7D64" w:rsidRDefault="00EA2B5F" w:rsidP="002C7D64">
            <w:pPr>
              <w:spacing w:after="0" w:line="240" w:lineRule="auto"/>
              <w:jc w:val="center"/>
              <w:rPr>
                <w:rFonts w:asciiTheme="majorHAnsi" w:eastAsia="Times New Roman" w:hAnsiTheme="majorHAnsi" w:cstheme="majorHAnsi"/>
                <w:color w:val="FFFFFF" w:themeColor="background1"/>
                <w:sz w:val="20"/>
                <w:szCs w:val="20"/>
                <w:lang w:eastAsia="pl-PL"/>
              </w:rPr>
            </w:pPr>
            <w:r w:rsidRPr="002C7D64">
              <w:rPr>
                <w:rFonts w:asciiTheme="majorHAnsi" w:eastAsia="Times New Roman" w:hAnsiTheme="majorHAnsi" w:cstheme="majorHAnsi"/>
                <w:color w:val="FFFFFF" w:themeColor="background1"/>
                <w:sz w:val="20"/>
                <w:szCs w:val="20"/>
                <w:lang w:eastAsia="pl-PL"/>
              </w:rPr>
              <w:t>piski</w:t>
            </w:r>
          </w:p>
        </w:tc>
        <w:tc>
          <w:tcPr>
            <w:tcW w:w="84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vAlign w:val="center"/>
            <w:hideMark/>
          </w:tcPr>
          <w:p w14:paraId="5681AFE8" w14:textId="77777777" w:rsidR="00EA2B5F" w:rsidRPr="002C7D64" w:rsidRDefault="00EA2B5F" w:rsidP="002C7D64">
            <w:pPr>
              <w:spacing w:after="0" w:line="240" w:lineRule="auto"/>
              <w:jc w:val="center"/>
              <w:rPr>
                <w:rFonts w:asciiTheme="majorHAnsi" w:eastAsia="Times New Roman" w:hAnsiTheme="majorHAnsi" w:cstheme="majorHAnsi"/>
                <w:color w:val="FFFFFF" w:themeColor="background1"/>
                <w:sz w:val="20"/>
                <w:szCs w:val="20"/>
                <w:lang w:eastAsia="pl-PL"/>
              </w:rPr>
            </w:pPr>
            <w:r w:rsidRPr="002C7D64">
              <w:rPr>
                <w:rFonts w:asciiTheme="majorHAnsi" w:eastAsia="Times New Roman" w:hAnsiTheme="majorHAnsi" w:cstheme="majorHAnsi"/>
                <w:color w:val="FFFFFF" w:themeColor="background1"/>
                <w:sz w:val="20"/>
                <w:szCs w:val="20"/>
                <w:lang w:eastAsia="pl-PL"/>
              </w:rPr>
              <w:t>szczycieński</w:t>
            </w:r>
          </w:p>
        </w:tc>
      </w:tr>
      <w:tr w:rsidR="00EA2B5F" w:rsidRPr="00F25EBD" w14:paraId="636DAE24" w14:textId="77777777" w:rsidTr="002C7D64">
        <w:trPr>
          <w:trHeight w:val="20"/>
        </w:trPr>
        <w:tc>
          <w:tcPr>
            <w:tcW w:w="961" w:type="pct"/>
            <w:vMerge w:val="restart"/>
            <w:tcBorders>
              <w:bottom w:val="single" w:sz="4" w:space="0" w:color="808080" w:themeColor="background1" w:themeShade="80"/>
            </w:tcBorders>
            <w:shd w:val="clear" w:color="auto" w:fill="auto"/>
            <w:vAlign w:val="center"/>
            <w:hideMark/>
          </w:tcPr>
          <w:p w14:paraId="4761693C" w14:textId="77777777" w:rsidR="00EA2B5F" w:rsidRPr="00F25EBD" w:rsidRDefault="00EA2B5F" w:rsidP="002C7D64">
            <w:pPr>
              <w:spacing w:after="0" w:line="240" w:lineRule="auto"/>
              <w:jc w:val="center"/>
              <w:rPr>
                <w:rFonts w:asciiTheme="majorHAnsi" w:eastAsia="Times New Roman" w:hAnsiTheme="majorHAnsi" w:cstheme="majorHAnsi"/>
                <w:sz w:val="20"/>
                <w:szCs w:val="20"/>
                <w:lang w:eastAsia="pl-PL"/>
              </w:rPr>
            </w:pPr>
            <w:r w:rsidRPr="00F25EBD">
              <w:rPr>
                <w:rFonts w:asciiTheme="majorHAnsi" w:eastAsia="Times New Roman" w:hAnsiTheme="majorHAnsi" w:cstheme="majorHAnsi"/>
                <w:sz w:val="20"/>
                <w:szCs w:val="20"/>
                <w:lang w:eastAsia="pl-PL"/>
              </w:rPr>
              <w:t>Język polski</w:t>
            </w:r>
          </w:p>
        </w:tc>
        <w:tc>
          <w:tcPr>
            <w:tcW w:w="1264" w:type="pct"/>
            <w:tcBorders>
              <w:bottom w:val="single" w:sz="4" w:space="0" w:color="808080" w:themeColor="background1" w:themeShade="80"/>
            </w:tcBorders>
            <w:shd w:val="clear" w:color="auto" w:fill="auto"/>
            <w:vAlign w:val="center"/>
            <w:hideMark/>
          </w:tcPr>
          <w:p w14:paraId="7F0F0BB1" w14:textId="77777777" w:rsidR="00EA2B5F" w:rsidRPr="00F25EBD" w:rsidRDefault="00EA2B5F" w:rsidP="002C7D64">
            <w:pPr>
              <w:spacing w:after="0" w:line="240" w:lineRule="auto"/>
              <w:ind w:left="356"/>
              <w:rPr>
                <w:rFonts w:asciiTheme="majorHAnsi" w:eastAsia="Times New Roman" w:hAnsiTheme="majorHAnsi" w:cstheme="majorHAnsi"/>
                <w:sz w:val="20"/>
                <w:szCs w:val="20"/>
                <w:lang w:eastAsia="pl-PL"/>
              </w:rPr>
            </w:pPr>
            <w:r w:rsidRPr="00F25EBD">
              <w:rPr>
                <w:rFonts w:asciiTheme="majorHAnsi" w:eastAsia="Times New Roman" w:hAnsiTheme="majorHAnsi" w:cstheme="majorHAnsi"/>
                <w:sz w:val="20"/>
                <w:szCs w:val="20"/>
                <w:lang w:eastAsia="pl-PL"/>
              </w:rPr>
              <w:t>niskim</w:t>
            </w:r>
          </w:p>
        </w:tc>
        <w:tc>
          <w:tcPr>
            <w:tcW w:w="735" w:type="pct"/>
            <w:tcBorders>
              <w:top w:val="single" w:sz="4" w:space="0" w:color="FFFFFF" w:themeColor="background1"/>
              <w:bottom w:val="single" w:sz="4" w:space="0" w:color="808080" w:themeColor="background1" w:themeShade="80"/>
            </w:tcBorders>
            <w:shd w:val="clear" w:color="auto" w:fill="auto"/>
            <w:vAlign w:val="center"/>
            <w:hideMark/>
          </w:tcPr>
          <w:p w14:paraId="7F4090E3" w14:textId="77777777" w:rsidR="00EA2B5F" w:rsidRPr="00F25EBD" w:rsidRDefault="00EA2B5F" w:rsidP="002C7D64">
            <w:pPr>
              <w:spacing w:after="0" w:line="240" w:lineRule="auto"/>
              <w:jc w:val="center"/>
              <w:rPr>
                <w:rFonts w:asciiTheme="majorHAnsi" w:eastAsia="Times New Roman" w:hAnsiTheme="majorHAnsi" w:cstheme="majorHAnsi"/>
                <w:sz w:val="20"/>
                <w:szCs w:val="20"/>
                <w:lang w:eastAsia="pl-PL"/>
              </w:rPr>
            </w:pPr>
            <w:r w:rsidRPr="00F25EBD">
              <w:rPr>
                <w:rFonts w:asciiTheme="majorHAnsi" w:eastAsia="Times New Roman" w:hAnsiTheme="majorHAnsi" w:cstheme="majorHAnsi"/>
                <w:sz w:val="20"/>
                <w:szCs w:val="20"/>
                <w:lang w:eastAsia="pl-PL"/>
              </w:rPr>
              <w:t>15</w:t>
            </w:r>
          </w:p>
        </w:tc>
        <w:tc>
          <w:tcPr>
            <w:tcW w:w="598" w:type="pct"/>
            <w:tcBorders>
              <w:top w:val="single" w:sz="4" w:space="0" w:color="FFFFFF" w:themeColor="background1"/>
              <w:bottom w:val="single" w:sz="4" w:space="0" w:color="808080" w:themeColor="background1" w:themeShade="80"/>
            </w:tcBorders>
            <w:shd w:val="clear" w:color="auto" w:fill="auto"/>
            <w:vAlign w:val="center"/>
            <w:hideMark/>
          </w:tcPr>
          <w:p w14:paraId="6B0363F3" w14:textId="77777777" w:rsidR="00EA2B5F" w:rsidRPr="00F25EBD" w:rsidRDefault="00EA2B5F" w:rsidP="002C7D64">
            <w:pPr>
              <w:spacing w:after="0" w:line="240" w:lineRule="auto"/>
              <w:jc w:val="center"/>
              <w:rPr>
                <w:rFonts w:asciiTheme="majorHAnsi" w:eastAsia="Times New Roman" w:hAnsiTheme="majorHAnsi" w:cstheme="majorHAnsi"/>
                <w:sz w:val="20"/>
                <w:szCs w:val="20"/>
                <w:lang w:eastAsia="pl-PL"/>
              </w:rPr>
            </w:pPr>
            <w:r w:rsidRPr="00F25EBD">
              <w:rPr>
                <w:rFonts w:asciiTheme="majorHAnsi" w:eastAsia="Times New Roman" w:hAnsiTheme="majorHAnsi" w:cstheme="majorHAnsi"/>
                <w:sz w:val="20"/>
                <w:szCs w:val="20"/>
                <w:lang w:eastAsia="pl-PL"/>
              </w:rPr>
              <w:t>7</w:t>
            </w:r>
          </w:p>
        </w:tc>
        <w:tc>
          <w:tcPr>
            <w:tcW w:w="596" w:type="pct"/>
            <w:tcBorders>
              <w:top w:val="single" w:sz="4" w:space="0" w:color="FFFFFF" w:themeColor="background1"/>
              <w:bottom w:val="single" w:sz="4" w:space="0" w:color="808080" w:themeColor="background1" w:themeShade="80"/>
            </w:tcBorders>
            <w:shd w:val="clear" w:color="auto" w:fill="auto"/>
            <w:vAlign w:val="center"/>
            <w:hideMark/>
          </w:tcPr>
          <w:p w14:paraId="7C1E5B7B" w14:textId="77777777" w:rsidR="00EA2B5F" w:rsidRPr="00F25EBD" w:rsidRDefault="00EA2B5F" w:rsidP="002C7D64">
            <w:pPr>
              <w:spacing w:after="0" w:line="240" w:lineRule="auto"/>
              <w:jc w:val="center"/>
              <w:rPr>
                <w:rFonts w:asciiTheme="majorHAnsi" w:eastAsia="Times New Roman" w:hAnsiTheme="majorHAnsi" w:cstheme="majorHAnsi"/>
                <w:sz w:val="20"/>
                <w:szCs w:val="20"/>
                <w:lang w:eastAsia="pl-PL"/>
              </w:rPr>
            </w:pPr>
            <w:r w:rsidRPr="00F25EBD">
              <w:rPr>
                <w:rFonts w:asciiTheme="majorHAnsi" w:eastAsia="Times New Roman" w:hAnsiTheme="majorHAnsi" w:cstheme="majorHAnsi"/>
                <w:sz w:val="20"/>
                <w:szCs w:val="20"/>
                <w:lang w:eastAsia="pl-PL"/>
              </w:rPr>
              <w:t>11</w:t>
            </w:r>
          </w:p>
        </w:tc>
        <w:tc>
          <w:tcPr>
            <w:tcW w:w="846" w:type="pct"/>
            <w:tcBorders>
              <w:top w:val="single" w:sz="4" w:space="0" w:color="FFFFFF" w:themeColor="background1"/>
              <w:bottom w:val="single" w:sz="4" w:space="0" w:color="808080" w:themeColor="background1" w:themeShade="80"/>
            </w:tcBorders>
            <w:shd w:val="clear" w:color="auto" w:fill="auto"/>
            <w:vAlign w:val="center"/>
            <w:hideMark/>
          </w:tcPr>
          <w:p w14:paraId="33A887C7" w14:textId="77777777" w:rsidR="00EA2B5F" w:rsidRPr="00F25EBD" w:rsidRDefault="00EA2B5F" w:rsidP="002C7D64">
            <w:pPr>
              <w:spacing w:after="0" w:line="240" w:lineRule="auto"/>
              <w:jc w:val="center"/>
              <w:rPr>
                <w:rFonts w:asciiTheme="majorHAnsi" w:eastAsia="Times New Roman" w:hAnsiTheme="majorHAnsi" w:cstheme="majorHAnsi"/>
                <w:sz w:val="20"/>
                <w:szCs w:val="20"/>
                <w:lang w:eastAsia="pl-PL"/>
              </w:rPr>
            </w:pPr>
            <w:r w:rsidRPr="00F25EBD">
              <w:rPr>
                <w:rFonts w:asciiTheme="majorHAnsi" w:eastAsia="Times New Roman" w:hAnsiTheme="majorHAnsi" w:cstheme="majorHAnsi"/>
                <w:sz w:val="20"/>
                <w:szCs w:val="20"/>
                <w:lang w:eastAsia="pl-PL"/>
              </w:rPr>
              <w:t>8</w:t>
            </w:r>
          </w:p>
        </w:tc>
      </w:tr>
      <w:tr w:rsidR="00EA2B5F" w:rsidRPr="00F25EBD" w14:paraId="054C8B76" w14:textId="77777777" w:rsidTr="002C7D64">
        <w:trPr>
          <w:trHeight w:val="20"/>
        </w:trPr>
        <w:tc>
          <w:tcPr>
            <w:tcW w:w="961" w:type="pct"/>
            <w:vMerge/>
            <w:tcBorders>
              <w:top w:val="single" w:sz="4" w:space="0" w:color="808080" w:themeColor="background1" w:themeShade="80"/>
              <w:bottom w:val="single" w:sz="4" w:space="0" w:color="808080" w:themeColor="background1" w:themeShade="80"/>
            </w:tcBorders>
            <w:vAlign w:val="center"/>
            <w:hideMark/>
          </w:tcPr>
          <w:p w14:paraId="01BE748C" w14:textId="77777777" w:rsidR="00EA2B5F" w:rsidRPr="00F25EBD" w:rsidRDefault="00EA2B5F" w:rsidP="002C7D64">
            <w:pPr>
              <w:spacing w:after="0" w:line="240" w:lineRule="auto"/>
              <w:rPr>
                <w:rFonts w:asciiTheme="majorHAnsi" w:eastAsia="Times New Roman" w:hAnsiTheme="majorHAnsi" w:cstheme="majorHAnsi"/>
                <w:sz w:val="20"/>
                <w:szCs w:val="20"/>
                <w:lang w:eastAsia="pl-PL"/>
              </w:rPr>
            </w:pPr>
          </w:p>
        </w:tc>
        <w:tc>
          <w:tcPr>
            <w:tcW w:w="1264" w:type="pct"/>
            <w:tcBorders>
              <w:top w:val="single" w:sz="4" w:space="0" w:color="808080" w:themeColor="background1" w:themeShade="80"/>
              <w:bottom w:val="single" w:sz="4" w:space="0" w:color="808080" w:themeColor="background1" w:themeShade="80"/>
            </w:tcBorders>
            <w:shd w:val="clear" w:color="auto" w:fill="auto"/>
            <w:vAlign w:val="center"/>
            <w:hideMark/>
          </w:tcPr>
          <w:p w14:paraId="0289CDB2" w14:textId="77777777" w:rsidR="00EA2B5F" w:rsidRPr="00F25EBD" w:rsidRDefault="00EA2B5F" w:rsidP="002C7D64">
            <w:pPr>
              <w:spacing w:after="0" w:line="240" w:lineRule="auto"/>
              <w:ind w:left="356"/>
              <w:rPr>
                <w:rFonts w:asciiTheme="majorHAnsi" w:eastAsia="Times New Roman" w:hAnsiTheme="majorHAnsi" w:cstheme="majorHAnsi"/>
                <w:sz w:val="20"/>
                <w:szCs w:val="20"/>
                <w:lang w:eastAsia="pl-PL"/>
              </w:rPr>
            </w:pPr>
            <w:r w:rsidRPr="00F25EBD">
              <w:rPr>
                <w:rFonts w:asciiTheme="majorHAnsi" w:eastAsia="Times New Roman" w:hAnsiTheme="majorHAnsi" w:cstheme="majorHAnsi"/>
                <w:sz w:val="20"/>
                <w:szCs w:val="20"/>
                <w:lang w:eastAsia="pl-PL"/>
              </w:rPr>
              <w:t>średnim</w:t>
            </w:r>
          </w:p>
        </w:tc>
        <w:tc>
          <w:tcPr>
            <w:tcW w:w="735" w:type="pct"/>
            <w:tcBorders>
              <w:top w:val="single" w:sz="4" w:space="0" w:color="808080" w:themeColor="background1" w:themeShade="80"/>
              <w:bottom w:val="single" w:sz="4" w:space="0" w:color="808080" w:themeColor="background1" w:themeShade="80"/>
            </w:tcBorders>
            <w:shd w:val="clear" w:color="auto" w:fill="auto"/>
            <w:vAlign w:val="center"/>
            <w:hideMark/>
          </w:tcPr>
          <w:p w14:paraId="7BA4C6EE" w14:textId="77777777" w:rsidR="00EA2B5F" w:rsidRPr="00F25EBD" w:rsidRDefault="00EA2B5F" w:rsidP="002C7D64">
            <w:pPr>
              <w:spacing w:after="0" w:line="240" w:lineRule="auto"/>
              <w:jc w:val="center"/>
              <w:rPr>
                <w:rFonts w:asciiTheme="majorHAnsi" w:eastAsia="Times New Roman" w:hAnsiTheme="majorHAnsi" w:cstheme="majorHAnsi"/>
                <w:sz w:val="20"/>
                <w:szCs w:val="20"/>
                <w:lang w:eastAsia="pl-PL"/>
              </w:rPr>
            </w:pPr>
            <w:r w:rsidRPr="00F25EBD">
              <w:rPr>
                <w:rFonts w:asciiTheme="majorHAnsi" w:eastAsia="Times New Roman" w:hAnsiTheme="majorHAnsi" w:cstheme="majorHAnsi"/>
                <w:sz w:val="20"/>
                <w:szCs w:val="20"/>
                <w:lang w:eastAsia="pl-PL"/>
              </w:rPr>
              <w:t>14</w:t>
            </w:r>
          </w:p>
        </w:tc>
        <w:tc>
          <w:tcPr>
            <w:tcW w:w="598" w:type="pct"/>
            <w:tcBorders>
              <w:top w:val="single" w:sz="4" w:space="0" w:color="808080" w:themeColor="background1" w:themeShade="80"/>
              <w:bottom w:val="single" w:sz="4" w:space="0" w:color="808080" w:themeColor="background1" w:themeShade="80"/>
            </w:tcBorders>
            <w:shd w:val="clear" w:color="auto" w:fill="auto"/>
            <w:vAlign w:val="center"/>
            <w:hideMark/>
          </w:tcPr>
          <w:p w14:paraId="7B70A22C" w14:textId="77777777" w:rsidR="00EA2B5F" w:rsidRPr="00F25EBD" w:rsidRDefault="00EA2B5F" w:rsidP="002C7D64">
            <w:pPr>
              <w:spacing w:after="0" w:line="240" w:lineRule="auto"/>
              <w:jc w:val="center"/>
              <w:rPr>
                <w:rFonts w:asciiTheme="majorHAnsi" w:eastAsia="Times New Roman" w:hAnsiTheme="majorHAnsi" w:cstheme="majorHAnsi"/>
                <w:sz w:val="20"/>
                <w:szCs w:val="20"/>
                <w:lang w:eastAsia="pl-PL"/>
              </w:rPr>
            </w:pPr>
            <w:r w:rsidRPr="00F25EBD">
              <w:rPr>
                <w:rFonts w:asciiTheme="majorHAnsi" w:eastAsia="Times New Roman" w:hAnsiTheme="majorHAnsi" w:cstheme="majorHAnsi"/>
                <w:sz w:val="20"/>
                <w:szCs w:val="20"/>
                <w:lang w:eastAsia="pl-PL"/>
              </w:rPr>
              <w:t>7</w:t>
            </w:r>
          </w:p>
        </w:tc>
        <w:tc>
          <w:tcPr>
            <w:tcW w:w="596" w:type="pct"/>
            <w:tcBorders>
              <w:top w:val="single" w:sz="4" w:space="0" w:color="808080" w:themeColor="background1" w:themeShade="80"/>
              <w:bottom w:val="single" w:sz="4" w:space="0" w:color="808080" w:themeColor="background1" w:themeShade="80"/>
            </w:tcBorders>
            <w:shd w:val="clear" w:color="auto" w:fill="auto"/>
            <w:vAlign w:val="center"/>
            <w:hideMark/>
          </w:tcPr>
          <w:p w14:paraId="2B0A6527" w14:textId="77777777" w:rsidR="00EA2B5F" w:rsidRPr="00F25EBD" w:rsidRDefault="00EA2B5F" w:rsidP="002C7D64">
            <w:pPr>
              <w:spacing w:after="0" w:line="240" w:lineRule="auto"/>
              <w:jc w:val="center"/>
              <w:rPr>
                <w:rFonts w:asciiTheme="majorHAnsi" w:eastAsia="Times New Roman" w:hAnsiTheme="majorHAnsi" w:cstheme="majorHAnsi"/>
                <w:sz w:val="20"/>
                <w:szCs w:val="20"/>
                <w:lang w:eastAsia="pl-PL"/>
              </w:rPr>
            </w:pPr>
            <w:r w:rsidRPr="00F25EBD">
              <w:rPr>
                <w:rFonts w:asciiTheme="majorHAnsi" w:eastAsia="Times New Roman" w:hAnsiTheme="majorHAnsi" w:cstheme="majorHAnsi"/>
                <w:sz w:val="20"/>
                <w:szCs w:val="20"/>
                <w:lang w:eastAsia="pl-PL"/>
              </w:rPr>
              <w:t>10</w:t>
            </w:r>
          </w:p>
        </w:tc>
        <w:tc>
          <w:tcPr>
            <w:tcW w:w="846" w:type="pct"/>
            <w:tcBorders>
              <w:top w:val="single" w:sz="4" w:space="0" w:color="808080" w:themeColor="background1" w:themeShade="80"/>
              <w:bottom w:val="single" w:sz="4" w:space="0" w:color="808080" w:themeColor="background1" w:themeShade="80"/>
            </w:tcBorders>
            <w:shd w:val="clear" w:color="auto" w:fill="auto"/>
            <w:vAlign w:val="center"/>
            <w:hideMark/>
          </w:tcPr>
          <w:p w14:paraId="48D743B0" w14:textId="77777777" w:rsidR="00EA2B5F" w:rsidRPr="00F25EBD" w:rsidRDefault="00EA2B5F" w:rsidP="002C7D64">
            <w:pPr>
              <w:spacing w:after="0" w:line="240" w:lineRule="auto"/>
              <w:jc w:val="center"/>
              <w:rPr>
                <w:rFonts w:asciiTheme="majorHAnsi" w:eastAsia="Times New Roman" w:hAnsiTheme="majorHAnsi" w:cstheme="majorHAnsi"/>
                <w:sz w:val="20"/>
                <w:szCs w:val="20"/>
                <w:lang w:eastAsia="pl-PL"/>
              </w:rPr>
            </w:pPr>
            <w:r w:rsidRPr="00F25EBD">
              <w:rPr>
                <w:rFonts w:asciiTheme="majorHAnsi" w:eastAsia="Times New Roman" w:hAnsiTheme="majorHAnsi" w:cstheme="majorHAnsi"/>
                <w:sz w:val="20"/>
                <w:szCs w:val="20"/>
                <w:lang w:eastAsia="pl-PL"/>
              </w:rPr>
              <w:t>17</w:t>
            </w:r>
          </w:p>
        </w:tc>
      </w:tr>
      <w:tr w:rsidR="00EA2B5F" w:rsidRPr="00F25EBD" w14:paraId="5B0C8130" w14:textId="77777777" w:rsidTr="002C7D64">
        <w:trPr>
          <w:trHeight w:val="20"/>
        </w:trPr>
        <w:tc>
          <w:tcPr>
            <w:tcW w:w="961" w:type="pct"/>
            <w:vMerge/>
            <w:tcBorders>
              <w:top w:val="single" w:sz="4" w:space="0" w:color="808080" w:themeColor="background1" w:themeShade="80"/>
              <w:bottom w:val="single" w:sz="4" w:space="0" w:color="808080" w:themeColor="background1" w:themeShade="80"/>
            </w:tcBorders>
            <w:vAlign w:val="center"/>
            <w:hideMark/>
          </w:tcPr>
          <w:p w14:paraId="648EDD25" w14:textId="77777777" w:rsidR="00EA2B5F" w:rsidRPr="00F25EBD" w:rsidRDefault="00EA2B5F" w:rsidP="002C7D64">
            <w:pPr>
              <w:spacing w:after="0" w:line="240" w:lineRule="auto"/>
              <w:rPr>
                <w:rFonts w:asciiTheme="majorHAnsi" w:eastAsia="Times New Roman" w:hAnsiTheme="majorHAnsi" w:cstheme="majorHAnsi"/>
                <w:sz w:val="20"/>
                <w:szCs w:val="20"/>
                <w:lang w:eastAsia="pl-PL"/>
              </w:rPr>
            </w:pPr>
          </w:p>
        </w:tc>
        <w:tc>
          <w:tcPr>
            <w:tcW w:w="1264" w:type="pct"/>
            <w:tcBorders>
              <w:top w:val="single" w:sz="4" w:space="0" w:color="808080" w:themeColor="background1" w:themeShade="80"/>
              <w:bottom w:val="single" w:sz="4" w:space="0" w:color="808080" w:themeColor="background1" w:themeShade="80"/>
            </w:tcBorders>
            <w:shd w:val="clear" w:color="auto" w:fill="auto"/>
            <w:vAlign w:val="center"/>
            <w:hideMark/>
          </w:tcPr>
          <w:p w14:paraId="57C6C5E2" w14:textId="77777777" w:rsidR="00EA2B5F" w:rsidRPr="00F25EBD" w:rsidRDefault="00EA2B5F" w:rsidP="002C7D64">
            <w:pPr>
              <w:spacing w:after="0" w:line="240" w:lineRule="auto"/>
              <w:ind w:left="356"/>
              <w:rPr>
                <w:rFonts w:asciiTheme="majorHAnsi" w:eastAsia="Times New Roman" w:hAnsiTheme="majorHAnsi" w:cstheme="majorHAnsi"/>
                <w:sz w:val="20"/>
                <w:szCs w:val="20"/>
                <w:lang w:eastAsia="pl-PL"/>
              </w:rPr>
            </w:pPr>
            <w:r w:rsidRPr="00F25EBD">
              <w:rPr>
                <w:rFonts w:asciiTheme="majorHAnsi" w:eastAsia="Times New Roman" w:hAnsiTheme="majorHAnsi" w:cstheme="majorHAnsi"/>
                <w:sz w:val="20"/>
                <w:szCs w:val="20"/>
                <w:lang w:eastAsia="pl-PL"/>
              </w:rPr>
              <w:t>wysokim</w:t>
            </w:r>
          </w:p>
        </w:tc>
        <w:tc>
          <w:tcPr>
            <w:tcW w:w="735" w:type="pct"/>
            <w:tcBorders>
              <w:top w:val="single" w:sz="4" w:space="0" w:color="808080" w:themeColor="background1" w:themeShade="80"/>
              <w:bottom w:val="single" w:sz="4" w:space="0" w:color="808080" w:themeColor="background1" w:themeShade="80"/>
            </w:tcBorders>
            <w:shd w:val="clear" w:color="auto" w:fill="auto"/>
            <w:vAlign w:val="center"/>
            <w:hideMark/>
          </w:tcPr>
          <w:p w14:paraId="7FA24916" w14:textId="77777777" w:rsidR="00EA2B5F" w:rsidRPr="00F25EBD" w:rsidRDefault="00EA2B5F" w:rsidP="002C7D64">
            <w:pPr>
              <w:spacing w:after="0" w:line="240" w:lineRule="auto"/>
              <w:jc w:val="center"/>
              <w:rPr>
                <w:rFonts w:asciiTheme="majorHAnsi" w:eastAsia="Times New Roman" w:hAnsiTheme="majorHAnsi" w:cstheme="majorHAnsi"/>
                <w:sz w:val="20"/>
                <w:szCs w:val="20"/>
                <w:lang w:eastAsia="pl-PL"/>
              </w:rPr>
            </w:pPr>
            <w:r w:rsidRPr="00F25EBD">
              <w:rPr>
                <w:rFonts w:asciiTheme="majorHAnsi" w:eastAsia="Times New Roman" w:hAnsiTheme="majorHAnsi" w:cstheme="majorHAnsi"/>
                <w:sz w:val="20"/>
                <w:szCs w:val="20"/>
                <w:lang w:eastAsia="pl-PL"/>
              </w:rPr>
              <w:t>2</w:t>
            </w:r>
          </w:p>
        </w:tc>
        <w:tc>
          <w:tcPr>
            <w:tcW w:w="598" w:type="pct"/>
            <w:tcBorders>
              <w:top w:val="single" w:sz="4" w:space="0" w:color="808080" w:themeColor="background1" w:themeShade="80"/>
              <w:bottom w:val="single" w:sz="4" w:space="0" w:color="808080" w:themeColor="background1" w:themeShade="80"/>
            </w:tcBorders>
            <w:shd w:val="clear" w:color="auto" w:fill="auto"/>
            <w:vAlign w:val="center"/>
            <w:hideMark/>
          </w:tcPr>
          <w:p w14:paraId="0FDAD6F8" w14:textId="77777777" w:rsidR="00EA2B5F" w:rsidRPr="00F25EBD" w:rsidRDefault="00EA2B5F" w:rsidP="002C7D64">
            <w:pPr>
              <w:spacing w:after="0" w:line="240" w:lineRule="auto"/>
              <w:jc w:val="center"/>
              <w:rPr>
                <w:rFonts w:asciiTheme="majorHAnsi" w:eastAsia="Times New Roman" w:hAnsiTheme="majorHAnsi" w:cstheme="majorHAnsi"/>
                <w:sz w:val="20"/>
                <w:szCs w:val="20"/>
                <w:lang w:eastAsia="pl-PL"/>
              </w:rPr>
            </w:pPr>
            <w:r w:rsidRPr="00F25EBD">
              <w:rPr>
                <w:rFonts w:asciiTheme="majorHAnsi" w:eastAsia="Times New Roman" w:hAnsiTheme="majorHAnsi" w:cstheme="majorHAnsi"/>
                <w:sz w:val="20"/>
                <w:szCs w:val="20"/>
                <w:lang w:eastAsia="pl-PL"/>
              </w:rPr>
              <w:t>1</w:t>
            </w:r>
          </w:p>
        </w:tc>
        <w:tc>
          <w:tcPr>
            <w:tcW w:w="596" w:type="pct"/>
            <w:tcBorders>
              <w:top w:val="single" w:sz="4" w:space="0" w:color="808080" w:themeColor="background1" w:themeShade="80"/>
              <w:bottom w:val="single" w:sz="4" w:space="0" w:color="808080" w:themeColor="background1" w:themeShade="80"/>
            </w:tcBorders>
            <w:shd w:val="clear" w:color="auto" w:fill="auto"/>
            <w:vAlign w:val="center"/>
            <w:hideMark/>
          </w:tcPr>
          <w:p w14:paraId="597592E0" w14:textId="77777777" w:rsidR="00EA2B5F" w:rsidRPr="00F25EBD" w:rsidRDefault="00EA2B5F" w:rsidP="002C7D64">
            <w:pPr>
              <w:spacing w:after="0" w:line="240" w:lineRule="auto"/>
              <w:jc w:val="center"/>
              <w:rPr>
                <w:rFonts w:asciiTheme="majorHAnsi" w:eastAsia="Times New Roman" w:hAnsiTheme="majorHAnsi" w:cstheme="majorHAnsi"/>
                <w:sz w:val="20"/>
                <w:szCs w:val="20"/>
                <w:lang w:eastAsia="pl-PL"/>
              </w:rPr>
            </w:pPr>
            <w:r w:rsidRPr="00F25EBD">
              <w:rPr>
                <w:rFonts w:asciiTheme="majorHAnsi" w:eastAsia="Times New Roman" w:hAnsiTheme="majorHAnsi" w:cstheme="majorHAnsi"/>
                <w:sz w:val="20"/>
                <w:szCs w:val="20"/>
                <w:lang w:eastAsia="pl-PL"/>
              </w:rPr>
              <w:t>1</w:t>
            </w:r>
          </w:p>
        </w:tc>
        <w:tc>
          <w:tcPr>
            <w:tcW w:w="846" w:type="pct"/>
            <w:tcBorders>
              <w:top w:val="single" w:sz="4" w:space="0" w:color="808080" w:themeColor="background1" w:themeShade="80"/>
              <w:bottom w:val="single" w:sz="4" w:space="0" w:color="808080" w:themeColor="background1" w:themeShade="80"/>
            </w:tcBorders>
            <w:shd w:val="clear" w:color="auto" w:fill="auto"/>
            <w:vAlign w:val="center"/>
            <w:hideMark/>
          </w:tcPr>
          <w:p w14:paraId="0E9090B7" w14:textId="77777777" w:rsidR="00EA2B5F" w:rsidRPr="00F25EBD" w:rsidRDefault="00EA2B5F" w:rsidP="002C7D64">
            <w:pPr>
              <w:spacing w:after="0" w:line="240" w:lineRule="auto"/>
              <w:jc w:val="center"/>
              <w:rPr>
                <w:rFonts w:asciiTheme="majorHAnsi" w:eastAsia="Times New Roman" w:hAnsiTheme="majorHAnsi" w:cstheme="majorHAnsi"/>
                <w:sz w:val="20"/>
                <w:szCs w:val="20"/>
                <w:lang w:eastAsia="pl-PL"/>
              </w:rPr>
            </w:pPr>
            <w:r w:rsidRPr="00F25EBD">
              <w:rPr>
                <w:rFonts w:asciiTheme="majorHAnsi" w:eastAsia="Times New Roman" w:hAnsiTheme="majorHAnsi" w:cstheme="majorHAnsi"/>
                <w:sz w:val="20"/>
                <w:szCs w:val="20"/>
                <w:lang w:eastAsia="pl-PL"/>
              </w:rPr>
              <w:t>2</w:t>
            </w:r>
          </w:p>
        </w:tc>
      </w:tr>
      <w:tr w:rsidR="00EA2B5F" w:rsidRPr="00F25EBD" w14:paraId="501753D1" w14:textId="77777777" w:rsidTr="002C7D64">
        <w:trPr>
          <w:trHeight w:val="20"/>
        </w:trPr>
        <w:tc>
          <w:tcPr>
            <w:tcW w:w="961" w:type="pct"/>
            <w:vMerge w:val="restart"/>
            <w:tcBorders>
              <w:top w:val="single" w:sz="4" w:space="0" w:color="808080" w:themeColor="background1" w:themeShade="80"/>
              <w:bottom w:val="single" w:sz="4" w:space="0" w:color="808080" w:themeColor="background1" w:themeShade="80"/>
            </w:tcBorders>
            <w:shd w:val="clear" w:color="auto" w:fill="auto"/>
            <w:vAlign w:val="center"/>
            <w:hideMark/>
          </w:tcPr>
          <w:p w14:paraId="09C4FDEF" w14:textId="77777777" w:rsidR="00EA2B5F" w:rsidRPr="00F25EBD" w:rsidRDefault="00EA2B5F" w:rsidP="002C7D64">
            <w:pPr>
              <w:spacing w:after="0" w:line="240" w:lineRule="auto"/>
              <w:jc w:val="center"/>
              <w:rPr>
                <w:rFonts w:asciiTheme="majorHAnsi" w:eastAsia="Times New Roman" w:hAnsiTheme="majorHAnsi" w:cstheme="majorHAnsi"/>
                <w:sz w:val="20"/>
                <w:szCs w:val="20"/>
                <w:lang w:eastAsia="pl-PL"/>
              </w:rPr>
            </w:pPr>
            <w:r w:rsidRPr="00F25EBD">
              <w:rPr>
                <w:rFonts w:asciiTheme="majorHAnsi" w:eastAsia="Times New Roman" w:hAnsiTheme="majorHAnsi" w:cstheme="majorHAnsi"/>
                <w:sz w:val="20"/>
                <w:szCs w:val="20"/>
                <w:lang w:eastAsia="pl-PL"/>
              </w:rPr>
              <w:t>Matematyka</w:t>
            </w:r>
          </w:p>
        </w:tc>
        <w:tc>
          <w:tcPr>
            <w:tcW w:w="1264" w:type="pct"/>
            <w:tcBorders>
              <w:top w:val="single" w:sz="4" w:space="0" w:color="808080" w:themeColor="background1" w:themeShade="80"/>
              <w:bottom w:val="single" w:sz="4" w:space="0" w:color="808080" w:themeColor="background1" w:themeShade="80"/>
            </w:tcBorders>
            <w:shd w:val="clear" w:color="auto" w:fill="auto"/>
            <w:vAlign w:val="center"/>
            <w:hideMark/>
          </w:tcPr>
          <w:p w14:paraId="654E7816" w14:textId="77777777" w:rsidR="00EA2B5F" w:rsidRPr="00F25EBD" w:rsidRDefault="00EA2B5F" w:rsidP="002C7D64">
            <w:pPr>
              <w:spacing w:after="0" w:line="240" w:lineRule="auto"/>
              <w:ind w:left="356"/>
              <w:rPr>
                <w:rFonts w:asciiTheme="majorHAnsi" w:eastAsia="Times New Roman" w:hAnsiTheme="majorHAnsi" w:cstheme="majorHAnsi"/>
                <w:sz w:val="20"/>
                <w:szCs w:val="20"/>
                <w:lang w:eastAsia="pl-PL"/>
              </w:rPr>
            </w:pPr>
            <w:r w:rsidRPr="00F25EBD">
              <w:rPr>
                <w:rFonts w:asciiTheme="majorHAnsi" w:eastAsia="Times New Roman" w:hAnsiTheme="majorHAnsi" w:cstheme="majorHAnsi"/>
                <w:sz w:val="20"/>
                <w:szCs w:val="20"/>
                <w:lang w:eastAsia="pl-PL"/>
              </w:rPr>
              <w:t>niskim</w:t>
            </w:r>
          </w:p>
        </w:tc>
        <w:tc>
          <w:tcPr>
            <w:tcW w:w="735" w:type="pct"/>
            <w:tcBorders>
              <w:top w:val="single" w:sz="4" w:space="0" w:color="808080" w:themeColor="background1" w:themeShade="80"/>
              <w:bottom w:val="single" w:sz="4" w:space="0" w:color="808080" w:themeColor="background1" w:themeShade="80"/>
            </w:tcBorders>
            <w:shd w:val="clear" w:color="auto" w:fill="auto"/>
            <w:vAlign w:val="center"/>
            <w:hideMark/>
          </w:tcPr>
          <w:p w14:paraId="0E61E206" w14:textId="77777777" w:rsidR="00EA2B5F" w:rsidRPr="00F25EBD" w:rsidRDefault="00EA2B5F" w:rsidP="002C7D64">
            <w:pPr>
              <w:spacing w:after="0" w:line="240" w:lineRule="auto"/>
              <w:jc w:val="center"/>
              <w:rPr>
                <w:rFonts w:asciiTheme="majorHAnsi" w:eastAsia="Times New Roman" w:hAnsiTheme="majorHAnsi" w:cstheme="majorHAnsi"/>
                <w:sz w:val="20"/>
                <w:szCs w:val="20"/>
                <w:lang w:eastAsia="pl-PL"/>
              </w:rPr>
            </w:pPr>
            <w:r w:rsidRPr="00F25EBD">
              <w:rPr>
                <w:rFonts w:asciiTheme="majorHAnsi" w:eastAsia="Times New Roman" w:hAnsiTheme="majorHAnsi" w:cstheme="majorHAnsi"/>
                <w:sz w:val="20"/>
                <w:szCs w:val="20"/>
                <w:lang w:eastAsia="pl-PL"/>
              </w:rPr>
              <w:t>13</w:t>
            </w:r>
          </w:p>
        </w:tc>
        <w:tc>
          <w:tcPr>
            <w:tcW w:w="598" w:type="pct"/>
            <w:tcBorders>
              <w:top w:val="single" w:sz="4" w:space="0" w:color="808080" w:themeColor="background1" w:themeShade="80"/>
              <w:bottom w:val="single" w:sz="4" w:space="0" w:color="808080" w:themeColor="background1" w:themeShade="80"/>
            </w:tcBorders>
            <w:shd w:val="clear" w:color="auto" w:fill="auto"/>
            <w:vAlign w:val="center"/>
            <w:hideMark/>
          </w:tcPr>
          <w:p w14:paraId="5C28C796" w14:textId="77777777" w:rsidR="00EA2B5F" w:rsidRPr="00F25EBD" w:rsidRDefault="00EA2B5F" w:rsidP="002C7D64">
            <w:pPr>
              <w:spacing w:after="0" w:line="240" w:lineRule="auto"/>
              <w:jc w:val="center"/>
              <w:rPr>
                <w:rFonts w:asciiTheme="majorHAnsi" w:eastAsia="Times New Roman" w:hAnsiTheme="majorHAnsi" w:cstheme="majorHAnsi"/>
                <w:sz w:val="20"/>
                <w:szCs w:val="20"/>
                <w:lang w:eastAsia="pl-PL"/>
              </w:rPr>
            </w:pPr>
            <w:r w:rsidRPr="00F25EBD">
              <w:rPr>
                <w:rFonts w:asciiTheme="majorHAnsi" w:eastAsia="Times New Roman" w:hAnsiTheme="majorHAnsi" w:cstheme="majorHAnsi"/>
                <w:sz w:val="20"/>
                <w:szCs w:val="20"/>
                <w:lang w:eastAsia="pl-PL"/>
              </w:rPr>
              <w:t>9</w:t>
            </w:r>
          </w:p>
        </w:tc>
        <w:tc>
          <w:tcPr>
            <w:tcW w:w="596" w:type="pct"/>
            <w:tcBorders>
              <w:top w:val="single" w:sz="4" w:space="0" w:color="808080" w:themeColor="background1" w:themeShade="80"/>
              <w:bottom w:val="single" w:sz="4" w:space="0" w:color="808080" w:themeColor="background1" w:themeShade="80"/>
            </w:tcBorders>
            <w:shd w:val="clear" w:color="auto" w:fill="auto"/>
            <w:vAlign w:val="center"/>
            <w:hideMark/>
          </w:tcPr>
          <w:p w14:paraId="237DA34E" w14:textId="77777777" w:rsidR="00EA2B5F" w:rsidRPr="00F25EBD" w:rsidRDefault="00EA2B5F" w:rsidP="002C7D64">
            <w:pPr>
              <w:spacing w:after="0" w:line="240" w:lineRule="auto"/>
              <w:jc w:val="center"/>
              <w:rPr>
                <w:rFonts w:asciiTheme="majorHAnsi" w:eastAsia="Times New Roman" w:hAnsiTheme="majorHAnsi" w:cstheme="majorHAnsi"/>
                <w:sz w:val="20"/>
                <w:szCs w:val="20"/>
                <w:lang w:eastAsia="pl-PL"/>
              </w:rPr>
            </w:pPr>
            <w:r w:rsidRPr="00F25EBD">
              <w:rPr>
                <w:rFonts w:asciiTheme="majorHAnsi" w:eastAsia="Times New Roman" w:hAnsiTheme="majorHAnsi" w:cstheme="majorHAnsi"/>
                <w:sz w:val="20"/>
                <w:szCs w:val="20"/>
                <w:lang w:eastAsia="pl-PL"/>
              </w:rPr>
              <w:t>14</w:t>
            </w:r>
          </w:p>
        </w:tc>
        <w:tc>
          <w:tcPr>
            <w:tcW w:w="846" w:type="pct"/>
            <w:tcBorders>
              <w:top w:val="single" w:sz="4" w:space="0" w:color="808080" w:themeColor="background1" w:themeShade="80"/>
              <w:bottom w:val="single" w:sz="4" w:space="0" w:color="808080" w:themeColor="background1" w:themeShade="80"/>
            </w:tcBorders>
            <w:shd w:val="clear" w:color="auto" w:fill="auto"/>
            <w:vAlign w:val="center"/>
            <w:hideMark/>
          </w:tcPr>
          <w:p w14:paraId="25EEAAB3" w14:textId="77777777" w:rsidR="00EA2B5F" w:rsidRPr="00F25EBD" w:rsidRDefault="00EA2B5F" w:rsidP="002C7D64">
            <w:pPr>
              <w:spacing w:after="0" w:line="240" w:lineRule="auto"/>
              <w:jc w:val="center"/>
              <w:rPr>
                <w:rFonts w:asciiTheme="majorHAnsi" w:eastAsia="Times New Roman" w:hAnsiTheme="majorHAnsi" w:cstheme="majorHAnsi"/>
                <w:sz w:val="20"/>
                <w:szCs w:val="20"/>
                <w:lang w:eastAsia="pl-PL"/>
              </w:rPr>
            </w:pPr>
            <w:r w:rsidRPr="00F25EBD">
              <w:rPr>
                <w:rFonts w:asciiTheme="majorHAnsi" w:eastAsia="Times New Roman" w:hAnsiTheme="majorHAnsi" w:cstheme="majorHAnsi"/>
                <w:sz w:val="20"/>
                <w:szCs w:val="20"/>
                <w:lang w:eastAsia="pl-PL"/>
              </w:rPr>
              <w:t>10</w:t>
            </w:r>
          </w:p>
        </w:tc>
      </w:tr>
      <w:tr w:rsidR="00EA2B5F" w:rsidRPr="00F25EBD" w14:paraId="4AF7EE60" w14:textId="77777777" w:rsidTr="002C7D64">
        <w:trPr>
          <w:trHeight w:val="20"/>
        </w:trPr>
        <w:tc>
          <w:tcPr>
            <w:tcW w:w="961" w:type="pct"/>
            <w:vMerge/>
            <w:tcBorders>
              <w:top w:val="single" w:sz="4" w:space="0" w:color="808080" w:themeColor="background1" w:themeShade="80"/>
              <w:bottom w:val="single" w:sz="4" w:space="0" w:color="808080" w:themeColor="background1" w:themeShade="80"/>
            </w:tcBorders>
            <w:vAlign w:val="center"/>
            <w:hideMark/>
          </w:tcPr>
          <w:p w14:paraId="29F75B02" w14:textId="77777777" w:rsidR="00EA2B5F" w:rsidRPr="00F25EBD" w:rsidRDefault="00EA2B5F" w:rsidP="002C7D64">
            <w:pPr>
              <w:spacing w:after="0" w:line="240" w:lineRule="auto"/>
              <w:rPr>
                <w:rFonts w:asciiTheme="majorHAnsi" w:eastAsia="Times New Roman" w:hAnsiTheme="majorHAnsi" w:cstheme="majorHAnsi"/>
                <w:sz w:val="20"/>
                <w:szCs w:val="20"/>
                <w:lang w:eastAsia="pl-PL"/>
              </w:rPr>
            </w:pPr>
          </w:p>
        </w:tc>
        <w:tc>
          <w:tcPr>
            <w:tcW w:w="1264" w:type="pct"/>
            <w:tcBorders>
              <w:top w:val="single" w:sz="4" w:space="0" w:color="808080" w:themeColor="background1" w:themeShade="80"/>
              <w:bottom w:val="single" w:sz="4" w:space="0" w:color="808080" w:themeColor="background1" w:themeShade="80"/>
            </w:tcBorders>
            <w:shd w:val="clear" w:color="auto" w:fill="auto"/>
            <w:vAlign w:val="center"/>
            <w:hideMark/>
          </w:tcPr>
          <w:p w14:paraId="116B2CA7" w14:textId="77777777" w:rsidR="00EA2B5F" w:rsidRPr="00F25EBD" w:rsidRDefault="00EA2B5F" w:rsidP="002C7D64">
            <w:pPr>
              <w:spacing w:after="0" w:line="240" w:lineRule="auto"/>
              <w:ind w:left="356"/>
              <w:rPr>
                <w:rFonts w:asciiTheme="majorHAnsi" w:eastAsia="Times New Roman" w:hAnsiTheme="majorHAnsi" w:cstheme="majorHAnsi"/>
                <w:sz w:val="20"/>
                <w:szCs w:val="20"/>
                <w:lang w:eastAsia="pl-PL"/>
              </w:rPr>
            </w:pPr>
            <w:r w:rsidRPr="00F25EBD">
              <w:rPr>
                <w:rFonts w:asciiTheme="majorHAnsi" w:eastAsia="Times New Roman" w:hAnsiTheme="majorHAnsi" w:cstheme="majorHAnsi"/>
                <w:sz w:val="20"/>
                <w:szCs w:val="20"/>
                <w:lang w:eastAsia="pl-PL"/>
              </w:rPr>
              <w:t>średnim</w:t>
            </w:r>
          </w:p>
        </w:tc>
        <w:tc>
          <w:tcPr>
            <w:tcW w:w="735" w:type="pct"/>
            <w:tcBorders>
              <w:top w:val="single" w:sz="4" w:space="0" w:color="808080" w:themeColor="background1" w:themeShade="80"/>
              <w:bottom w:val="single" w:sz="4" w:space="0" w:color="808080" w:themeColor="background1" w:themeShade="80"/>
            </w:tcBorders>
            <w:shd w:val="clear" w:color="auto" w:fill="auto"/>
            <w:vAlign w:val="center"/>
            <w:hideMark/>
          </w:tcPr>
          <w:p w14:paraId="579CBCBC" w14:textId="77777777" w:rsidR="00EA2B5F" w:rsidRPr="00F25EBD" w:rsidRDefault="00EA2B5F" w:rsidP="002C7D64">
            <w:pPr>
              <w:spacing w:after="0" w:line="240" w:lineRule="auto"/>
              <w:jc w:val="center"/>
              <w:rPr>
                <w:rFonts w:asciiTheme="majorHAnsi" w:eastAsia="Times New Roman" w:hAnsiTheme="majorHAnsi" w:cstheme="majorHAnsi"/>
                <w:sz w:val="20"/>
                <w:szCs w:val="20"/>
                <w:lang w:eastAsia="pl-PL"/>
              </w:rPr>
            </w:pPr>
            <w:r w:rsidRPr="00F25EBD">
              <w:rPr>
                <w:rFonts w:asciiTheme="majorHAnsi" w:eastAsia="Times New Roman" w:hAnsiTheme="majorHAnsi" w:cstheme="majorHAnsi"/>
                <w:sz w:val="20"/>
                <w:szCs w:val="20"/>
                <w:lang w:eastAsia="pl-PL"/>
              </w:rPr>
              <w:t>17</w:t>
            </w:r>
          </w:p>
        </w:tc>
        <w:tc>
          <w:tcPr>
            <w:tcW w:w="598" w:type="pct"/>
            <w:tcBorders>
              <w:top w:val="single" w:sz="4" w:space="0" w:color="808080" w:themeColor="background1" w:themeShade="80"/>
              <w:bottom w:val="single" w:sz="4" w:space="0" w:color="808080" w:themeColor="background1" w:themeShade="80"/>
            </w:tcBorders>
            <w:shd w:val="clear" w:color="auto" w:fill="auto"/>
            <w:vAlign w:val="center"/>
            <w:hideMark/>
          </w:tcPr>
          <w:p w14:paraId="33016FBC" w14:textId="77777777" w:rsidR="00EA2B5F" w:rsidRPr="00F25EBD" w:rsidRDefault="00EA2B5F" w:rsidP="002C7D64">
            <w:pPr>
              <w:spacing w:after="0" w:line="240" w:lineRule="auto"/>
              <w:jc w:val="center"/>
              <w:rPr>
                <w:rFonts w:asciiTheme="majorHAnsi" w:eastAsia="Times New Roman" w:hAnsiTheme="majorHAnsi" w:cstheme="majorHAnsi"/>
                <w:sz w:val="20"/>
                <w:szCs w:val="20"/>
                <w:lang w:eastAsia="pl-PL"/>
              </w:rPr>
            </w:pPr>
            <w:r w:rsidRPr="00F25EBD">
              <w:rPr>
                <w:rFonts w:asciiTheme="majorHAnsi" w:eastAsia="Times New Roman" w:hAnsiTheme="majorHAnsi" w:cstheme="majorHAnsi"/>
                <w:sz w:val="20"/>
                <w:szCs w:val="20"/>
                <w:lang w:eastAsia="pl-PL"/>
              </w:rPr>
              <w:t>5</w:t>
            </w:r>
          </w:p>
        </w:tc>
        <w:tc>
          <w:tcPr>
            <w:tcW w:w="596" w:type="pct"/>
            <w:tcBorders>
              <w:top w:val="single" w:sz="4" w:space="0" w:color="808080" w:themeColor="background1" w:themeShade="80"/>
              <w:bottom w:val="single" w:sz="4" w:space="0" w:color="808080" w:themeColor="background1" w:themeShade="80"/>
            </w:tcBorders>
            <w:shd w:val="clear" w:color="auto" w:fill="auto"/>
            <w:vAlign w:val="center"/>
            <w:hideMark/>
          </w:tcPr>
          <w:p w14:paraId="5928474D" w14:textId="77777777" w:rsidR="00EA2B5F" w:rsidRPr="00F25EBD" w:rsidRDefault="00EA2B5F" w:rsidP="002C7D64">
            <w:pPr>
              <w:spacing w:after="0" w:line="240" w:lineRule="auto"/>
              <w:jc w:val="center"/>
              <w:rPr>
                <w:rFonts w:asciiTheme="majorHAnsi" w:eastAsia="Times New Roman" w:hAnsiTheme="majorHAnsi" w:cstheme="majorHAnsi"/>
                <w:sz w:val="20"/>
                <w:szCs w:val="20"/>
                <w:lang w:eastAsia="pl-PL"/>
              </w:rPr>
            </w:pPr>
            <w:r w:rsidRPr="00F25EBD">
              <w:rPr>
                <w:rFonts w:asciiTheme="majorHAnsi" w:eastAsia="Times New Roman" w:hAnsiTheme="majorHAnsi" w:cstheme="majorHAnsi"/>
                <w:sz w:val="20"/>
                <w:szCs w:val="20"/>
                <w:lang w:eastAsia="pl-PL"/>
              </w:rPr>
              <w:t>5</w:t>
            </w:r>
          </w:p>
        </w:tc>
        <w:tc>
          <w:tcPr>
            <w:tcW w:w="846" w:type="pct"/>
            <w:tcBorders>
              <w:top w:val="single" w:sz="4" w:space="0" w:color="808080" w:themeColor="background1" w:themeShade="80"/>
              <w:bottom w:val="single" w:sz="4" w:space="0" w:color="808080" w:themeColor="background1" w:themeShade="80"/>
            </w:tcBorders>
            <w:shd w:val="clear" w:color="auto" w:fill="auto"/>
            <w:vAlign w:val="center"/>
            <w:hideMark/>
          </w:tcPr>
          <w:p w14:paraId="7944442A" w14:textId="77777777" w:rsidR="00EA2B5F" w:rsidRPr="00F25EBD" w:rsidRDefault="00EA2B5F" w:rsidP="002C7D64">
            <w:pPr>
              <w:spacing w:after="0" w:line="240" w:lineRule="auto"/>
              <w:jc w:val="center"/>
              <w:rPr>
                <w:rFonts w:asciiTheme="majorHAnsi" w:eastAsia="Times New Roman" w:hAnsiTheme="majorHAnsi" w:cstheme="majorHAnsi"/>
                <w:sz w:val="20"/>
                <w:szCs w:val="20"/>
                <w:lang w:eastAsia="pl-PL"/>
              </w:rPr>
            </w:pPr>
            <w:r w:rsidRPr="00F25EBD">
              <w:rPr>
                <w:rFonts w:asciiTheme="majorHAnsi" w:eastAsia="Times New Roman" w:hAnsiTheme="majorHAnsi" w:cstheme="majorHAnsi"/>
                <w:sz w:val="20"/>
                <w:szCs w:val="20"/>
                <w:lang w:eastAsia="pl-PL"/>
              </w:rPr>
              <w:t>17</w:t>
            </w:r>
          </w:p>
        </w:tc>
      </w:tr>
      <w:tr w:rsidR="00EA2B5F" w:rsidRPr="00F25EBD" w14:paraId="4D8899FA" w14:textId="77777777" w:rsidTr="002C7D64">
        <w:trPr>
          <w:trHeight w:val="20"/>
        </w:trPr>
        <w:tc>
          <w:tcPr>
            <w:tcW w:w="961" w:type="pct"/>
            <w:vMerge/>
            <w:tcBorders>
              <w:top w:val="single" w:sz="4" w:space="0" w:color="808080" w:themeColor="background1" w:themeShade="80"/>
              <w:bottom w:val="single" w:sz="4" w:space="0" w:color="808080" w:themeColor="background1" w:themeShade="80"/>
            </w:tcBorders>
            <w:vAlign w:val="center"/>
            <w:hideMark/>
          </w:tcPr>
          <w:p w14:paraId="2480C11A" w14:textId="77777777" w:rsidR="00EA2B5F" w:rsidRPr="00F25EBD" w:rsidRDefault="00EA2B5F" w:rsidP="002C7D64">
            <w:pPr>
              <w:spacing w:after="0" w:line="240" w:lineRule="auto"/>
              <w:rPr>
                <w:rFonts w:asciiTheme="majorHAnsi" w:eastAsia="Times New Roman" w:hAnsiTheme="majorHAnsi" w:cstheme="majorHAnsi"/>
                <w:sz w:val="20"/>
                <w:szCs w:val="20"/>
                <w:lang w:eastAsia="pl-PL"/>
              </w:rPr>
            </w:pPr>
          </w:p>
        </w:tc>
        <w:tc>
          <w:tcPr>
            <w:tcW w:w="1264" w:type="pct"/>
            <w:tcBorders>
              <w:top w:val="single" w:sz="4" w:space="0" w:color="808080" w:themeColor="background1" w:themeShade="80"/>
              <w:bottom w:val="single" w:sz="4" w:space="0" w:color="808080" w:themeColor="background1" w:themeShade="80"/>
            </w:tcBorders>
            <w:shd w:val="clear" w:color="auto" w:fill="auto"/>
            <w:vAlign w:val="center"/>
            <w:hideMark/>
          </w:tcPr>
          <w:p w14:paraId="7A7CCF52" w14:textId="77777777" w:rsidR="00EA2B5F" w:rsidRPr="00F25EBD" w:rsidRDefault="00EA2B5F" w:rsidP="002C7D64">
            <w:pPr>
              <w:spacing w:after="0" w:line="240" w:lineRule="auto"/>
              <w:ind w:left="356"/>
              <w:rPr>
                <w:rFonts w:asciiTheme="majorHAnsi" w:eastAsia="Times New Roman" w:hAnsiTheme="majorHAnsi" w:cstheme="majorHAnsi"/>
                <w:sz w:val="20"/>
                <w:szCs w:val="20"/>
                <w:lang w:eastAsia="pl-PL"/>
              </w:rPr>
            </w:pPr>
            <w:r w:rsidRPr="00F25EBD">
              <w:rPr>
                <w:rFonts w:asciiTheme="majorHAnsi" w:eastAsia="Times New Roman" w:hAnsiTheme="majorHAnsi" w:cstheme="majorHAnsi"/>
                <w:sz w:val="20"/>
                <w:szCs w:val="20"/>
                <w:lang w:eastAsia="pl-PL"/>
              </w:rPr>
              <w:t>wysokim</w:t>
            </w:r>
          </w:p>
        </w:tc>
        <w:tc>
          <w:tcPr>
            <w:tcW w:w="735" w:type="pct"/>
            <w:tcBorders>
              <w:top w:val="single" w:sz="4" w:space="0" w:color="808080" w:themeColor="background1" w:themeShade="80"/>
              <w:bottom w:val="single" w:sz="4" w:space="0" w:color="808080" w:themeColor="background1" w:themeShade="80"/>
            </w:tcBorders>
            <w:shd w:val="clear" w:color="auto" w:fill="auto"/>
            <w:vAlign w:val="center"/>
            <w:hideMark/>
          </w:tcPr>
          <w:p w14:paraId="212A6491" w14:textId="77777777" w:rsidR="00EA2B5F" w:rsidRPr="00F25EBD" w:rsidRDefault="00EA2B5F" w:rsidP="002C7D64">
            <w:pPr>
              <w:spacing w:after="0" w:line="240" w:lineRule="auto"/>
              <w:jc w:val="center"/>
              <w:rPr>
                <w:rFonts w:asciiTheme="majorHAnsi" w:eastAsia="Times New Roman" w:hAnsiTheme="majorHAnsi" w:cstheme="majorHAnsi"/>
                <w:sz w:val="20"/>
                <w:szCs w:val="20"/>
                <w:lang w:eastAsia="pl-PL"/>
              </w:rPr>
            </w:pPr>
            <w:r w:rsidRPr="00F25EBD">
              <w:rPr>
                <w:rFonts w:asciiTheme="majorHAnsi" w:eastAsia="Times New Roman" w:hAnsiTheme="majorHAnsi" w:cstheme="majorHAnsi"/>
                <w:sz w:val="20"/>
                <w:szCs w:val="20"/>
                <w:lang w:eastAsia="pl-PL"/>
              </w:rPr>
              <w:t>1</w:t>
            </w:r>
          </w:p>
        </w:tc>
        <w:tc>
          <w:tcPr>
            <w:tcW w:w="598" w:type="pct"/>
            <w:tcBorders>
              <w:top w:val="single" w:sz="4" w:space="0" w:color="808080" w:themeColor="background1" w:themeShade="80"/>
              <w:bottom w:val="single" w:sz="4" w:space="0" w:color="808080" w:themeColor="background1" w:themeShade="80"/>
            </w:tcBorders>
            <w:shd w:val="clear" w:color="auto" w:fill="auto"/>
            <w:vAlign w:val="center"/>
            <w:hideMark/>
          </w:tcPr>
          <w:p w14:paraId="7260D82D" w14:textId="77777777" w:rsidR="00EA2B5F" w:rsidRPr="00F25EBD" w:rsidRDefault="00EA2B5F" w:rsidP="002C7D64">
            <w:pPr>
              <w:spacing w:after="0" w:line="240" w:lineRule="auto"/>
              <w:jc w:val="center"/>
              <w:rPr>
                <w:rFonts w:asciiTheme="majorHAnsi" w:eastAsia="Times New Roman" w:hAnsiTheme="majorHAnsi" w:cstheme="majorHAnsi"/>
                <w:sz w:val="20"/>
                <w:szCs w:val="20"/>
                <w:lang w:eastAsia="pl-PL"/>
              </w:rPr>
            </w:pPr>
            <w:r w:rsidRPr="00F25EBD">
              <w:rPr>
                <w:rFonts w:asciiTheme="majorHAnsi" w:eastAsia="Times New Roman" w:hAnsiTheme="majorHAnsi" w:cstheme="majorHAnsi"/>
                <w:sz w:val="20"/>
                <w:szCs w:val="20"/>
                <w:lang w:eastAsia="pl-PL"/>
              </w:rPr>
              <w:t>1</w:t>
            </w:r>
          </w:p>
        </w:tc>
        <w:tc>
          <w:tcPr>
            <w:tcW w:w="596" w:type="pct"/>
            <w:tcBorders>
              <w:top w:val="single" w:sz="4" w:space="0" w:color="808080" w:themeColor="background1" w:themeShade="80"/>
              <w:bottom w:val="single" w:sz="4" w:space="0" w:color="808080" w:themeColor="background1" w:themeShade="80"/>
            </w:tcBorders>
            <w:shd w:val="clear" w:color="auto" w:fill="auto"/>
            <w:vAlign w:val="center"/>
            <w:hideMark/>
          </w:tcPr>
          <w:p w14:paraId="08523DD2" w14:textId="77777777" w:rsidR="00EA2B5F" w:rsidRPr="00F25EBD" w:rsidRDefault="00EA2B5F" w:rsidP="002C7D64">
            <w:pPr>
              <w:spacing w:after="0" w:line="240" w:lineRule="auto"/>
              <w:jc w:val="center"/>
              <w:rPr>
                <w:rFonts w:asciiTheme="majorHAnsi" w:eastAsia="Times New Roman" w:hAnsiTheme="majorHAnsi" w:cstheme="majorHAnsi"/>
                <w:sz w:val="20"/>
                <w:szCs w:val="20"/>
                <w:lang w:eastAsia="pl-PL"/>
              </w:rPr>
            </w:pPr>
            <w:r w:rsidRPr="00F25EBD">
              <w:rPr>
                <w:rFonts w:asciiTheme="majorHAnsi" w:eastAsia="Times New Roman" w:hAnsiTheme="majorHAnsi" w:cstheme="majorHAnsi"/>
                <w:sz w:val="20"/>
                <w:szCs w:val="20"/>
                <w:lang w:eastAsia="pl-PL"/>
              </w:rPr>
              <w:t>3</w:t>
            </w:r>
          </w:p>
        </w:tc>
        <w:tc>
          <w:tcPr>
            <w:tcW w:w="846" w:type="pct"/>
            <w:tcBorders>
              <w:top w:val="single" w:sz="4" w:space="0" w:color="808080" w:themeColor="background1" w:themeShade="80"/>
              <w:bottom w:val="single" w:sz="4" w:space="0" w:color="808080" w:themeColor="background1" w:themeShade="80"/>
            </w:tcBorders>
            <w:shd w:val="clear" w:color="auto" w:fill="auto"/>
            <w:vAlign w:val="center"/>
            <w:hideMark/>
          </w:tcPr>
          <w:p w14:paraId="561A6459" w14:textId="77777777" w:rsidR="00EA2B5F" w:rsidRPr="00F25EBD" w:rsidRDefault="00EA2B5F" w:rsidP="002C7D64">
            <w:pPr>
              <w:spacing w:after="0" w:line="240" w:lineRule="auto"/>
              <w:jc w:val="center"/>
              <w:rPr>
                <w:rFonts w:asciiTheme="majorHAnsi" w:eastAsia="Times New Roman" w:hAnsiTheme="majorHAnsi" w:cstheme="majorHAnsi"/>
                <w:sz w:val="20"/>
                <w:szCs w:val="20"/>
                <w:lang w:eastAsia="pl-PL"/>
              </w:rPr>
            </w:pPr>
            <w:r w:rsidRPr="00F25EBD">
              <w:rPr>
                <w:rFonts w:asciiTheme="majorHAnsi" w:eastAsia="Times New Roman" w:hAnsiTheme="majorHAnsi" w:cstheme="majorHAnsi"/>
                <w:sz w:val="20"/>
                <w:szCs w:val="20"/>
                <w:lang w:eastAsia="pl-PL"/>
              </w:rPr>
              <w:t>0</w:t>
            </w:r>
          </w:p>
        </w:tc>
      </w:tr>
      <w:tr w:rsidR="00EA2B5F" w:rsidRPr="00F25EBD" w14:paraId="4BBE29A3" w14:textId="77777777" w:rsidTr="002C7D64">
        <w:trPr>
          <w:trHeight w:val="20"/>
        </w:trPr>
        <w:tc>
          <w:tcPr>
            <w:tcW w:w="961" w:type="pct"/>
            <w:vMerge w:val="restart"/>
            <w:tcBorders>
              <w:top w:val="single" w:sz="4" w:space="0" w:color="808080" w:themeColor="background1" w:themeShade="80"/>
              <w:bottom w:val="single" w:sz="4" w:space="0" w:color="808080" w:themeColor="background1" w:themeShade="80"/>
            </w:tcBorders>
            <w:shd w:val="clear" w:color="auto" w:fill="auto"/>
            <w:vAlign w:val="center"/>
            <w:hideMark/>
          </w:tcPr>
          <w:p w14:paraId="0C87D807" w14:textId="77777777" w:rsidR="00EA2B5F" w:rsidRPr="00F25EBD" w:rsidRDefault="00EA2B5F" w:rsidP="002C7D64">
            <w:pPr>
              <w:spacing w:after="0" w:line="240" w:lineRule="auto"/>
              <w:jc w:val="center"/>
              <w:rPr>
                <w:rFonts w:asciiTheme="majorHAnsi" w:eastAsia="Times New Roman" w:hAnsiTheme="majorHAnsi" w:cstheme="majorHAnsi"/>
                <w:sz w:val="20"/>
                <w:szCs w:val="20"/>
                <w:lang w:eastAsia="pl-PL"/>
              </w:rPr>
            </w:pPr>
            <w:r w:rsidRPr="00F25EBD">
              <w:rPr>
                <w:rFonts w:asciiTheme="majorHAnsi" w:eastAsia="Times New Roman" w:hAnsiTheme="majorHAnsi" w:cstheme="majorHAnsi"/>
                <w:sz w:val="20"/>
                <w:szCs w:val="20"/>
                <w:lang w:eastAsia="pl-PL"/>
              </w:rPr>
              <w:t>Język angielski</w:t>
            </w:r>
          </w:p>
        </w:tc>
        <w:tc>
          <w:tcPr>
            <w:tcW w:w="1264" w:type="pct"/>
            <w:tcBorders>
              <w:top w:val="single" w:sz="4" w:space="0" w:color="808080" w:themeColor="background1" w:themeShade="80"/>
              <w:bottom w:val="single" w:sz="4" w:space="0" w:color="808080" w:themeColor="background1" w:themeShade="80"/>
            </w:tcBorders>
            <w:shd w:val="clear" w:color="auto" w:fill="auto"/>
            <w:vAlign w:val="center"/>
            <w:hideMark/>
          </w:tcPr>
          <w:p w14:paraId="52772D9A" w14:textId="77777777" w:rsidR="00EA2B5F" w:rsidRPr="00F25EBD" w:rsidRDefault="00EA2B5F" w:rsidP="002C7D64">
            <w:pPr>
              <w:spacing w:after="0" w:line="240" w:lineRule="auto"/>
              <w:ind w:left="356"/>
              <w:rPr>
                <w:rFonts w:asciiTheme="majorHAnsi" w:eastAsia="Times New Roman" w:hAnsiTheme="majorHAnsi" w:cstheme="majorHAnsi"/>
                <w:sz w:val="20"/>
                <w:szCs w:val="20"/>
                <w:lang w:eastAsia="pl-PL"/>
              </w:rPr>
            </w:pPr>
            <w:r w:rsidRPr="00F25EBD">
              <w:rPr>
                <w:rFonts w:asciiTheme="majorHAnsi" w:eastAsia="Times New Roman" w:hAnsiTheme="majorHAnsi" w:cstheme="majorHAnsi"/>
                <w:sz w:val="20"/>
                <w:szCs w:val="20"/>
                <w:lang w:eastAsia="pl-PL"/>
              </w:rPr>
              <w:t>niskim</w:t>
            </w:r>
          </w:p>
        </w:tc>
        <w:tc>
          <w:tcPr>
            <w:tcW w:w="735" w:type="pct"/>
            <w:tcBorders>
              <w:top w:val="single" w:sz="4" w:space="0" w:color="808080" w:themeColor="background1" w:themeShade="80"/>
              <w:bottom w:val="single" w:sz="4" w:space="0" w:color="808080" w:themeColor="background1" w:themeShade="80"/>
            </w:tcBorders>
            <w:shd w:val="clear" w:color="auto" w:fill="auto"/>
            <w:vAlign w:val="center"/>
            <w:hideMark/>
          </w:tcPr>
          <w:p w14:paraId="411D5B77" w14:textId="77777777" w:rsidR="00EA2B5F" w:rsidRPr="00F25EBD" w:rsidRDefault="00EA2B5F" w:rsidP="002C7D64">
            <w:pPr>
              <w:spacing w:after="0" w:line="240" w:lineRule="auto"/>
              <w:jc w:val="center"/>
              <w:rPr>
                <w:rFonts w:asciiTheme="majorHAnsi" w:eastAsia="Times New Roman" w:hAnsiTheme="majorHAnsi" w:cstheme="majorHAnsi"/>
                <w:sz w:val="20"/>
                <w:szCs w:val="20"/>
                <w:lang w:eastAsia="pl-PL"/>
              </w:rPr>
            </w:pPr>
            <w:r w:rsidRPr="00F25EBD">
              <w:rPr>
                <w:rFonts w:asciiTheme="majorHAnsi" w:eastAsia="Times New Roman" w:hAnsiTheme="majorHAnsi" w:cstheme="majorHAnsi"/>
                <w:sz w:val="20"/>
                <w:szCs w:val="20"/>
                <w:lang w:eastAsia="pl-PL"/>
              </w:rPr>
              <w:t>11</w:t>
            </w:r>
          </w:p>
        </w:tc>
        <w:tc>
          <w:tcPr>
            <w:tcW w:w="598" w:type="pct"/>
            <w:tcBorders>
              <w:top w:val="single" w:sz="4" w:space="0" w:color="808080" w:themeColor="background1" w:themeShade="80"/>
              <w:bottom w:val="single" w:sz="4" w:space="0" w:color="808080" w:themeColor="background1" w:themeShade="80"/>
            </w:tcBorders>
            <w:shd w:val="clear" w:color="auto" w:fill="auto"/>
            <w:vAlign w:val="center"/>
            <w:hideMark/>
          </w:tcPr>
          <w:p w14:paraId="1E4ABB00" w14:textId="77777777" w:rsidR="00EA2B5F" w:rsidRPr="00F25EBD" w:rsidRDefault="00EA2B5F" w:rsidP="002C7D64">
            <w:pPr>
              <w:spacing w:after="0" w:line="240" w:lineRule="auto"/>
              <w:jc w:val="center"/>
              <w:rPr>
                <w:rFonts w:asciiTheme="majorHAnsi" w:eastAsia="Times New Roman" w:hAnsiTheme="majorHAnsi" w:cstheme="majorHAnsi"/>
                <w:sz w:val="20"/>
                <w:szCs w:val="20"/>
                <w:lang w:eastAsia="pl-PL"/>
              </w:rPr>
            </w:pPr>
            <w:r w:rsidRPr="00F25EBD">
              <w:rPr>
                <w:rFonts w:asciiTheme="majorHAnsi" w:eastAsia="Times New Roman" w:hAnsiTheme="majorHAnsi" w:cstheme="majorHAnsi"/>
                <w:sz w:val="20"/>
                <w:szCs w:val="20"/>
                <w:lang w:eastAsia="pl-PL"/>
              </w:rPr>
              <w:t>6</w:t>
            </w:r>
          </w:p>
        </w:tc>
        <w:tc>
          <w:tcPr>
            <w:tcW w:w="596" w:type="pct"/>
            <w:tcBorders>
              <w:top w:val="single" w:sz="4" w:space="0" w:color="808080" w:themeColor="background1" w:themeShade="80"/>
              <w:bottom w:val="single" w:sz="4" w:space="0" w:color="808080" w:themeColor="background1" w:themeShade="80"/>
            </w:tcBorders>
            <w:shd w:val="clear" w:color="auto" w:fill="auto"/>
            <w:vAlign w:val="center"/>
            <w:hideMark/>
          </w:tcPr>
          <w:p w14:paraId="33F4AF84" w14:textId="77777777" w:rsidR="00EA2B5F" w:rsidRPr="00F25EBD" w:rsidRDefault="00EA2B5F" w:rsidP="002C7D64">
            <w:pPr>
              <w:spacing w:after="0" w:line="240" w:lineRule="auto"/>
              <w:jc w:val="center"/>
              <w:rPr>
                <w:rFonts w:asciiTheme="majorHAnsi" w:eastAsia="Times New Roman" w:hAnsiTheme="majorHAnsi" w:cstheme="majorHAnsi"/>
                <w:sz w:val="20"/>
                <w:szCs w:val="20"/>
                <w:lang w:eastAsia="pl-PL"/>
              </w:rPr>
            </w:pPr>
            <w:r w:rsidRPr="00F25EBD">
              <w:rPr>
                <w:rFonts w:asciiTheme="majorHAnsi" w:eastAsia="Times New Roman" w:hAnsiTheme="majorHAnsi" w:cstheme="majorHAnsi"/>
                <w:sz w:val="20"/>
                <w:szCs w:val="20"/>
                <w:lang w:eastAsia="pl-PL"/>
              </w:rPr>
              <w:t>9</w:t>
            </w:r>
          </w:p>
        </w:tc>
        <w:tc>
          <w:tcPr>
            <w:tcW w:w="846" w:type="pct"/>
            <w:tcBorders>
              <w:top w:val="single" w:sz="4" w:space="0" w:color="808080" w:themeColor="background1" w:themeShade="80"/>
              <w:bottom w:val="single" w:sz="4" w:space="0" w:color="808080" w:themeColor="background1" w:themeShade="80"/>
            </w:tcBorders>
            <w:shd w:val="clear" w:color="auto" w:fill="auto"/>
            <w:vAlign w:val="center"/>
            <w:hideMark/>
          </w:tcPr>
          <w:p w14:paraId="4CFE1D7D" w14:textId="77777777" w:rsidR="00EA2B5F" w:rsidRPr="00F25EBD" w:rsidRDefault="00EA2B5F" w:rsidP="002C7D64">
            <w:pPr>
              <w:spacing w:after="0" w:line="240" w:lineRule="auto"/>
              <w:jc w:val="center"/>
              <w:rPr>
                <w:rFonts w:asciiTheme="majorHAnsi" w:eastAsia="Times New Roman" w:hAnsiTheme="majorHAnsi" w:cstheme="majorHAnsi"/>
                <w:sz w:val="20"/>
                <w:szCs w:val="20"/>
                <w:lang w:eastAsia="pl-PL"/>
              </w:rPr>
            </w:pPr>
            <w:r w:rsidRPr="00F25EBD">
              <w:rPr>
                <w:rFonts w:asciiTheme="majorHAnsi" w:eastAsia="Times New Roman" w:hAnsiTheme="majorHAnsi" w:cstheme="majorHAnsi"/>
                <w:sz w:val="20"/>
                <w:szCs w:val="20"/>
                <w:lang w:eastAsia="pl-PL"/>
              </w:rPr>
              <w:t>12</w:t>
            </w:r>
          </w:p>
        </w:tc>
      </w:tr>
      <w:tr w:rsidR="00EA2B5F" w:rsidRPr="00F25EBD" w14:paraId="2D2D14F8" w14:textId="77777777" w:rsidTr="002C7D64">
        <w:trPr>
          <w:trHeight w:val="20"/>
        </w:trPr>
        <w:tc>
          <w:tcPr>
            <w:tcW w:w="961" w:type="pct"/>
            <w:vMerge/>
            <w:tcBorders>
              <w:top w:val="single" w:sz="4" w:space="0" w:color="808080" w:themeColor="background1" w:themeShade="80"/>
              <w:bottom w:val="single" w:sz="4" w:space="0" w:color="808080" w:themeColor="background1" w:themeShade="80"/>
            </w:tcBorders>
            <w:vAlign w:val="center"/>
            <w:hideMark/>
          </w:tcPr>
          <w:p w14:paraId="59503B43" w14:textId="77777777" w:rsidR="00EA2B5F" w:rsidRPr="00F25EBD" w:rsidRDefault="00EA2B5F" w:rsidP="002C7D64">
            <w:pPr>
              <w:spacing w:after="0" w:line="240" w:lineRule="auto"/>
              <w:rPr>
                <w:rFonts w:asciiTheme="majorHAnsi" w:eastAsia="Times New Roman" w:hAnsiTheme="majorHAnsi" w:cstheme="majorHAnsi"/>
                <w:sz w:val="20"/>
                <w:szCs w:val="20"/>
                <w:lang w:eastAsia="pl-PL"/>
              </w:rPr>
            </w:pPr>
          </w:p>
        </w:tc>
        <w:tc>
          <w:tcPr>
            <w:tcW w:w="1264" w:type="pct"/>
            <w:tcBorders>
              <w:top w:val="single" w:sz="4" w:space="0" w:color="808080" w:themeColor="background1" w:themeShade="80"/>
              <w:bottom w:val="single" w:sz="4" w:space="0" w:color="808080" w:themeColor="background1" w:themeShade="80"/>
            </w:tcBorders>
            <w:shd w:val="clear" w:color="auto" w:fill="auto"/>
            <w:vAlign w:val="center"/>
            <w:hideMark/>
          </w:tcPr>
          <w:p w14:paraId="75FE6C80" w14:textId="77777777" w:rsidR="00EA2B5F" w:rsidRPr="00F25EBD" w:rsidRDefault="00EA2B5F" w:rsidP="002C7D64">
            <w:pPr>
              <w:spacing w:after="0" w:line="240" w:lineRule="auto"/>
              <w:ind w:left="356"/>
              <w:rPr>
                <w:rFonts w:asciiTheme="majorHAnsi" w:eastAsia="Times New Roman" w:hAnsiTheme="majorHAnsi" w:cstheme="majorHAnsi"/>
                <w:sz w:val="20"/>
                <w:szCs w:val="20"/>
                <w:lang w:eastAsia="pl-PL"/>
              </w:rPr>
            </w:pPr>
            <w:r w:rsidRPr="00F25EBD">
              <w:rPr>
                <w:rFonts w:asciiTheme="majorHAnsi" w:eastAsia="Times New Roman" w:hAnsiTheme="majorHAnsi" w:cstheme="majorHAnsi"/>
                <w:sz w:val="20"/>
                <w:szCs w:val="20"/>
                <w:lang w:eastAsia="pl-PL"/>
              </w:rPr>
              <w:t>średnim</w:t>
            </w:r>
          </w:p>
        </w:tc>
        <w:tc>
          <w:tcPr>
            <w:tcW w:w="735" w:type="pct"/>
            <w:tcBorders>
              <w:top w:val="single" w:sz="4" w:space="0" w:color="808080" w:themeColor="background1" w:themeShade="80"/>
              <w:bottom w:val="single" w:sz="4" w:space="0" w:color="808080" w:themeColor="background1" w:themeShade="80"/>
            </w:tcBorders>
            <w:shd w:val="clear" w:color="auto" w:fill="auto"/>
            <w:vAlign w:val="center"/>
            <w:hideMark/>
          </w:tcPr>
          <w:p w14:paraId="3C9571AC" w14:textId="77777777" w:rsidR="00EA2B5F" w:rsidRPr="00F25EBD" w:rsidRDefault="00EA2B5F" w:rsidP="002C7D64">
            <w:pPr>
              <w:spacing w:after="0" w:line="240" w:lineRule="auto"/>
              <w:jc w:val="center"/>
              <w:rPr>
                <w:rFonts w:asciiTheme="majorHAnsi" w:eastAsia="Times New Roman" w:hAnsiTheme="majorHAnsi" w:cstheme="majorHAnsi"/>
                <w:sz w:val="20"/>
                <w:szCs w:val="20"/>
                <w:lang w:eastAsia="pl-PL"/>
              </w:rPr>
            </w:pPr>
            <w:r w:rsidRPr="00F25EBD">
              <w:rPr>
                <w:rFonts w:asciiTheme="majorHAnsi" w:eastAsia="Times New Roman" w:hAnsiTheme="majorHAnsi" w:cstheme="majorHAnsi"/>
                <w:sz w:val="20"/>
                <w:szCs w:val="20"/>
                <w:lang w:eastAsia="pl-PL"/>
              </w:rPr>
              <w:t>19</w:t>
            </w:r>
          </w:p>
        </w:tc>
        <w:tc>
          <w:tcPr>
            <w:tcW w:w="598" w:type="pct"/>
            <w:tcBorders>
              <w:top w:val="single" w:sz="4" w:space="0" w:color="808080" w:themeColor="background1" w:themeShade="80"/>
              <w:bottom w:val="single" w:sz="4" w:space="0" w:color="808080" w:themeColor="background1" w:themeShade="80"/>
            </w:tcBorders>
            <w:shd w:val="clear" w:color="auto" w:fill="auto"/>
            <w:vAlign w:val="center"/>
            <w:hideMark/>
          </w:tcPr>
          <w:p w14:paraId="4C36A109" w14:textId="77777777" w:rsidR="00EA2B5F" w:rsidRPr="00F25EBD" w:rsidRDefault="00EA2B5F" w:rsidP="002C7D64">
            <w:pPr>
              <w:spacing w:after="0" w:line="240" w:lineRule="auto"/>
              <w:jc w:val="center"/>
              <w:rPr>
                <w:rFonts w:asciiTheme="majorHAnsi" w:eastAsia="Times New Roman" w:hAnsiTheme="majorHAnsi" w:cstheme="majorHAnsi"/>
                <w:sz w:val="20"/>
                <w:szCs w:val="20"/>
                <w:lang w:eastAsia="pl-PL"/>
              </w:rPr>
            </w:pPr>
            <w:r w:rsidRPr="00F25EBD">
              <w:rPr>
                <w:rFonts w:asciiTheme="majorHAnsi" w:eastAsia="Times New Roman" w:hAnsiTheme="majorHAnsi" w:cstheme="majorHAnsi"/>
                <w:sz w:val="20"/>
                <w:szCs w:val="20"/>
                <w:lang w:eastAsia="pl-PL"/>
              </w:rPr>
              <w:t>8</w:t>
            </w:r>
          </w:p>
        </w:tc>
        <w:tc>
          <w:tcPr>
            <w:tcW w:w="596" w:type="pct"/>
            <w:tcBorders>
              <w:top w:val="single" w:sz="4" w:space="0" w:color="808080" w:themeColor="background1" w:themeShade="80"/>
              <w:bottom w:val="single" w:sz="4" w:space="0" w:color="808080" w:themeColor="background1" w:themeShade="80"/>
            </w:tcBorders>
            <w:shd w:val="clear" w:color="auto" w:fill="auto"/>
            <w:vAlign w:val="center"/>
            <w:hideMark/>
          </w:tcPr>
          <w:p w14:paraId="66CCB008" w14:textId="77777777" w:rsidR="00EA2B5F" w:rsidRPr="00F25EBD" w:rsidRDefault="00EA2B5F" w:rsidP="002C7D64">
            <w:pPr>
              <w:spacing w:after="0" w:line="240" w:lineRule="auto"/>
              <w:jc w:val="center"/>
              <w:rPr>
                <w:rFonts w:asciiTheme="majorHAnsi" w:eastAsia="Times New Roman" w:hAnsiTheme="majorHAnsi" w:cstheme="majorHAnsi"/>
                <w:sz w:val="20"/>
                <w:szCs w:val="20"/>
                <w:lang w:eastAsia="pl-PL"/>
              </w:rPr>
            </w:pPr>
            <w:r w:rsidRPr="00F25EBD">
              <w:rPr>
                <w:rFonts w:asciiTheme="majorHAnsi" w:eastAsia="Times New Roman" w:hAnsiTheme="majorHAnsi" w:cstheme="majorHAnsi"/>
                <w:sz w:val="20"/>
                <w:szCs w:val="20"/>
                <w:lang w:eastAsia="pl-PL"/>
              </w:rPr>
              <w:t>7</w:t>
            </w:r>
          </w:p>
        </w:tc>
        <w:tc>
          <w:tcPr>
            <w:tcW w:w="846" w:type="pct"/>
            <w:tcBorders>
              <w:top w:val="single" w:sz="4" w:space="0" w:color="808080" w:themeColor="background1" w:themeShade="80"/>
              <w:bottom w:val="single" w:sz="4" w:space="0" w:color="808080" w:themeColor="background1" w:themeShade="80"/>
            </w:tcBorders>
            <w:shd w:val="clear" w:color="auto" w:fill="auto"/>
            <w:vAlign w:val="center"/>
            <w:hideMark/>
          </w:tcPr>
          <w:p w14:paraId="558A13F9" w14:textId="77777777" w:rsidR="00EA2B5F" w:rsidRPr="00F25EBD" w:rsidRDefault="00EA2B5F" w:rsidP="002C7D64">
            <w:pPr>
              <w:spacing w:after="0" w:line="240" w:lineRule="auto"/>
              <w:jc w:val="center"/>
              <w:rPr>
                <w:rFonts w:asciiTheme="majorHAnsi" w:eastAsia="Times New Roman" w:hAnsiTheme="majorHAnsi" w:cstheme="majorHAnsi"/>
                <w:sz w:val="20"/>
                <w:szCs w:val="20"/>
                <w:lang w:eastAsia="pl-PL"/>
              </w:rPr>
            </w:pPr>
            <w:r w:rsidRPr="00F25EBD">
              <w:rPr>
                <w:rFonts w:asciiTheme="majorHAnsi" w:eastAsia="Times New Roman" w:hAnsiTheme="majorHAnsi" w:cstheme="majorHAnsi"/>
                <w:sz w:val="20"/>
                <w:szCs w:val="20"/>
                <w:lang w:eastAsia="pl-PL"/>
              </w:rPr>
              <w:t>13</w:t>
            </w:r>
          </w:p>
        </w:tc>
      </w:tr>
      <w:tr w:rsidR="00EA2B5F" w:rsidRPr="00F25EBD" w14:paraId="26F925E0" w14:textId="77777777" w:rsidTr="002C7D64">
        <w:trPr>
          <w:trHeight w:val="20"/>
        </w:trPr>
        <w:tc>
          <w:tcPr>
            <w:tcW w:w="961" w:type="pct"/>
            <w:vMerge/>
            <w:tcBorders>
              <w:top w:val="single" w:sz="4" w:space="0" w:color="808080" w:themeColor="background1" w:themeShade="80"/>
              <w:bottom w:val="single" w:sz="4" w:space="0" w:color="808080" w:themeColor="background1" w:themeShade="80"/>
            </w:tcBorders>
            <w:vAlign w:val="center"/>
            <w:hideMark/>
          </w:tcPr>
          <w:p w14:paraId="358A3BF2" w14:textId="77777777" w:rsidR="00EA2B5F" w:rsidRPr="00F25EBD" w:rsidRDefault="00EA2B5F" w:rsidP="002C7D64">
            <w:pPr>
              <w:spacing w:after="0" w:line="240" w:lineRule="auto"/>
              <w:rPr>
                <w:rFonts w:asciiTheme="majorHAnsi" w:eastAsia="Times New Roman" w:hAnsiTheme="majorHAnsi" w:cstheme="majorHAnsi"/>
                <w:sz w:val="20"/>
                <w:szCs w:val="20"/>
                <w:lang w:eastAsia="pl-PL"/>
              </w:rPr>
            </w:pPr>
          </w:p>
        </w:tc>
        <w:tc>
          <w:tcPr>
            <w:tcW w:w="1264" w:type="pct"/>
            <w:tcBorders>
              <w:top w:val="single" w:sz="4" w:space="0" w:color="808080" w:themeColor="background1" w:themeShade="80"/>
              <w:bottom w:val="single" w:sz="4" w:space="0" w:color="808080" w:themeColor="background1" w:themeShade="80"/>
            </w:tcBorders>
            <w:shd w:val="clear" w:color="auto" w:fill="auto"/>
            <w:vAlign w:val="center"/>
            <w:hideMark/>
          </w:tcPr>
          <w:p w14:paraId="132A8231" w14:textId="77777777" w:rsidR="00EA2B5F" w:rsidRPr="00F25EBD" w:rsidRDefault="00EA2B5F" w:rsidP="002C7D64">
            <w:pPr>
              <w:spacing w:after="0" w:line="240" w:lineRule="auto"/>
              <w:ind w:left="356"/>
              <w:rPr>
                <w:rFonts w:asciiTheme="majorHAnsi" w:eastAsia="Times New Roman" w:hAnsiTheme="majorHAnsi" w:cstheme="majorHAnsi"/>
                <w:sz w:val="20"/>
                <w:szCs w:val="20"/>
                <w:lang w:eastAsia="pl-PL"/>
              </w:rPr>
            </w:pPr>
            <w:r w:rsidRPr="00F25EBD">
              <w:rPr>
                <w:rFonts w:asciiTheme="majorHAnsi" w:eastAsia="Times New Roman" w:hAnsiTheme="majorHAnsi" w:cstheme="majorHAnsi"/>
                <w:sz w:val="20"/>
                <w:szCs w:val="20"/>
                <w:lang w:eastAsia="pl-PL"/>
              </w:rPr>
              <w:t>wysokim</w:t>
            </w:r>
          </w:p>
        </w:tc>
        <w:tc>
          <w:tcPr>
            <w:tcW w:w="735" w:type="pct"/>
            <w:tcBorders>
              <w:top w:val="single" w:sz="4" w:space="0" w:color="808080" w:themeColor="background1" w:themeShade="80"/>
              <w:bottom w:val="single" w:sz="4" w:space="0" w:color="808080" w:themeColor="background1" w:themeShade="80"/>
            </w:tcBorders>
            <w:shd w:val="clear" w:color="auto" w:fill="auto"/>
            <w:vAlign w:val="center"/>
            <w:hideMark/>
          </w:tcPr>
          <w:p w14:paraId="60D14C05" w14:textId="77777777" w:rsidR="00EA2B5F" w:rsidRPr="00F25EBD" w:rsidRDefault="00EA2B5F" w:rsidP="002C7D64">
            <w:pPr>
              <w:spacing w:after="0" w:line="240" w:lineRule="auto"/>
              <w:jc w:val="center"/>
              <w:rPr>
                <w:rFonts w:asciiTheme="majorHAnsi" w:eastAsia="Times New Roman" w:hAnsiTheme="majorHAnsi" w:cstheme="majorHAnsi"/>
                <w:sz w:val="20"/>
                <w:szCs w:val="20"/>
                <w:lang w:eastAsia="pl-PL"/>
              </w:rPr>
            </w:pPr>
            <w:r w:rsidRPr="00F25EBD">
              <w:rPr>
                <w:rFonts w:asciiTheme="majorHAnsi" w:eastAsia="Times New Roman" w:hAnsiTheme="majorHAnsi" w:cstheme="majorHAnsi"/>
                <w:sz w:val="20"/>
                <w:szCs w:val="20"/>
                <w:lang w:eastAsia="pl-PL"/>
              </w:rPr>
              <w:t>1</w:t>
            </w:r>
          </w:p>
        </w:tc>
        <w:tc>
          <w:tcPr>
            <w:tcW w:w="598" w:type="pct"/>
            <w:tcBorders>
              <w:top w:val="single" w:sz="4" w:space="0" w:color="808080" w:themeColor="background1" w:themeShade="80"/>
              <w:bottom w:val="single" w:sz="4" w:space="0" w:color="808080" w:themeColor="background1" w:themeShade="80"/>
            </w:tcBorders>
            <w:shd w:val="clear" w:color="auto" w:fill="auto"/>
            <w:vAlign w:val="center"/>
            <w:hideMark/>
          </w:tcPr>
          <w:p w14:paraId="585E3AD3" w14:textId="77777777" w:rsidR="00EA2B5F" w:rsidRPr="00F25EBD" w:rsidRDefault="00EA2B5F" w:rsidP="002C7D64">
            <w:pPr>
              <w:spacing w:after="0" w:line="240" w:lineRule="auto"/>
              <w:jc w:val="center"/>
              <w:rPr>
                <w:rFonts w:asciiTheme="majorHAnsi" w:eastAsia="Times New Roman" w:hAnsiTheme="majorHAnsi" w:cstheme="majorHAnsi"/>
                <w:sz w:val="20"/>
                <w:szCs w:val="20"/>
                <w:lang w:eastAsia="pl-PL"/>
              </w:rPr>
            </w:pPr>
            <w:r w:rsidRPr="00F25EBD">
              <w:rPr>
                <w:rFonts w:asciiTheme="majorHAnsi" w:eastAsia="Times New Roman" w:hAnsiTheme="majorHAnsi" w:cstheme="majorHAnsi"/>
                <w:sz w:val="20"/>
                <w:szCs w:val="20"/>
                <w:lang w:eastAsia="pl-PL"/>
              </w:rPr>
              <w:t>0</w:t>
            </w:r>
          </w:p>
        </w:tc>
        <w:tc>
          <w:tcPr>
            <w:tcW w:w="596" w:type="pct"/>
            <w:tcBorders>
              <w:top w:val="single" w:sz="4" w:space="0" w:color="808080" w:themeColor="background1" w:themeShade="80"/>
              <w:bottom w:val="single" w:sz="4" w:space="0" w:color="808080" w:themeColor="background1" w:themeShade="80"/>
            </w:tcBorders>
            <w:shd w:val="clear" w:color="auto" w:fill="auto"/>
            <w:vAlign w:val="center"/>
            <w:hideMark/>
          </w:tcPr>
          <w:p w14:paraId="320396C8" w14:textId="77777777" w:rsidR="00EA2B5F" w:rsidRPr="00F25EBD" w:rsidRDefault="00EA2B5F" w:rsidP="002C7D64">
            <w:pPr>
              <w:spacing w:after="0" w:line="240" w:lineRule="auto"/>
              <w:jc w:val="center"/>
              <w:rPr>
                <w:rFonts w:asciiTheme="majorHAnsi" w:eastAsia="Times New Roman" w:hAnsiTheme="majorHAnsi" w:cstheme="majorHAnsi"/>
                <w:sz w:val="20"/>
                <w:szCs w:val="20"/>
                <w:lang w:eastAsia="pl-PL"/>
              </w:rPr>
            </w:pPr>
            <w:r w:rsidRPr="00F25EBD">
              <w:rPr>
                <w:rFonts w:asciiTheme="majorHAnsi" w:eastAsia="Times New Roman" w:hAnsiTheme="majorHAnsi" w:cstheme="majorHAnsi"/>
                <w:sz w:val="20"/>
                <w:szCs w:val="20"/>
                <w:lang w:eastAsia="pl-PL"/>
              </w:rPr>
              <w:t>4</w:t>
            </w:r>
          </w:p>
        </w:tc>
        <w:tc>
          <w:tcPr>
            <w:tcW w:w="846" w:type="pct"/>
            <w:tcBorders>
              <w:top w:val="single" w:sz="4" w:space="0" w:color="808080" w:themeColor="background1" w:themeShade="80"/>
              <w:bottom w:val="single" w:sz="4" w:space="0" w:color="808080" w:themeColor="background1" w:themeShade="80"/>
            </w:tcBorders>
            <w:shd w:val="clear" w:color="auto" w:fill="auto"/>
            <w:vAlign w:val="center"/>
            <w:hideMark/>
          </w:tcPr>
          <w:p w14:paraId="4EBC403C" w14:textId="77777777" w:rsidR="00EA2B5F" w:rsidRPr="00F25EBD" w:rsidRDefault="00EA2B5F" w:rsidP="002C7D64">
            <w:pPr>
              <w:spacing w:after="0" w:line="240" w:lineRule="auto"/>
              <w:jc w:val="center"/>
              <w:rPr>
                <w:rFonts w:asciiTheme="majorHAnsi" w:eastAsia="Times New Roman" w:hAnsiTheme="majorHAnsi" w:cstheme="majorHAnsi"/>
                <w:sz w:val="20"/>
                <w:szCs w:val="20"/>
                <w:lang w:eastAsia="pl-PL"/>
              </w:rPr>
            </w:pPr>
            <w:r w:rsidRPr="00F25EBD">
              <w:rPr>
                <w:rFonts w:asciiTheme="majorHAnsi" w:eastAsia="Times New Roman" w:hAnsiTheme="majorHAnsi" w:cstheme="majorHAnsi"/>
                <w:sz w:val="20"/>
                <w:szCs w:val="20"/>
                <w:lang w:eastAsia="pl-PL"/>
              </w:rPr>
              <w:t>2</w:t>
            </w:r>
          </w:p>
        </w:tc>
      </w:tr>
      <w:tr w:rsidR="00EA2B5F" w:rsidRPr="00F25EBD" w14:paraId="13656293" w14:textId="77777777" w:rsidTr="002C7D64">
        <w:trPr>
          <w:trHeight w:val="20"/>
        </w:trPr>
        <w:tc>
          <w:tcPr>
            <w:tcW w:w="961" w:type="pct"/>
            <w:vMerge w:val="restart"/>
            <w:tcBorders>
              <w:top w:val="single" w:sz="4" w:space="0" w:color="808080" w:themeColor="background1" w:themeShade="80"/>
              <w:bottom w:val="single" w:sz="4" w:space="0" w:color="808080" w:themeColor="background1" w:themeShade="80"/>
            </w:tcBorders>
            <w:shd w:val="clear" w:color="auto" w:fill="auto"/>
            <w:vAlign w:val="center"/>
            <w:hideMark/>
          </w:tcPr>
          <w:p w14:paraId="3F2EC151" w14:textId="77777777" w:rsidR="00EA2B5F" w:rsidRPr="00F25EBD" w:rsidRDefault="00EA2B5F" w:rsidP="002C7D64">
            <w:pPr>
              <w:spacing w:after="0" w:line="240" w:lineRule="auto"/>
              <w:jc w:val="center"/>
              <w:rPr>
                <w:rFonts w:asciiTheme="majorHAnsi" w:eastAsia="Times New Roman" w:hAnsiTheme="majorHAnsi" w:cstheme="majorHAnsi"/>
                <w:sz w:val="20"/>
                <w:szCs w:val="20"/>
                <w:lang w:eastAsia="pl-PL"/>
              </w:rPr>
            </w:pPr>
            <w:r w:rsidRPr="00F25EBD">
              <w:rPr>
                <w:rFonts w:asciiTheme="majorHAnsi" w:eastAsia="Times New Roman" w:hAnsiTheme="majorHAnsi" w:cstheme="majorHAnsi"/>
                <w:sz w:val="20"/>
                <w:szCs w:val="20"/>
                <w:lang w:eastAsia="pl-PL"/>
              </w:rPr>
              <w:t>Język niemiecki</w:t>
            </w:r>
          </w:p>
        </w:tc>
        <w:tc>
          <w:tcPr>
            <w:tcW w:w="1264" w:type="pct"/>
            <w:tcBorders>
              <w:top w:val="single" w:sz="4" w:space="0" w:color="808080" w:themeColor="background1" w:themeShade="80"/>
              <w:bottom w:val="single" w:sz="4" w:space="0" w:color="808080" w:themeColor="background1" w:themeShade="80"/>
            </w:tcBorders>
            <w:shd w:val="clear" w:color="auto" w:fill="auto"/>
            <w:vAlign w:val="center"/>
            <w:hideMark/>
          </w:tcPr>
          <w:p w14:paraId="7FBB0A14" w14:textId="77777777" w:rsidR="00EA2B5F" w:rsidRPr="00F25EBD" w:rsidRDefault="00EA2B5F" w:rsidP="002C7D64">
            <w:pPr>
              <w:spacing w:after="0" w:line="240" w:lineRule="auto"/>
              <w:ind w:left="356"/>
              <w:rPr>
                <w:rFonts w:asciiTheme="majorHAnsi" w:eastAsia="Times New Roman" w:hAnsiTheme="majorHAnsi" w:cstheme="majorHAnsi"/>
                <w:sz w:val="20"/>
                <w:szCs w:val="20"/>
                <w:lang w:eastAsia="pl-PL"/>
              </w:rPr>
            </w:pPr>
            <w:r w:rsidRPr="00F25EBD">
              <w:rPr>
                <w:rFonts w:asciiTheme="majorHAnsi" w:eastAsia="Times New Roman" w:hAnsiTheme="majorHAnsi" w:cstheme="majorHAnsi"/>
                <w:sz w:val="20"/>
                <w:szCs w:val="20"/>
                <w:lang w:eastAsia="pl-PL"/>
              </w:rPr>
              <w:t>niskim</w:t>
            </w:r>
          </w:p>
        </w:tc>
        <w:tc>
          <w:tcPr>
            <w:tcW w:w="735" w:type="pct"/>
            <w:tcBorders>
              <w:top w:val="single" w:sz="4" w:space="0" w:color="808080" w:themeColor="background1" w:themeShade="80"/>
              <w:bottom w:val="single" w:sz="4" w:space="0" w:color="808080" w:themeColor="background1" w:themeShade="80"/>
            </w:tcBorders>
            <w:shd w:val="clear" w:color="auto" w:fill="auto"/>
            <w:vAlign w:val="center"/>
            <w:hideMark/>
          </w:tcPr>
          <w:p w14:paraId="457E904F" w14:textId="77777777" w:rsidR="00EA2B5F" w:rsidRPr="00F25EBD" w:rsidRDefault="00EA2B5F" w:rsidP="002C7D64">
            <w:pPr>
              <w:spacing w:after="0" w:line="240" w:lineRule="auto"/>
              <w:jc w:val="center"/>
              <w:rPr>
                <w:rFonts w:asciiTheme="majorHAnsi" w:eastAsia="Times New Roman" w:hAnsiTheme="majorHAnsi" w:cstheme="majorHAnsi"/>
                <w:sz w:val="20"/>
                <w:szCs w:val="20"/>
                <w:lang w:eastAsia="pl-PL"/>
              </w:rPr>
            </w:pPr>
            <w:r w:rsidRPr="00F25EBD">
              <w:rPr>
                <w:rFonts w:asciiTheme="majorHAnsi" w:eastAsia="Times New Roman" w:hAnsiTheme="majorHAnsi" w:cstheme="majorHAnsi"/>
                <w:sz w:val="20"/>
                <w:szCs w:val="20"/>
                <w:lang w:eastAsia="pl-PL"/>
              </w:rPr>
              <w:t>1</w:t>
            </w:r>
          </w:p>
        </w:tc>
        <w:tc>
          <w:tcPr>
            <w:tcW w:w="598" w:type="pct"/>
            <w:tcBorders>
              <w:top w:val="single" w:sz="4" w:space="0" w:color="808080" w:themeColor="background1" w:themeShade="80"/>
              <w:bottom w:val="single" w:sz="4" w:space="0" w:color="808080" w:themeColor="background1" w:themeShade="80"/>
            </w:tcBorders>
            <w:shd w:val="clear" w:color="auto" w:fill="auto"/>
            <w:vAlign w:val="center"/>
            <w:hideMark/>
          </w:tcPr>
          <w:p w14:paraId="23730808" w14:textId="77777777" w:rsidR="00EA2B5F" w:rsidRPr="00F25EBD" w:rsidRDefault="00EA2B5F" w:rsidP="002C7D64">
            <w:pPr>
              <w:spacing w:after="0" w:line="240" w:lineRule="auto"/>
              <w:jc w:val="center"/>
              <w:rPr>
                <w:rFonts w:asciiTheme="majorHAnsi" w:eastAsia="Times New Roman" w:hAnsiTheme="majorHAnsi" w:cstheme="majorHAnsi"/>
                <w:sz w:val="20"/>
                <w:szCs w:val="20"/>
                <w:lang w:eastAsia="pl-PL"/>
              </w:rPr>
            </w:pPr>
            <w:r w:rsidRPr="00F25EBD">
              <w:rPr>
                <w:rFonts w:asciiTheme="majorHAnsi" w:eastAsia="Times New Roman" w:hAnsiTheme="majorHAnsi" w:cstheme="majorHAnsi"/>
                <w:sz w:val="20"/>
                <w:szCs w:val="20"/>
                <w:lang w:eastAsia="pl-PL"/>
              </w:rPr>
              <w:t>1</w:t>
            </w:r>
          </w:p>
        </w:tc>
        <w:tc>
          <w:tcPr>
            <w:tcW w:w="596" w:type="pct"/>
            <w:tcBorders>
              <w:top w:val="single" w:sz="4" w:space="0" w:color="808080" w:themeColor="background1" w:themeShade="80"/>
              <w:bottom w:val="single" w:sz="4" w:space="0" w:color="808080" w:themeColor="background1" w:themeShade="80"/>
            </w:tcBorders>
            <w:shd w:val="clear" w:color="auto" w:fill="auto"/>
            <w:vAlign w:val="center"/>
            <w:hideMark/>
          </w:tcPr>
          <w:p w14:paraId="0F07F2E0" w14:textId="77777777" w:rsidR="00EA2B5F" w:rsidRPr="00F25EBD" w:rsidRDefault="00EA2B5F" w:rsidP="002C7D64">
            <w:pPr>
              <w:spacing w:after="0" w:line="240" w:lineRule="auto"/>
              <w:jc w:val="center"/>
              <w:rPr>
                <w:rFonts w:asciiTheme="majorHAnsi" w:eastAsia="Times New Roman" w:hAnsiTheme="majorHAnsi" w:cstheme="majorHAnsi"/>
                <w:sz w:val="20"/>
                <w:szCs w:val="20"/>
                <w:lang w:eastAsia="pl-PL"/>
              </w:rPr>
            </w:pPr>
            <w:r w:rsidRPr="00F25EBD">
              <w:rPr>
                <w:rFonts w:asciiTheme="majorHAnsi" w:eastAsia="Times New Roman" w:hAnsiTheme="majorHAnsi" w:cstheme="majorHAnsi"/>
                <w:sz w:val="20"/>
                <w:szCs w:val="20"/>
                <w:lang w:eastAsia="pl-PL"/>
              </w:rPr>
              <w:t>0</w:t>
            </w:r>
          </w:p>
        </w:tc>
        <w:tc>
          <w:tcPr>
            <w:tcW w:w="846" w:type="pct"/>
            <w:tcBorders>
              <w:top w:val="single" w:sz="4" w:space="0" w:color="808080" w:themeColor="background1" w:themeShade="80"/>
              <w:bottom w:val="single" w:sz="4" w:space="0" w:color="808080" w:themeColor="background1" w:themeShade="80"/>
            </w:tcBorders>
            <w:shd w:val="clear" w:color="auto" w:fill="auto"/>
            <w:vAlign w:val="center"/>
            <w:hideMark/>
          </w:tcPr>
          <w:p w14:paraId="3EFD384B" w14:textId="77777777" w:rsidR="00EA2B5F" w:rsidRPr="00F25EBD" w:rsidRDefault="00EA2B5F" w:rsidP="002C7D64">
            <w:pPr>
              <w:spacing w:after="0" w:line="240" w:lineRule="auto"/>
              <w:jc w:val="center"/>
              <w:rPr>
                <w:rFonts w:asciiTheme="majorHAnsi" w:eastAsia="Times New Roman" w:hAnsiTheme="majorHAnsi" w:cstheme="majorHAnsi"/>
                <w:sz w:val="20"/>
                <w:szCs w:val="20"/>
                <w:lang w:eastAsia="pl-PL"/>
              </w:rPr>
            </w:pPr>
            <w:r w:rsidRPr="00F25EBD">
              <w:rPr>
                <w:rFonts w:asciiTheme="majorHAnsi" w:eastAsia="Times New Roman" w:hAnsiTheme="majorHAnsi" w:cstheme="majorHAnsi"/>
                <w:sz w:val="20"/>
                <w:szCs w:val="20"/>
                <w:lang w:eastAsia="pl-PL"/>
              </w:rPr>
              <w:t>0</w:t>
            </w:r>
          </w:p>
        </w:tc>
      </w:tr>
      <w:tr w:rsidR="00EA2B5F" w:rsidRPr="00F25EBD" w14:paraId="585325EC" w14:textId="77777777" w:rsidTr="002C7D64">
        <w:trPr>
          <w:trHeight w:val="20"/>
        </w:trPr>
        <w:tc>
          <w:tcPr>
            <w:tcW w:w="961" w:type="pct"/>
            <w:vMerge/>
            <w:tcBorders>
              <w:top w:val="single" w:sz="4" w:space="0" w:color="808080" w:themeColor="background1" w:themeShade="80"/>
              <w:bottom w:val="single" w:sz="4" w:space="0" w:color="808080" w:themeColor="background1" w:themeShade="80"/>
            </w:tcBorders>
            <w:vAlign w:val="center"/>
            <w:hideMark/>
          </w:tcPr>
          <w:p w14:paraId="33836643" w14:textId="77777777" w:rsidR="00EA2B5F" w:rsidRPr="00F25EBD" w:rsidRDefault="00EA2B5F" w:rsidP="002C7D64">
            <w:pPr>
              <w:spacing w:after="0" w:line="240" w:lineRule="auto"/>
              <w:rPr>
                <w:rFonts w:asciiTheme="majorHAnsi" w:eastAsia="Times New Roman" w:hAnsiTheme="majorHAnsi" w:cstheme="majorHAnsi"/>
                <w:sz w:val="20"/>
                <w:szCs w:val="20"/>
                <w:lang w:eastAsia="pl-PL"/>
              </w:rPr>
            </w:pPr>
          </w:p>
        </w:tc>
        <w:tc>
          <w:tcPr>
            <w:tcW w:w="1264" w:type="pct"/>
            <w:tcBorders>
              <w:top w:val="single" w:sz="4" w:space="0" w:color="808080" w:themeColor="background1" w:themeShade="80"/>
              <w:bottom w:val="single" w:sz="4" w:space="0" w:color="808080" w:themeColor="background1" w:themeShade="80"/>
            </w:tcBorders>
            <w:shd w:val="clear" w:color="auto" w:fill="auto"/>
            <w:vAlign w:val="center"/>
            <w:hideMark/>
          </w:tcPr>
          <w:p w14:paraId="52F6EF68" w14:textId="77777777" w:rsidR="00EA2B5F" w:rsidRPr="00F25EBD" w:rsidRDefault="00EA2B5F" w:rsidP="002C7D64">
            <w:pPr>
              <w:spacing w:after="0" w:line="240" w:lineRule="auto"/>
              <w:ind w:left="356"/>
              <w:rPr>
                <w:rFonts w:asciiTheme="majorHAnsi" w:eastAsia="Times New Roman" w:hAnsiTheme="majorHAnsi" w:cstheme="majorHAnsi"/>
                <w:sz w:val="20"/>
                <w:szCs w:val="20"/>
                <w:lang w:eastAsia="pl-PL"/>
              </w:rPr>
            </w:pPr>
            <w:r w:rsidRPr="00F25EBD">
              <w:rPr>
                <w:rFonts w:asciiTheme="majorHAnsi" w:eastAsia="Times New Roman" w:hAnsiTheme="majorHAnsi" w:cstheme="majorHAnsi"/>
                <w:sz w:val="20"/>
                <w:szCs w:val="20"/>
                <w:lang w:eastAsia="pl-PL"/>
              </w:rPr>
              <w:t>średnim</w:t>
            </w:r>
          </w:p>
        </w:tc>
        <w:tc>
          <w:tcPr>
            <w:tcW w:w="735" w:type="pct"/>
            <w:tcBorders>
              <w:top w:val="single" w:sz="4" w:space="0" w:color="808080" w:themeColor="background1" w:themeShade="80"/>
              <w:bottom w:val="single" w:sz="4" w:space="0" w:color="808080" w:themeColor="background1" w:themeShade="80"/>
            </w:tcBorders>
            <w:shd w:val="clear" w:color="auto" w:fill="auto"/>
            <w:vAlign w:val="center"/>
            <w:hideMark/>
          </w:tcPr>
          <w:p w14:paraId="664B452A" w14:textId="77777777" w:rsidR="00EA2B5F" w:rsidRPr="00F25EBD" w:rsidRDefault="00EA2B5F" w:rsidP="002C7D64">
            <w:pPr>
              <w:spacing w:after="0" w:line="240" w:lineRule="auto"/>
              <w:jc w:val="center"/>
              <w:rPr>
                <w:rFonts w:asciiTheme="majorHAnsi" w:eastAsia="Times New Roman" w:hAnsiTheme="majorHAnsi" w:cstheme="majorHAnsi"/>
                <w:sz w:val="20"/>
                <w:szCs w:val="20"/>
                <w:lang w:eastAsia="pl-PL"/>
              </w:rPr>
            </w:pPr>
            <w:r w:rsidRPr="00F25EBD">
              <w:rPr>
                <w:rFonts w:asciiTheme="majorHAnsi" w:eastAsia="Times New Roman" w:hAnsiTheme="majorHAnsi" w:cstheme="majorHAnsi"/>
                <w:sz w:val="20"/>
                <w:szCs w:val="20"/>
                <w:lang w:eastAsia="pl-PL"/>
              </w:rPr>
              <w:t>1</w:t>
            </w:r>
          </w:p>
        </w:tc>
        <w:tc>
          <w:tcPr>
            <w:tcW w:w="598" w:type="pct"/>
            <w:tcBorders>
              <w:top w:val="single" w:sz="4" w:space="0" w:color="808080" w:themeColor="background1" w:themeShade="80"/>
              <w:bottom w:val="single" w:sz="4" w:space="0" w:color="808080" w:themeColor="background1" w:themeShade="80"/>
            </w:tcBorders>
            <w:shd w:val="clear" w:color="auto" w:fill="auto"/>
            <w:vAlign w:val="center"/>
            <w:hideMark/>
          </w:tcPr>
          <w:p w14:paraId="70A95B09" w14:textId="77777777" w:rsidR="00EA2B5F" w:rsidRPr="00F25EBD" w:rsidRDefault="00EA2B5F" w:rsidP="002C7D64">
            <w:pPr>
              <w:spacing w:after="0" w:line="240" w:lineRule="auto"/>
              <w:jc w:val="center"/>
              <w:rPr>
                <w:rFonts w:asciiTheme="majorHAnsi" w:eastAsia="Times New Roman" w:hAnsiTheme="majorHAnsi" w:cstheme="majorHAnsi"/>
                <w:sz w:val="20"/>
                <w:szCs w:val="20"/>
                <w:lang w:eastAsia="pl-PL"/>
              </w:rPr>
            </w:pPr>
            <w:r w:rsidRPr="00F25EBD">
              <w:rPr>
                <w:rFonts w:asciiTheme="majorHAnsi" w:eastAsia="Times New Roman" w:hAnsiTheme="majorHAnsi" w:cstheme="majorHAnsi"/>
                <w:sz w:val="20"/>
                <w:szCs w:val="20"/>
                <w:lang w:eastAsia="pl-PL"/>
              </w:rPr>
              <w:t>1</w:t>
            </w:r>
          </w:p>
        </w:tc>
        <w:tc>
          <w:tcPr>
            <w:tcW w:w="596" w:type="pct"/>
            <w:tcBorders>
              <w:top w:val="single" w:sz="4" w:space="0" w:color="808080" w:themeColor="background1" w:themeShade="80"/>
              <w:bottom w:val="single" w:sz="4" w:space="0" w:color="808080" w:themeColor="background1" w:themeShade="80"/>
            </w:tcBorders>
            <w:shd w:val="clear" w:color="auto" w:fill="auto"/>
            <w:vAlign w:val="center"/>
            <w:hideMark/>
          </w:tcPr>
          <w:p w14:paraId="2C164EFF" w14:textId="77777777" w:rsidR="00EA2B5F" w:rsidRPr="00F25EBD" w:rsidRDefault="00EA2B5F" w:rsidP="002C7D64">
            <w:pPr>
              <w:spacing w:after="0" w:line="240" w:lineRule="auto"/>
              <w:jc w:val="center"/>
              <w:rPr>
                <w:rFonts w:asciiTheme="majorHAnsi" w:eastAsia="Times New Roman" w:hAnsiTheme="majorHAnsi" w:cstheme="majorHAnsi"/>
                <w:sz w:val="20"/>
                <w:szCs w:val="20"/>
                <w:lang w:eastAsia="pl-PL"/>
              </w:rPr>
            </w:pPr>
            <w:r w:rsidRPr="00F25EBD">
              <w:rPr>
                <w:rFonts w:asciiTheme="majorHAnsi" w:eastAsia="Times New Roman" w:hAnsiTheme="majorHAnsi" w:cstheme="majorHAnsi"/>
                <w:sz w:val="20"/>
                <w:szCs w:val="20"/>
                <w:lang w:eastAsia="pl-PL"/>
              </w:rPr>
              <w:t>3</w:t>
            </w:r>
          </w:p>
        </w:tc>
        <w:tc>
          <w:tcPr>
            <w:tcW w:w="846" w:type="pct"/>
            <w:tcBorders>
              <w:top w:val="single" w:sz="4" w:space="0" w:color="808080" w:themeColor="background1" w:themeShade="80"/>
              <w:bottom w:val="single" w:sz="4" w:space="0" w:color="808080" w:themeColor="background1" w:themeShade="80"/>
            </w:tcBorders>
            <w:shd w:val="clear" w:color="auto" w:fill="auto"/>
            <w:vAlign w:val="center"/>
            <w:hideMark/>
          </w:tcPr>
          <w:p w14:paraId="6EE167AC" w14:textId="77777777" w:rsidR="00EA2B5F" w:rsidRPr="00F25EBD" w:rsidRDefault="00EA2B5F" w:rsidP="002C7D64">
            <w:pPr>
              <w:spacing w:after="0" w:line="240" w:lineRule="auto"/>
              <w:jc w:val="center"/>
              <w:rPr>
                <w:rFonts w:asciiTheme="majorHAnsi" w:eastAsia="Times New Roman" w:hAnsiTheme="majorHAnsi" w:cstheme="majorHAnsi"/>
                <w:sz w:val="20"/>
                <w:szCs w:val="20"/>
                <w:lang w:eastAsia="pl-PL"/>
              </w:rPr>
            </w:pPr>
            <w:r w:rsidRPr="00F25EBD">
              <w:rPr>
                <w:rFonts w:asciiTheme="majorHAnsi" w:eastAsia="Times New Roman" w:hAnsiTheme="majorHAnsi" w:cstheme="majorHAnsi"/>
                <w:sz w:val="20"/>
                <w:szCs w:val="20"/>
                <w:lang w:eastAsia="pl-PL"/>
              </w:rPr>
              <w:t>3</w:t>
            </w:r>
          </w:p>
        </w:tc>
      </w:tr>
      <w:tr w:rsidR="00EA2B5F" w:rsidRPr="00F25EBD" w14:paraId="3DF1546E" w14:textId="77777777" w:rsidTr="002C7D64">
        <w:trPr>
          <w:trHeight w:val="20"/>
        </w:trPr>
        <w:tc>
          <w:tcPr>
            <w:tcW w:w="961" w:type="pct"/>
            <w:vMerge/>
            <w:tcBorders>
              <w:top w:val="single" w:sz="4" w:space="0" w:color="808080" w:themeColor="background1" w:themeShade="80"/>
              <w:bottom w:val="single" w:sz="4" w:space="0" w:color="808080" w:themeColor="background1" w:themeShade="80"/>
            </w:tcBorders>
            <w:vAlign w:val="center"/>
            <w:hideMark/>
          </w:tcPr>
          <w:p w14:paraId="08E2B311" w14:textId="77777777" w:rsidR="00EA2B5F" w:rsidRPr="00F25EBD" w:rsidRDefault="00EA2B5F" w:rsidP="002C7D64">
            <w:pPr>
              <w:spacing w:after="0" w:line="240" w:lineRule="auto"/>
              <w:rPr>
                <w:rFonts w:asciiTheme="majorHAnsi" w:eastAsia="Times New Roman" w:hAnsiTheme="majorHAnsi" w:cstheme="majorHAnsi"/>
                <w:sz w:val="20"/>
                <w:szCs w:val="20"/>
                <w:lang w:eastAsia="pl-PL"/>
              </w:rPr>
            </w:pPr>
          </w:p>
        </w:tc>
        <w:tc>
          <w:tcPr>
            <w:tcW w:w="1264" w:type="pct"/>
            <w:tcBorders>
              <w:top w:val="single" w:sz="4" w:space="0" w:color="808080" w:themeColor="background1" w:themeShade="80"/>
              <w:bottom w:val="single" w:sz="4" w:space="0" w:color="808080" w:themeColor="background1" w:themeShade="80"/>
            </w:tcBorders>
            <w:shd w:val="clear" w:color="auto" w:fill="auto"/>
            <w:vAlign w:val="center"/>
            <w:hideMark/>
          </w:tcPr>
          <w:p w14:paraId="7BFC4EF7" w14:textId="77777777" w:rsidR="00EA2B5F" w:rsidRPr="00F25EBD" w:rsidRDefault="00EA2B5F" w:rsidP="002C7D64">
            <w:pPr>
              <w:spacing w:after="0" w:line="240" w:lineRule="auto"/>
              <w:ind w:left="356"/>
              <w:rPr>
                <w:rFonts w:asciiTheme="majorHAnsi" w:eastAsia="Times New Roman" w:hAnsiTheme="majorHAnsi" w:cstheme="majorHAnsi"/>
                <w:sz w:val="20"/>
                <w:szCs w:val="20"/>
                <w:lang w:eastAsia="pl-PL"/>
              </w:rPr>
            </w:pPr>
            <w:r w:rsidRPr="00F25EBD">
              <w:rPr>
                <w:rFonts w:asciiTheme="majorHAnsi" w:eastAsia="Times New Roman" w:hAnsiTheme="majorHAnsi" w:cstheme="majorHAnsi"/>
                <w:sz w:val="20"/>
                <w:szCs w:val="20"/>
                <w:lang w:eastAsia="pl-PL"/>
              </w:rPr>
              <w:t>wysokim</w:t>
            </w:r>
          </w:p>
        </w:tc>
        <w:tc>
          <w:tcPr>
            <w:tcW w:w="735" w:type="pct"/>
            <w:tcBorders>
              <w:top w:val="single" w:sz="4" w:space="0" w:color="808080" w:themeColor="background1" w:themeShade="80"/>
              <w:bottom w:val="single" w:sz="4" w:space="0" w:color="808080" w:themeColor="background1" w:themeShade="80"/>
            </w:tcBorders>
            <w:shd w:val="clear" w:color="auto" w:fill="auto"/>
            <w:vAlign w:val="center"/>
            <w:hideMark/>
          </w:tcPr>
          <w:p w14:paraId="196E57FD" w14:textId="77777777" w:rsidR="00EA2B5F" w:rsidRPr="00F25EBD" w:rsidRDefault="00EA2B5F" w:rsidP="002C7D64">
            <w:pPr>
              <w:spacing w:after="0" w:line="240" w:lineRule="auto"/>
              <w:jc w:val="center"/>
              <w:rPr>
                <w:rFonts w:asciiTheme="majorHAnsi" w:eastAsia="Times New Roman" w:hAnsiTheme="majorHAnsi" w:cstheme="majorHAnsi"/>
                <w:sz w:val="20"/>
                <w:szCs w:val="20"/>
                <w:lang w:eastAsia="pl-PL"/>
              </w:rPr>
            </w:pPr>
            <w:r w:rsidRPr="00F25EBD">
              <w:rPr>
                <w:rFonts w:asciiTheme="majorHAnsi" w:eastAsia="Times New Roman" w:hAnsiTheme="majorHAnsi" w:cstheme="majorHAnsi"/>
                <w:sz w:val="20"/>
                <w:szCs w:val="20"/>
                <w:lang w:eastAsia="pl-PL"/>
              </w:rPr>
              <w:t>0</w:t>
            </w:r>
          </w:p>
        </w:tc>
        <w:tc>
          <w:tcPr>
            <w:tcW w:w="598" w:type="pct"/>
            <w:tcBorders>
              <w:top w:val="single" w:sz="4" w:space="0" w:color="808080" w:themeColor="background1" w:themeShade="80"/>
              <w:bottom w:val="single" w:sz="4" w:space="0" w:color="808080" w:themeColor="background1" w:themeShade="80"/>
            </w:tcBorders>
            <w:shd w:val="clear" w:color="auto" w:fill="auto"/>
            <w:vAlign w:val="center"/>
            <w:hideMark/>
          </w:tcPr>
          <w:p w14:paraId="39323AEF" w14:textId="77777777" w:rsidR="00EA2B5F" w:rsidRPr="00F25EBD" w:rsidRDefault="00EA2B5F" w:rsidP="002C7D64">
            <w:pPr>
              <w:spacing w:after="0" w:line="240" w:lineRule="auto"/>
              <w:jc w:val="center"/>
              <w:rPr>
                <w:rFonts w:asciiTheme="majorHAnsi" w:eastAsia="Times New Roman" w:hAnsiTheme="majorHAnsi" w:cstheme="majorHAnsi"/>
                <w:sz w:val="20"/>
                <w:szCs w:val="20"/>
                <w:lang w:eastAsia="pl-PL"/>
              </w:rPr>
            </w:pPr>
            <w:r w:rsidRPr="00F25EBD">
              <w:rPr>
                <w:rFonts w:asciiTheme="majorHAnsi" w:eastAsia="Times New Roman" w:hAnsiTheme="majorHAnsi" w:cstheme="majorHAnsi"/>
                <w:sz w:val="20"/>
                <w:szCs w:val="20"/>
                <w:lang w:eastAsia="pl-PL"/>
              </w:rPr>
              <w:t>0</w:t>
            </w:r>
          </w:p>
        </w:tc>
        <w:tc>
          <w:tcPr>
            <w:tcW w:w="596" w:type="pct"/>
            <w:tcBorders>
              <w:top w:val="single" w:sz="4" w:space="0" w:color="808080" w:themeColor="background1" w:themeShade="80"/>
              <w:bottom w:val="single" w:sz="4" w:space="0" w:color="808080" w:themeColor="background1" w:themeShade="80"/>
            </w:tcBorders>
            <w:shd w:val="clear" w:color="auto" w:fill="auto"/>
            <w:vAlign w:val="center"/>
            <w:hideMark/>
          </w:tcPr>
          <w:p w14:paraId="570BBB3D" w14:textId="77777777" w:rsidR="00EA2B5F" w:rsidRPr="00F25EBD" w:rsidRDefault="00EA2B5F" w:rsidP="002C7D64">
            <w:pPr>
              <w:spacing w:after="0" w:line="240" w:lineRule="auto"/>
              <w:jc w:val="center"/>
              <w:rPr>
                <w:rFonts w:asciiTheme="majorHAnsi" w:eastAsia="Times New Roman" w:hAnsiTheme="majorHAnsi" w:cstheme="majorHAnsi"/>
                <w:sz w:val="20"/>
                <w:szCs w:val="20"/>
                <w:lang w:eastAsia="pl-PL"/>
              </w:rPr>
            </w:pPr>
            <w:r w:rsidRPr="00F25EBD">
              <w:rPr>
                <w:rFonts w:asciiTheme="majorHAnsi" w:eastAsia="Times New Roman" w:hAnsiTheme="majorHAnsi" w:cstheme="majorHAnsi"/>
                <w:sz w:val="20"/>
                <w:szCs w:val="20"/>
                <w:lang w:eastAsia="pl-PL"/>
              </w:rPr>
              <w:t>0</w:t>
            </w:r>
          </w:p>
        </w:tc>
        <w:tc>
          <w:tcPr>
            <w:tcW w:w="846" w:type="pct"/>
            <w:tcBorders>
              <w:top w:val="single" w:sz="4" w:space="0" w:color="808080" w:themeColor="background1" w:themeShade="80"/>
              <w:bottom w:val="single" w:sz="4" w:space="0" w:color="808080" w:themeColor="background1" w:themeShade="80"/>
            </w:tcBorders>
            <w:shd w:val="clear" w:color="auto" w:fill="auto"/>
            <w:vAlign w:val="center"/>
            <w:hideMark/>
          </w:tcPr>
          <w:p w14:paraId="781AF9E2" w14:textId="77777777" w:rsidR="00EA2B5F" w:rsidRPr="00F25EBD" w:rsidRDefault="00EA2B5F" w:rsidP="002C7D64">
            <w:pPr>
              <w:spacing w:after="0" w:line="240" w:lineRule="auto"/>
              <w:jc w:val="center"/>
              <w:rPr>
                <w:rFonts w:asciiTheme="majorHAnsi" w:eastAsia="Times New Roman" w:hAnsiTheme="majorHAnsi" w:cstheme="majorHAnsi"/>
                <w:sz w:val="20"/>
                <w:szCs w:val="20"/>
                <w:lang w:eastAsia="pl-PL"/>
              </w:rPr>
            </w:pPr>
            <w:r w:rsidRPr="00F25EBD">
              <w:rPr>
                <w:rFonts w:asciiTheme="majorHAnsi" w:eastAsia="Times New Roman" w:hAnsiTheme="majorHAnsi" w:cstheme="majorHAnsi"/>
                <w:sz w:val="20"/>
                <w:szCs w:val="20"/>
                <w:lang w:eastAsia="pl-PL"/>
              </w:rPr>
              <w:t>0</w:t>
            </w:r>
          </w:p>
        </w:tc>
      </w:tr>
    </w:tbl>
    <w:p w14:paraId="6E40C737" w14:textId="77777777" w:rsidR="00EA2B5F" w:rsidRPr="00F25EBD" w:rsidRDefault="00EA2B5F" w:rsidP="00FC7062">
      <w:pPr>
        <w:spacing w:before="120" w:after="120" w:line="276" w:lineRule="auto"/>
        <w:jc w:val="both"/>
        <w:rPr>
          <w:rFonts w:asciiTheme="majorHAnsi" w:hAnsiTheme="majorHAnsi" w:cstheme="majorHAnsi"/>
          <w:sz w:val="18"/>
          <w:szCs w:val="18"/>
        </w:rPr>
      </w:pPr>
      <w:r w:rsidRPr="00F25EBD">
        <w:rPr>
          <w:rFonts w:asciiTheme="majorHAnsi" w:hAnsiTheme="majorHAnsi" w:cstheme="majorHAnsi"/>
          <w:sz w:val="18"/>
          <w:szCs w:val="18"/>
        </w:rPr>
        <w:t>* tylko szkoły, w których do egzaminu w danej części przystąpiło min. 5 osób.</w:t>
      </w:r>
    </w:p>
    <w:p w14:paraId="46277F38" w14:textId="77777777" w:rsidR="00EA2B5F" w:rsidRPr="00F25EBD" w:rsidRDefault="00EA2B5F" w:rsidP="002C7D64">
      <w:pPr>
        <w:pStyle w:val="rdo"/>
      </w:pPr>
      <w:r w:rsidRPr="00F25EBD">
        <w:t xml:space="preserve">Źródło: </w:t>
      </w:r>
      <w:r w:rsidRPr="002C7D64">
        <w:t>opracowanie</w:t>
      </w:r>
      <w:r w:rsidRPr="00F25EBD">
        <w:t xml:space="preserve"> własne na podstawie danych OKE w Łomży.</w:t>
      </w:r>
    </w:p>
    <w:p w14:paraId="15A8B210" w14:textId="1953DC0A" w:rsidR="00EA2B5F" w:rsidRPr="00F25EBD" w:rsidRDefault="00EA2B5F" w:rsidP="008A3FED">
      <w:pPr>
        <w:spacing w:line="276" w:lineRule="auto"/>
        <w:jc w:val="both"/>
        <w:rPr>
          <w:rFonts w:asciiTheme="majorHAnsi" w:hAnsiTheme="majorHAnsi" w:cstheme="majorHAnsi"/>
        </w:rPr>
      </w:pPr>
      <w:r w:rsidRPr="00F25EBD">
        <w:rPr>
          <w:rFonts w:asciiTheme="majorHAnsi" w:hAnsiTheme="majorHAnsi" w:cstheme="majorHAnsi"/>
        </w:rPr>
        <w:t xml:space="preserve">Na terenie Południowych Mazur działały również </w:t>
      </w:r>
      <w:r w:rsidR="0061327E">
        <w:rPr>
          <w:rFonts w:asciiTheme="majorHAnsi" w:hAnsiTheme="majorHAnsi" w:cstheme="majorHAnsi"/>
        </w:rPr>
        <w:t>cztery</w:t>
      </w:r>
      <w:r w:rsidRPr="00F25EBD">
        <w:rPr>
          <w:rFonts w:asciiTheme="majorHAnsi" w:hAnsiTheme="majorHAnsi" w:cstheme="majorHAnsi"/>
        </w:rPr>
        <w:t xml:space="preserve"> szkoły artystyczne niedające uprawnień zawodowych, tj. </w:t>
      </w:r>
      <w:r w:rsidR="0061327E">
        <w:rPr>
          <w:rFonts w:asciiTheme="majorHAnsi" w:hAnsiTheme="majorHAnsi" w:cstheme="majorHAnsi"/>
        </w:rPr>
        <w:t>trzy</w:t>
      </w:r>
      <w:r w:rsidRPr="00F25EBD">
        <w:rPr>
          <w:rFonts w:asciiTheme="majorHAnsi" w:hAnsiTheme="majorHAnsi" w:cstheme="majorHAnsi"/>
        </w:rPr>
        <w:t xml:space="preserve"> prowadzone przez Ministra ds. kultury i dziedzictwa narodowego (</w:t>
      </w:r>
      <w:r w:rsidR="0061327E" w:rsidRPr="0061327E">
        <w:rPr>
          <w:rFonts w:asciiTheme="majorHAnsi" w:hAnsiTheme="majorHAnsi" w:cstheme="majorHAnsi"/>
        </w:rPr>
        <w:t>Ogólnokształcąca Szkoła Muzyczna I stopnia</w:t>
      </w:r>
      <w:r w:rsidR="0061327E">
        <w:rPr>
          <w:rFonts w:asciiTheme="majorHAnsi" w:hAnsiTheme="majorHAnsi" w:cstheme="majorHAnsi"/>
        </w:rPr>
        <w:t xml:space="preserve"> w Piszu, </w:t>
      </w:r>
      <w:r w:rsidRPr="00F25EBD">
        <w:rPr>
          <w:rFonts w:asciiTheme="majorHAnsi" w:hAnsiTheme="majorHAnsi" w:cstheme="majorHAnsi"/>
        </w:rPr>
        <w:t>Państwowa</w:t>
      </w:r>
      <w:r w:rsidR="001676E7">
        <w:rPr>
          <w:rFonts w:asciiTheme="majorHAnsi" w:hAnsiTheme="majorHAnsi" w:cstheme="majorHAnsi"/>
        </w:rPr>
        <w:t xml:space="preserve"> Szkoła Muzyczna w Działdowie i </w:t>
      </w:r>
      <w:r w:rsidRPr="00F25EBD">
        <w:rPr>
          <w:rFonts w:asciiTheme="majorHAnsi" w:hAnsiTheme="majorHAnsi" w:cstheme="majorHAnsi"/>
        </w:rPr>
        <w:t>Państwowa Szkoła Muzyczna I stopnia im. Fryderyka Chopina w</w:t>
      </w:r>
      <w:r w:rsidR="007B04A7">
        <w:rPr>
          <w:rFonts w:asciiTheme="majorHAnsi" w:hAnsiTheme="majorHAnsi" w:cstheme="majorHAnsi"/>
        </w:rPr>
        <w:t xml:space="preserve"> </w:t>
      </w:r>
      <w:r w:rsidRPr="00F25EBD">
        <w:rPr>
          <w:rFonts w:asciiTheme="majorHAnsi" w:hAnsiTheme="majorHAnsi" w:cstheme="majorHAnsi"/>
        </w:rPr>
        <w:t>Szczytnie), a także prowadzona przez spółkę prawa handlowego Niepubliczna Szkoła Muzyczna I</w:t>
      </w:r>
      <w:r w:rsidR="007B04A7">
        <w:rPr>
          <w:rFonts w:asciiTheme="majorHAnsi" w:hAnsiTheme="majorHAnsi" w:cstheme="majorHAnsi"/>
        </w:rPr>
        <w:t xml:space="preserve"> </w:t>
      </w:r>
      <w:r w:rsidRPr="00F25EBD">
        <w:rPr>
          <w:rFonts w:asciiTheme="majorHAnsi" w:hAnsiTheme="majorHAnsi" w:cstheme="majorHAnsi"/>
        </w:rPr>
        <w:t>stopni</w:t>
      </w:r>
      <w:r w:rsidR="001676E7">
        <w:rPr>
          <w:rFonts w:asciiTheme="majorHAnsi" w:hAnsiTheme="majorHAnsi" w:cstheme="majorHAnsi"/>
        </w:rPr>
        <w:t>a RES FACTA MUSICA w Nidzicy. W </w:t>
      </w:r>
      <w:r w:rsidRPr="00F25EBD">
        <w:rPr>
          <w:rFonts w:asciiTheme="majorHAnsi" w:hAnsiTheme="majorHAnsi" w:cstheme="majorHAnsi"/>
        </w:rPr>
        <w:t>2018</w:t>
      </w:r>
      <w:r w:rsidR="00F7062F">
        <w:rPr>
          <w:rFonts w:asciiTheme="majorHAnsi" w:hAnsiTheme="majorHAnsi" w:cstheme="majorHAnsi"/>
        </w:rPr>
        <w:t>r.</w:t>
      </w:r>
      <w:r w:rsidRPr="00F25EBD">
        <w:rPr>
          <w:rFonts w:asciiTheme="majorHAnsi" w:hAnsiTheme="majorHAnsi" w:cstheme="majorHAnsi"/>
        </w:rPr>
        <w:t xml:space="preserve"> uczęszczało do nich 197 uczniów. </w:t>
      </w:r>
    </w:p>
    <w:p w14:paraId="093BB325" w14:textId="7E1D23AA" w:rsidR="00EA2B5F" w:rsidRPr="00F25EBD" w:rsidRDefault="00EA2B5F" w:rsidP="008A3FED">
      <w:pPr>
        <w:spacing w:line="276" w:lineRule="auto"/>
        <w:jc w:val="both"/>
        <w:rPr>
          <w:rFonts w:asciiTheme="majorHAnsi" w:eastAsia="Calibri" w:hAnsiTheme="majorHAnsi" w:cstheme="majorHAnsi"/>
        </w:rPr>
      </w:pPr>
      <w:r w:rsidRPr="00F25EBD">
        <w:rPr>
          <w:rFonts w:asciiTheme="majorHAnsi" w:eastAsia="Calibri" w:hAnsiTheme="majorHAnsi" w:cstheme="majorHAnsi"/>
        </w:rPr>
        <w:t>Zmiany w systemie oświaty, zapoczątkowane w 2017</w:t>
      </w:r>
      <w:r w:rsidR="00F7062F">
        <w:rPr>
          <w:rFonts w:asciiTheme="majorHAnsi" w:eastAsia="Calibri" w:hAnsiTheme="majorHAnsi" w:cstheme="majorHAnsi"/>
        </w:rPr>
        <w:t>r.</w:t>
      </w:r>
      <w:r w:rsidRPr="00F25EBD">
        <w:rPr>
          <w:rFonts w:asciiTheme="majorHAnsi" w:eastAsia="Calibri" w:hAnsiTheme="majorHAnsi" w:cstheme="majorHAnsi"/>
        </w:rPr>
        <w:t>, objęły również szkolnictwo średnie, przy czym na tym poziomie ich wdrażanie rozpoczęło się w roku szkolnym 2019/2020 i potrwa do roku 2023/2024. W nowym systemie instytucjonalnym, absolwenci szkół podstawowych mogą kontynuować naukę w 4-letnim liceum ogólnokształcącym, 5-letnim technikum, 3-letniej szkole branżowej (I stopnia), 2-letniej szkole branżowej (II stopnia). Z kolei osoby z wykształceniem średnim, którym zależy na uzyskaniu dyplomu potwierdzającego kwalifikacje zawodowe, mogą uczęszczać do szkół policealnych (nauka w</w:t>
      </w:r>
      <w:r w:rsidR="007B7167">
        <w:rPr>
          <w:rFonts w:asciiTheme="majorHAnsi" w:eastAsia="Calibri" w:hAnsiTheme="majorHAnsi" w:cstheme="majorHAnsi"/>
        </w:rPr>
        <w:t> </w:t>
      </w:r>
      <w:r w:rsidRPr="00F25EBD">
        <w:rPr>
          <w:rFonts w:asciiTheme="majorHAnsi" w:eastAsia="Calibri" w:hAnsiTheme="majorHAnsi" w:cstheme="majorHAnsi"/>
        </w:rPr>
        <w:t>nich trwa od 1 roku do 2,5 lat). W odróżnieniu od pozostałych typów, szkoły te nie podlegają zmianom strukturalnym realizowanym w ramach reformy systemu oświaty</w:t>
      </w:r>
      <w:r w:rsidRPr="00F25EBD">
        <w:rPr>
          <w:rFonts w:asciiTheme="majorHAnsi" w:eastAsia="Calibri" w:hAnsiTheme="majorHAnsi" w:cstheme="majorHAnsi"/>
          <w:vertAlign w:val="superscript"/>
        </w:rPr>
        <w:footnoteReference w:id="39"/>
      </w:r>
      <w:r w:rsidRPr="00F25EBD">
        <w:rPr>
          <w:rFonts w:asciiTheme="majorHAnsi" w:eastAsia="Calibri" w:hAnsiTheme="majorHAnsi" w:cstheme="majorHAnsi"/>
        </w:rPr>
        <w:t>.</w:t>
      </w:r>
    </w:p>
    <w:p w14:paraId="042DEF84" w14:textId="72EFD25E" w:rsidR="00EA2B5F" w:rsidRPr="00F25EBD" w:rsidRDefault="00EA2B5F" w:rsidP="008A3FED">
      <w:pPr>
        <w:spacing w:line="276" w:lineRule="auto"/>
        <w:jc w:val="both"/>
        <w:rPr>
          <w:rFonts w:asciiTheme="majorHAnsi" w:hAnsiTheme="majorHAnsi" w:cstheme="majorHAnsi"/>
        </w:rPr>
      </w:pPr>
      <w:r w:rsidRPr="00F25EBD">
        <w:rPr>
          <w:rFonts w:asciiTheme="majorHAnsi" w:hAnsiTheme="majorHAnsi" w:cstheme="majorHAnsi"/>
        </w:rPr>
        <w:t>W 2018</w:t>
      </w:r>
      <w:r w:rsidR="00F7062F">
        <w:rPr>
          <w:rFonts w:asciiTheme="majorHAnsi" w:hAnsiTheme="majorHAnsi" w:cstheme="majorHAnsi"/>
        </w:rPr>
        <w:t>r.</w:t>
      </w:r>
      <w:r w:rsidRPr="00F25EBD">
        <w:rPr>
          <w:rFonts w:asciiTheme="majorHAnsi" w:hAnsiTheme="majorHAnsi" w:cstheme="majorHAnsi"/>
        </w:rPr>
        <w:t xml:space="preserve"> w powiatach PM funkcjonowały 23 szkoły ogólnokształcące, tj. o 46,5% mniej niż w 2010</w:t>
      </w:r>
      <w:r w:rsidR="00F7062F">
        <w:rPr>
          <w:rFonts w:asciiTheme="majorHAnsi" w:hAnsiTheme="majorHAnsi" w:cstheme="majorHAnsi"/>
        </w:rPr>
        <w:t>r.</w:t>
      </w:r>
      <w:r w:rsidRPr="00F25EBD">
        <w:rPr>
          <w:rFonts w:asciiTheme="majorHAnsi" w:hAnsiTheme="majorHAnsi" w:cstheme="majorHAnsi"/>
        </w:rPr>
        <w:t xml:space="preserve"> W</w:t>
      </w:r>
      <w:r w:rsidR="007B7167">
        <w:rPr>
          <w:rFonts w:asciiTheme="majorHAnsi" w:hAnsiTheme="majorHAnsi" w:cstheme="majorHAnsi"/>
        </w:rPr>
        <w:t> </w:t>
      </w:r>
      <w:r w:rsidRPr="00F25EBD">
        <w:rPr>
          <w:rFonts w:asciiTheme="majorHAnsi" w:hAnsiTheme="majorHAnsi" w:cstheme="majorHAnsi"/>
        </w:rPr>
        <w:t>liceach ogólnokształcących (bez specjalnych) w 91 oddziałach uczyło się 2.261 osób, co dawało prawie 25 osób na klasę. Szkoły te były prowadzone przez samorząd powiatowy (10 przypadków), samorząd gminny (4) oraz organizacje społeczne i stowarzyszenia (2). Na poziomie szkolnictwa ogólnego funkcjonowały także licea dla dorosłych, które jednak stanowiły zdecydowaną mniejszość. Łącznie w 7 szkołach, w ramach 24 oddziałów uczyło się tam 720 osób. Inaczej niż to miało miejsce w</w:t>
      </w:r>
      <w:r w:rsidR="007B04A7">
        <w:rPr>
          <w:rFonts w:asciiTheme="majorHAnsi" w:hAnsiTheme="majorHAnsi" w:cstheme="majorHAnsi"/>
        </w:rPr>
        <w:t xml:space="preserve"> </w:t>
      </w:r>
      <w:r w:rsidRPr="00F25EBD">
        <w:rPr>
          <w:rFonts w:asciiTheme="majorHAnsi" w:hAnsiTheme="majorHAnsi" w:cstheme="majorHAnsi"/>
        </w:rPr>
        <w:t>przypadku szkół dla młodzieży, organem prowadzącym placówek dla dorosłych były najczęściej różnego rodzaju organizacje i stowarzyszenia (6</w:t>
      </w:r>
      <w:r w:rsidR="007B04A7">
        <w:rPr>
          <w:rFonts w:asciiTheme="majorHAnsi" w:hAnsiTheme="majorHAnsi" w:cstheme="majorHAnsi"/>
        </w:rPr>
        <w:t xml:space="preserve"> </w:t>
      </w:r>
      <w:r w:rsidRPr="00F25EBD">
        <w:rPr>
          <w:rFonts w:asciiTheme="majorHAnsi" w:hAnsiTheme="majorHAnsi" w:cstheme="majorHAnsi"/>
        </w:rPr>
        <w:t xml:space="preserve">jednostek). Proces dydaktyczny w szkołach ogólnokształcących obsługiwali nauczyciele zatrudnieni łącznie na 185,85 etatu. Na przestrzeni lat 2011-2018 liczba etatów nauczycielskich uległa ograniczeniu o 21,0% i był to proces przebiegający równolegle do systematycznie zmniejszającej się liczby uczniów (spadek o 21,0%). </w:t>
      </w:r>
    </w:p>
    <w:p w14:paraId="49A72F88" w14:textId="04972D6A" w:rsidR="00EA2B5F" w:rsidRPr="00F25EBD" w:rsidRDefault="00EA2B5F" w:rsidP="008A3FED">
      <w:pPr>
        <w:spacing w:line="276" w:lineRule="auto"/>
        <w:jc w:val="both"/>
        <w:rPr>
          <w:rFonts w:asciiTheme="majorHAnsi" w:hAnsiTheme="majorHAnsi" w:cstheme="majorHAnsi"/>
        </w:rPr>
      </w:pPr>
      <w:r w:rsidRPr="00F25EBD">
        <w:rPr>
          <w:rFonts w:asciiTheme="majorHAnsi" w:eastAsia="Calibri" w:hAnsiTheme="majorHAnsi" w:cstheme="majorHAnsi"/>
        </w:rPr>
        <w:t>Redukcja liczby uczniów, którzy w latach 2011-2018 podejmowali naukę w liceach przełożyła się na znaczne zmniejszenie liczby absolwentów przystępujących do egzaminu maturalnego. Na przestrzeni 8 lat objętych analizą spadek ten wyniósł 41,6% (z 1.382 osób w 2011</w:t>
      </w:r>
      <w:r w:rsidR="00F7062F">
        <w:rPr>
          <w:rFonts w:asciiTheme="majorHAnsi" w:eastAsia="Calibri" w:hAnsiTheme="majorHAnsi" w:cstheme="majorHAnsi"/>
        </w:rPr>
        <w:t>r.</w:t>
      </w:r>
      <w:r w:rsidRPr="00F25EBD">
        <w:rPr>
          <w:rFonts w:asciiTheme="majorHAnsi" w:eastAsia="Calibri" w:hAnsiTheme="majorHAnsi" w:cstheme="majorHAnsi"/>
        </w:rPr>
        <w:t xml:space="preserve"> do 807 w 2018</w:t>
      </w:r>
      <w:r w:rsidR="00F7062F">
        <w:rPr>
          <w:rFonts w:asciiTheme="majorHAnsi" w:eastAsia="Calibri" w:hAnsiTheme="majorHAnsi" w:cstheme="majorHAnsi"/>
        </w:rPr>
        <w:t>r.</w:t>
      </w:r>
      <w:r w:rsidRPr="00F25EBD">
        <w:rPr>
          <w:rFonts w:asciiTheme="majorHAnsi" w:eastAsia="Calibri" w:hAnsiTheme="majorHAnsi" w:cstheme="majorHAnsi"/>
        </w:rPr>
        <w:t>). W tym kontekście za pozytywny uznać należy utrzymujący się od 2014</w:t>
      </w:r>
      <w:r w:rsidR="00F7062F">
        <w:rPr>
          <w:rFonts w:asciiTheme="majorHAnsi" w:eastAsia="Calibri" w:hAnsiTheme="majorHAnsi" w:cstheme="majorHAnsi"/>
        </w:rPr>
        <w:t>r.</w:t>
      </w:r>
      <w:r w:rsidRPr="00F25EBD">
        <w:rPr>
          <w:rFonts w:asciiTheme="majorHAnsi" w:eastAsia="Calibri" w:hAnsiTheme="majorHAnsi" w:cstheme="majorHAnsi"/>
        </w:rPr>
        <w:t xml:space="preserve"> spadek odsetka abiturientów, którzy przystąpili do matury, ale nie otrzymali świadectwa dojrzałości</w:t>
      </w:r>
      <w:r w:rsidR="00336D76" w:rsidRPr="00F25EBD">
        <w:rPr>
          <w:rFonts w:asciiTheme="majorHAnsi" w:eastAsia="Calibri" w:hAnsiTheme="majorHAnsi" w:cstheme="majorHAnsi"/>
        </w:rPr>
        <w:t xml:space="preserve"> - </w:t>
      </w:r>
      <w:r w:rsidRPr="00F25EBD">
        <w:rPr>
          <w:rFonts w:asciiTheme="majorHAnsi" w:eastAsia="Calibri" w:hAnsiTheme="majorHAnsi" w:cstheme="majorHAnsi"/>
        </w:rPr>
        <w:t>w 2014</w:t>
      </w:r>
      <w:r w:rsidR="00F7062F">
        <w:rPr>
          <w:rFonts w:asciiTheme="majorHAnsi" w:eastAsia="Calibri" w:hAnsiTheme="majorHAnsi" w:cstheme="majorHAnsi"/>
        </w:rPr>
        <w:t>r.</w:t>
      </w:r>
      <w:r w:rsidRPr="00F25EBD">
        <w:rPr>
          <w:rFonts w:asciiTheme="majorHAnsi" w:eastAsia="Calibri" w:hAnsiTheme="majorHAnsi" w:cstheme="majorHAnsi"/>
        </w:rPr>
        <w:t xml:space="preserve"> takich osób było 180, podczas gdy w 2018</w:t>
      </w:r>
      <w:r w:rsidR="00F7062F">
        <w:rPr>
          <w:rFonts w:asciiTheme="majorHAnsi" w:eastAsia="Calibri" w:hAnsiTheme="majorHAnsi" w:cstheme="majorHAnsi"/>
        </w:rPr>
        <w:t>r.</w:t>
      </w:r>
      <w:r w:rsidRPr="00F25EBD">
        <w:rPr>
          <w:rFonts w:asciiTheme="majorHAnsi" w:eastAsia="Calibri" w:hAnsiTheme="majorHAnsi" w:cstheme="majorHAnsi"/>
        </w:rPr>
        <w:t xml:space="preserve"> już tylko 70.</w:t>
      </w:r>
    </w:p>
    <w:p w14:paraId="3729A0D6" w14:textId="7AC9804C" w:rsidR="00EA2B5F" w:rsidRPr="00F25EBD" w:rsidRDefault="00EA2B5F" w:rsidP="008A3FED">
      <w:pPr>
        <w:spacing w:line="276" w:lineRule="auto"/>
        <w:jc w:val="both"/>
        <w:rPr>
          <w:rFonts w:asciiTheme="majorHAnsi" w:hAnsiTheme="majorHAnsi" w:cstheme="majorHAnsi"/>
        </w:rPr>
      </w:pPr>
      <w:r w:rsidRPr="00F25EBD">
        <w:rPr>
          <w:rFonts w:asciiTheme="majorHAnsi" w:hAnsiTheme="majorHAnsi" w:cstheme="majorHAnsi"/>
        </w:rPr>
        <w:t>W ciągu ostatnich lat w systemie szkolnictwa średniego w Polsce, równolegle do liceów ogólnokształcących, funkcjonowała również grupa szkół zawodowych, a w tym: licea profilowane dla młodzieży (zwykłe i specjalne) i dorosłych, technika dla młodzieży (zwykłe i specjalne) i dorosłych, technika uzupełniające dla młodzieży (zwykłe i specjalne) i dorosłych, ponadpodstawowe średnie szkoły zawodowe dla dorosłych, ponadgimnazjalne technika uzupełniające dla dorosłych. Z danych GUS wynika, że z tej grupy do 2018</w:t>
      </w:r>
      <w:r w:rsidR="00F7062F">
        <w:rPr>
          <w:rFonts w:asciiTheme="majorHAnsi" w:hAnsiTheme="majorHAnsi" w:cstheme="majorHAnsi"/>
        </w:rPr>
        <w:t>r.</w:t>
      </w:r>
      <w:r w:rsidRPr="00F25EBD">
        <w:rPr>
          <w:rFonts w:asciiTheme="majorHAnsi" w:hAnsiTheme="majorHAnsi" w:cstheme="majorHAnsi"/>
        </w:rPr>
        <w:t xml:space="preserve"> na terenie PM przetrwała tylko jedna kategoria, tj. technika dla młodzieży zwykłe. Na analizowanym obszarze działało łącznie 14 takich placówek, z czego 5</w:t>
      </w:r>
      <w:r w:rsidR="007B04A7">
        <w:rPr>
          <w:rFonts w:asciiTheme="majorHAnsi" w:hAnsiTheme="majorHAnsi" w:cstheme="majorHAnsi"/>
        </w:rPr>
        <w:t xml:space="preserve"> </w:t>
      </w:r>
      <w:r w:rsidRPr="00F25EBD">
        <w:rPr>
          <w:rFonts w:asciiTheme="majorHAnsi" w:hAnsiTheme="majorHAnsi" w:cstheme="majorHAnsi"/>
        </w:rPr>
        <w:t>w</w:t>
      </w:r>
      <w:r w:rsidR="007B04A7">
        <w:rPr>
          <w:rFonts w:asciiTheme="majorHAnsi" w:hAnsiTheme="majorHAnsi" w:cstheme="majorHAnsi"/>
        </w:rPr>
        <w:t xml:space="preserve"> </w:t>
      </w:r>
      <w:r w:rsidRPr="00F25EBD">
        <w:rPr>
          <w:rFonts w:asciiTheme="majorHAnsi" w:hAnsiTheme="majorHAnsi" w:cstheme="majorHAnsi"/>
        </w:rPr>
        <w:t xml:space="preserve">powiecie działdowskim, 4 w nidzickim, 3 w </w:t>
      </w:r>
      <w:proofErr w:type="spellStart"/>
      <w:r w:rsidRPr="00F25EBD">
        <w:rPr>
          <w:rFonts w:asciiTheme="majorHAnsi" w:hAnsiTheme="majorHAnsi" w:cstheme="majorHAnsi"/>
        </w:rPr>
        <w:t>piskim</w:t>
      </w:r>
      <w:proofErr w:type="spellEnd"/>
      <w:r w:rsidRPr="00F25EBD">
        <w:rPr>
          <w:rFonts w:asciiTheme="majorHAnsi" w:hAnsiTheme="majorHAnsi" w:cstheme="majorHAnsi"/>
        </w:rPr>
        <w:t xml:space="preserve"> i 2 w szczycieńskim, a organem założycielskim dla większości z</w:t>
      </w:r>
      <w:r w:rsidR="007B7167">
        <w:rPr>
          <w:rFonts w:asciiTheme="majorHAnsi" w:hAnsiTheme="majorHAnsi" w:cstheme="majorHAnsi"/>
        </w:rPr>
        <w:t> </w:t>
      </w:r>
      <w:r w:rsidRPr="00F25EBD">
        <w:rPr>
          <w:rFonts w:asciiTheme="majorHAnsi" w:hAnsiTheme="majorHAnsi" w:cstheme="majorHAnsi"/>
        </w:rPr>
        <w:t>nich (13) był samorząd powiatu. W szkołach tych funkcjonowało 113 oddziałów, w</w:t>
      </w:r>
      <w:r w:rsidR="007B04A7">
        <w:rPr>
          <w:rFonts w:asciiTheme="majorHAnsi" w:hAnsiTheme="majorHAnsi" w:cstheme="majorHAnsi"/>
        </w:rPr>
        <w:t xml:space="preserve"> </w:t>
      </w:r>
      <w:r w:rsidRPr="00F25EBD">
        <w:rPr>
          <w:rFonts w:asciiTheme="majorHAnsi" w:hAnsiTheme="majorHAnsi" w:cstheme="majorHAnsi"/>
        </w:rPr>
        <w:t xml:space="preserve">których uczyło się 2.554 osób. Niemal ¾ </w:t>
      </w:r>
      <w:r w:rsidRPr="00F25EBD">
        <w:rPr>
          <w:rFonts w:asciiTheme="majorHAnsi" w:eastAsia="Calibri" w:hAnsiTheme="majorHAnsi" w:cstheme="majorHAnsi"/>
        </w:rPr>
        <w:t>młodzieży uczęszczającej do techników (bez specjalnych) kształciło się na czterech spośród 26 kierunków wyodrębnionych zgodnie z ISCED-F</w:t>
      </w:r>
      <w:r w:rsidR="00336D76" w:rsidRPr="00F25EBD">
        <w:rPr>
          <w:rFonts w:asciiTheme="majorHAnsi" w:eastAsia="Calibri" w:hAnsiTheme="majorHAnsi" w:cstheme="majorHAnsi"/>
        </w:rPr>
        <w:t xml:space="preserve"> - </w:t>
      </w:r>
      <w:r w:rsidRPr="00F25EBD">
        <w:rPr>
          <w:rFonts w:asciiTheme="majorHAnsi" w:eastAsia="Calibri" w:hAnsiTheme="majorHAnsi" w:cstheme="majorHAnsi"/>
        </w:rPr>
        <w:t>2013</w:t>
      </w:r>
      <w:r w:rsidRPr="00F25EBD">
        <w:rPr>
          <w:rFonts w:asciiTheme="majorHAnsi" w:eastAsia="Calibri" w:hAnsiTheme="majorHAnsi" w:cstheme="majorHAnsi"/>
          <w:vertAlign w:val="superscript"/>
        </w:rPr>
        <w:footnoteReference w:id="40"/>
      </w:r>
      <w:r w:rsidRPr="00F25EBD">
        <w:rPr>
          <w:rFonts w:asciiTheme="majorHAnsi" w:eastAsia="Calibri" w:hAnsiTheme="majorHAnsi" w:cstheme="majorHAnsi"/>
        </w:rPr>
        <w:t>. Były to:</w:t>
      </w:r>
      <w:r w:rsidRPr="00F25EBD">
        <w:rPr>
          <w:rFonts w:asciiTheme="majorHAnsi" w:hAnsiTheme="majorHAnsi" w:cstheme="majorHAnsi"/>
        </w:rPr>
        <w:t xml:space="preserve"> usługi dla ludności (29,3%), inżynieryjno-techniczny (16,6%), technologii teleinformacyjnych (15,5%), społeczne (12,5%) (rys.). Podobnie jak to miało miejsce w liceach ogólnokształcących, tak i tu widoczny był spadek liczby uczniów, który w latach 2010-2018 wyniósł -17,5%. </w:t>
      </w:r>
    </w:p>
    <w:p w14:paraId="0F5BEDDB" w14:textId="3A8CB59F" w:rsidR="00EA2B5F" w:rsidRPr="00F25EBD" w:rsidRDefault="00EA2B5F" w:rsidP="002C7D64">
      <w:pPr>
        <w:pStyle w:val="nad"/>
      </w:pPr>
      <w:bookmarkStart w:id="61" w:name="_Toc81301552"/>
      <w:r w:rsidRPr="00F25EBD">
        <w:t xml:space="preserve">Rysunek </w:t>
      </w:r>
      <w:r w:rsidRPr="00F25EBD">
        <w:rPr>
          <w:noProof/>
        </w:rPr>
        <w:fldChar w:fldCharType="begin"/>
      </w:r>
      <w:r w:rsidRPr="00F25EBD">
        <w:rPr>
          <w:noProof/>
        </w:rPr>
        <w:instrText xml:space="preserve"> SEQ Rysunek \* ARABIC </w:instrText>
      </w:r>
      <w:r w:rsidRPr="00F25EBD">
        <w:rPr>
          <w:noProof/>
        </w:rPr>
        <w:fldChar w:fldCharType="separate"/>
      </w:r>
      <w:r w:rsidR="006C7815">
        <w:rPr>
          <w:noProof/>
        </w:rPr>
        <w:t>24</w:t>
      </w:r>
      <w:r w:rsidRPr="00F25EBD">
        <w:rPr>
          <w:noProof/>
        </w:rPr>
        <w:fldChar w:fldCharType="end"/>
      </w:r>
      <w:r w:rsidRPr="00F25EBD">
        <w:t>. Kierunki kształcenia młodzieży uczęszczającej do techników na terenie PM (2018</w:t>
      </w:r>
      <w:r w:rsidR="00F7062F">
        <w:t>r.</w:t>
      </w:r>
      <w:r w:rsidRPr="00F25EBD">
        <w:t>)</w:t>
      </w:r>
      <w:bookmarkEnd w:id="61"/>
    </w:p>
    <w:p w14:paraId="54C0B184" w14:textId="77777777" w:rsidR="00EA2B5F" w:rsidRPr="00F25EBD" w:rsidRDefault="00EA2B5F" w:rsidP="00FC7062">
      <w:pPr>
        <w:spacing w:after="0" w:line="276" w:lineRule="auto"/>
        <w:jc w:val="center"/>
        <w:rPr>
          <w:rFonts w:asciiTheme="majorHAnsi" w:hAnsiTheme="majorHAnsi" w:cstheme="majorHAnsi"/>
        </w:rPr>
      </w:pPr>
      <w:r w:rsidRPr="00F25EBD">
        <w:rPr>
          <w:rFonts w:asciiTheme="majorHAnsi" w:hAnsiTheme="majorHAnsi" w:cstheme="majorHAnsi"/>
          <w:noProof/>
          <w:lang w:eastAsia="pl-PL"/>
        </w:rPr>
        <w:drawing>
          <wp:inline distT="0" distB="0" distL="0" distR="0" wp14:anchorId="1CCB3B45" wp14:editId="60C721BC">
            <wp:extent cx="5760000" cy="2960077"/>
            <wp:effectExtent l="0" t="0" r="12700" b="12065"/>
            <wp:docPr id="30" name="Wykres 30">
              <a:extLst xmlns:a="http://schemas.openxmlformats.org/drawingml/2006/main">
                <a:ext uri="{FF2B5EF4-FFF2-40B4-BE49-F238E27FC236}">
                  <a16:creationId xmlns:a16="http://schemas.microsoft.com/office/drawing/2014/main" id="{6514FC01-F2FD-4C8F-A572-840E67F0DCD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7F66EF50" w14:textId="77777777" w:rsidR="00EA2B5F" w:rsidRPr="00F25EBD" w:rsidRDefault="00EA2B5F" w:rsidP="002C7D64">
      <w:pPr>
        <w:pStyle w:val="rdo"/>
      </w:pPr>
      <w:r w:rsidRPr="00F25EBD">
        <w:t>Źródło: opracowanie własne na podstawie danych BDL.</w:t>
      </w:r>
    </w:p>
    <w:p w14:paraId="0053CE93" w14:textId="74CD9193" w:rsidR="00EA2B5F" w:rsidRPr="00F25EBD" w:rsidRDefault="00EA2B5F" w:rsidP="00FC7062">
      <w:pPr>
        <w:spacing w:after="0" w:line="276" w:lineRule="auto"/>
        <w:jc w:val="both"/>
        <w:rPr>
          <w:rFonts w:asciiTheme="majorHAnsi" w:hAnsiTheme="majorHAnsi" w:cstheme="majorHAnsi"/>
        </w:rPr>
      </w:pPr>
      <w:r w:rsidRPr="00F25EBD">
        <w:rPr>
          <w:rFonts w:asciiTheme="majorHAnsi" w:eastAsia="Calibri" w:hAnsiTheme="majorHAnsi" w:cstheme="majorHAnsi"/>
        </w:rPr>
        <w:t>Jednym z działań podjętych w ramach reformy systemu edukacji w Polsce było przekształcenie (1</w:t>
      </w:r>
      <w:r w:rsidR="007B04A7">
        <w:rPr>
          <w:rFonts w:asciiTheme="majorHAnsi" w:eastAsia="Calibri" w:hAnsiTheme="majorHAnsi" w:cstheme="majorHAnsi"/>
        </w:rPr>
        <w:t xml:space="preserve"> </w:t>
      </w:r>
      <w:r w:rsidRPr="00F25EBD">
        <w:rPr>
          <w:rFonts w:asciiTheme="majorHAnsi" w:eastAsia="Calibri" w:hAnsiTheme="majorHAnsi" w:cstheme="majorHAnsi"/>
        </w:rPr>
        <w:t>września 2017</w:t>
      </w:r>
      <w:r w:rsidR="00F7062F">
        <w:rPr>
          <w:rFonts w:asciiTheme="majorHAnsi" w:eastAsia="Calibri" w:hAnsiTheme="majorHAnsi" w:cstheme="majorHAnsi"/>
        </w:rPr>
        <w:t>r.</w:t>
      </w:r>
      <w:r w:rsidRPr="00F25EBD">
        <w:rPr>
          <w:rFonts w:asciiTheme="majorHAnsi" w:eastAsia="Calibri" w:hAnsiTheme="majorHAnsi" w:cstheme="majorHAnsi"/>
        </w:rPr>
        <w:t xml:space="preserve">) trzyletnich zasadniczych szkół zawodowych w branżowe szkoły I stopnia. Zmiany te podyktowane były m.in. zmniejszającym się znaczeniem i prestiżem szkół zawodowych, co przejawiało się dramatycznym spadkiem chętnych do podjęcia </w:t>
      </w:r>
      <w:r w:rsidR="001522BD">
        <w:rPr>
          <w:rFonts w:asciiTheme="majorHAnsi" w:eastAsia="Calibri" w:hAnsiTheme="majorHAnsi" w:cstheme="majorHAnsi"/>
        </w:rPr>
        <w:t xml:space="preserve">w nich </w:t>
      </w:r>
      <w:r w:rsidRPr="00F25EBD">
        <w:rPr>
          <w:rFonts w:asciiTheme="majorHAnsi" w:eastAsia="Calibri" w:hAnsiTheme="majorHAnsi" w:cstheme="majorHAnsi"/>
        </w:rPr>
        <w:t>nauki.</w:t>
      </w:r>
      <w:r w:rsidRPr="00F25EBD">
        <w:rPr>
          <w:rFonts w:asciiTheme="majorHAnsi" w:hAnsiTheme="majorHAnsi" w:cstheme="majorHAnsi"/>
        </w:rPr>
        <w:t xml:space="preserve"> </w:t>
      </w:r>
      <w:r w:rsidRPr="00F25EBD">
        <w:rPr>
          <w:rFonts w:asciiTheme="majorHAnsi" w:eastAsia="Calibri" w:hAnsiTheme="majorHAnsi" w:cstheme="majorHAnsi"/>
        </w:rPr>
        <w:t>W myśl nowych rozwiązań, absolwent trzyletniej szkoły branżowej I stopnia będzie mógł kontynuować edukację w branżowej szkole II stopnia (uruchomienie tego poziomu zaplanowane zostało na rok szkolny 2020/2021), a</w:t>
      </w:r>
      <w:r w:rsidR="007B04A7">
        <w:rPr>
          <w:rFonts w:asciiTheme="majorHAnsi" w:eastAsia="Calibri" w:hAnsiTheme="majorHAnsi" w:cstheme="majorHAnsi"/>
        </w:rPr>
        <w:t xml:space="preserve"> </w:t>
      </w:r>
      <w:r w:rsidRPr="00F25EBD">
        <w:rPr>
          <w:rFonts w:asciiTheme="majorHAnsi" w:eastAsia="Calibri" w:hAnsiTheme="majorHAnsi" w:cstheme="majorHAnsi"/>
        </w:rPr>
        <w:t>następnie przystąpić do egzaminu maturalnego i ewentualnie starać się o przyjęcie na studia wyższe. Nowo utworzona branżowa szkoła I stopnia umożliwi otrzymanie dyplomu potwierdzającego kwa</w:t>
      </w:r>
      <w:r w:rsidR="002C7D64">
        <w:rPr>
          <w:rFonts w:asciiTheme="majorHAnsi" w:eastAsia="Calibri" w:hAnsiTheme="majorHAnsi" w:cstheme="majorHAnsi"/>
        </w:rPr>
        <w:t>lifikacje zawodowe i </w:t>
      </w:r>
      <w:r w:rsidRPr="00F25EBD">
        <w:rPr>
          <w:rFonts w:asciiTheme="majorHAnsi" w:eastAsia="Calibri" w:hAnsiTheme="majorHAnsi" w:cstheme="majorHAnsi"/>
        </w:rPr>
        <w:t>uzyskanie wykształcenia zasadniczego branżowego. Absolwent branżowej szkoły I stopnia będzie przygotowany zarówno do podjęcia pracy, jak i do kontynuowania kształcenia.</w:t>
      </w:r>
    </w:p>
    <w:p w14:paraId="70FD3CE7" w14:textId="251377C7" w:rsidR="00EA2B5F" w:rsidRPr="00F25EBD" w:rsidRDefault="00EA2B5F" w:rsidP="008A3FED">
      <w:pPr>
        <w:spacing w:before="240" w:after="0" w:line="276" w:lineRule="auto"/>
        <w:jc w:val="both"/>
        <w:rPr>
          <w:rFonts w:asciiTheme="majorHAnsi" w:hAnsiTheme="majorHAnsi" w:cstheme="majorHAnsi"/>
        </w:rPr>
      </w:pPr>
      <w:r w:rsidRPr="00F25EBD">
        <w:rPr>
          <w:rFonts w:asciiTheme="majorHAnsi" w:hAnsiTheme="majorHAnsi" w:cstheme="majorHAnsi"/>
        </w:rPr>
        <w:t>W 2018</w:t>
      </w:r>
      <w:r w:rsidR="00F7062F">
        <w:rPr>
          <w:rFonts w:asciiTheme="majorHAnsi" w:hAnsiTheme="majorHAnsi" w:cstheme="majorHAnsi"/>
        </w:rPr>
        <w:t>r.</w:t>
      </w:r>
      <w:r w:rsidRPr="00F25EBD">
        <w:rPr>
          <w:rFonts w:asciiTheme="majorHAnsi" w:hAnsiTheme="majorHAnsi" w:cstheme="majorHAnsi"/>
        </w:rPr>
        <w:t xml:space="preserve"> w powiatach Południowych Mazur działało 11 tego typu szkół, z czego 7 prowadzonych było przez samorząd powiatowy, dwie (w powiecie działdowskim i szczycieńskim) przez samorząd gminny, jedna przez Warmińsko-Mazurski Zakład Doskonalenia Zawodowego w Olsztynie i jedna przez nieokreślonego gestora. W 34 oddziałach uczyło się tu łącznie 799 uczniów, co stanowiło 177,9% ich liczby z roku poprzedniego. Dodatkowo, w powiecie nidzickim i szczycieńskim funkcjonowały dwie, prowadzone przez samorząd powiatowy, szkoły branżowe specjalne, w których w dwóch oddziałach uczyło się 12 osób. Nauczyciele realizujący proces dydaktycznych w tych szkołach zatrudnieni byli łącznie na 65,32</w:t>
      </w:r>
      <w:r w:rsidR="00787CFC">
        <w:rPr>
          <w:rFonts w:asciiTheme="majorHAnsi" w:hAnsiTheme="majorHAnsi" w:cstheme="majorHAnsi"/>
        </w:rPr>
        <w:t xml:space="preserve"> etatach</w:t>
      </w:r>
      <w:r w:rsidRPr="00F25EBD">
        <w:rPr>
          <w:rFonts w:asciiTheme="majorHAnsi" w:hAnsiTheme="majorHAnsi" w:cstheme="majorHAnsi"/>
        </w:rPr>
        <w:t>, z czego 95,5% przypadało na szkoły branżowe zwykłe.</w:t>
      </w:r>
    </w:p>
    <w:p w14:paraId="78B649D6" w14:textId="12624666" w:rsidR="00EA2B5F" w:rsidRPr="00F25EBD" w:rsidRDefault="00EA2B5F" w:rsidP="008A3FED">
      <w:pPr>
        <w:spacing w:before="240" w:after="0" w:line="276" w:lineRule="auto"/>
        <w:jc w:val="both"/>
        <w:rPr>
          <w:rFonts w:asciiTheme="majorHAnsi" w:hAnsiTheme="majorHAnsi" w:cstheme="majorHAnsi"/>
        </w:rPr>
      </w:pPr>
      <w:r w:rsidRPr="00F25EBD">
        <w:rPr>
          <w:rFonts w:asciiTheme="majorHAnsi" w:eastAsia="Calibri" w:hAnsiTheme="majorHAnsi" w:cstheme="majorHAnsi"/>
        </w:rPr>
        <w:t xml:space="preserve">W systemie szkolnictwa zawodowego, oprócz szkół branżowych, </w:t>
      </w:r>
      <w:r w:rsidRPr="00F25EBD">
        <w:rPr>
          <w:rFonts w:asciiTheme="majorHAnsi" w:eastAsia="Times New Roman" w:hAnsiTheme="majorHAnsi" w:cstheme="majorHAnsi"/>
          <w:lang w:eastAsia="pl-PL"/>
        </w:rPr>
        <w:t xml:space="preserve">funkcjonują również szkoły specjalne przysposabiające do pracy, których zadaniem jest przygotowanie młodzieży </w:t>
      </w:r>
      <w:r w:rsidRPr="00F25EBD">
        <w:rPr>
          <w:rFonts w:asciiTheme="majorHAnsi" w:eastAsia="Calibri" w:hAnsiTheme="majorHAnsi" w:cstheme="majorHAnsi"/>
        </w:rPr>
        <w:t>z</w:t>
      </w:r>
      <w:r w:rsidR="007B04A7">
        <w:rPr>
          <w:rFonts w:asciiTheme="majorHAnsi" w:eastAsia="Calibri" w:hAnsiTheme="majorHAnsi" w:cstheme="majorHAnsi"/>
        </w:rPr>
        <w:t xml:space="preserve"> </w:t>
      </w:r>
      <w:r w:rsidRPr="00F25EBD">
        <w:rPr>
          <w:rFonts w:asciiTheme="majorHAnsi" w:eastAsia="Calibri" w:hAnsiTheme="majorHAnsi" w:cstheme="majorHAnsi"/>
        </w:rPr>
        <w:t>niepełnosprawnością intelektualną (w stopniu umiarkowanym i znacznym) oraz z</w:t>
      </w:r>
      <w:r w:rsidR="007B04A7">
        <w:rPr>
          <w:rFonts w:asciiTheme="majorHAnsi" w:eastAsia="Calibri" w:hAnsiTheme="majorHAnsi" w:cstheme="majorHAnsi"/>
        </w:rPr>
        <w:t xml:space="preserve"> </w:t>
      </w:r>
      <w:r w:rsidRPr="00F25EBD">
        <w:rPr>
          <w:rFonts w:asciiTheme="majorHAnsi" w:eastAsia="Calibri" w:hAnsiTheme="majorHAnsi" w:cstheme="majorHAnsi"/>
        </w:rPr>
        <w:t>niepełnosprawnościami sprzężonymi do funkcjonowania na rynku pracy. W 2018</w:t>
      </w:r>
      <w:r w:rsidR="00F7062F">
        <w:rPr>
          <w:rFonts w:asciiTheme="majorHAnsi" w:eastAsia="Calibri" w:hAnsiTheme="majorHAnsi" w:cstheme="majorHAnsi"/>
        </w:rPr>
        <w:t>r.</w:t>
      </w:r>
      <w:r w:rsidRPr="00F25EBD">
        <w:rPr>
          <w:rFonts w:asciiTheme="majorHAnsi" w:eastAsia="Calibri" w:hAnsiTheme="majorHAnsi" w:cstheme="majorHAnsi"/>
        </w:rPr>
        <w:t xml:space="preserve"> szkoły tego typu zlokalizowane były w każdym powiecie Południowych Mazur, a w tym: w działdowskim</w:t>
      </w:r>
      <w:r w:rsidR="00336D76" w:rsidRPr="00F25EBD">
        <w:rPr>
          <w:rFonts w:asciiTheme="majorHAnsi" w:eastAsia="Calibri" w:hAnsiTheme="majorHAnsi" w:cstheme="majorHAnsi"/>
        </w:rPr>
        <w:t xml:space="preserve"> - </w:t>
      </w:r>
      <w:r w:rsidRPr="00F25EBD">
        <w:rPr>
          <w:rFonts w:asciiTheme="majorHAnsi" w:eastAsia="Calibri" w:hAnsiTheme="majorHAnsi" w:cstheme="majorHAnsi"/>
        </w:rPr>
        <w:t>3, w</w:t>
      </w:r>
      <w:r w:rsidR="007B04A7">
        <w:rPr>
          <w:rFonts w:asciiTheme="majorHAnsi" w:eastAsia="Calibri" w:hAnsiTheme="majorHAnsi" w:cstheme="majorHAnsi"/>
        </w:rPr>
        <w:t xml:space="preserve"> </w:t>
      </w:r>
      <w:r w:rsidRPr="00F25EBD">
        <w:rPr>
          <w:rFonts w:asciiTheme="majorHAnsi" w:eastAsia="Calibri" w:hAnsiTheme="majorHAnsi" w:cstheme="majorHAnsi"/>
        </w:rPr>
        <w:t>nidzickim</w:t>
      </w:r>
      <w:r w:rsidR="00336D76" w:rsidRPr="00F25EBD">
        <w:rPr>
          <w:rFonts w:asciiTheme="majorHAnsi" w:eastAsia="Calibri" w:hAnsiTheme="majorHAnsi" w:cstheme="majorHAnsi"/>
        </w:rPr>
        <w:t xml:space="preserve"> - </w:t>
      </w:r>
      <w:r w:rsidRPr="00F25EBD">
        <w:rPr>
          <w:rFonts w:asciiTheme="majorHAnsi" w:eastAsia="Calibri" w:hAnsiTheme="majorHAnsi" w:cstheme="majorHAnsi"/>
        </w:rPr>
        <w:t xml:space="preserve">3, w </w:t>
      </w:r>
      <w:proofErr w:type="spellStart"/>
      <w:r w:rsidRPr="00F25EBD">
        <w:rPr>
          <w:rFonts w:asciiTheme="majorHAnsi" w:eastAsia="Calibri" w:hAnsiTheme="majorHAnsi" w:cstheme="majorHAnsi"/>
        </w:rPr>
        <w:t>piskim</w:t>
      </w:r>
      <w:proofErr w:type="spellEnd"/>
      <w:r w:rsidR="00336D76" w:rsidRPr="00F25EBD">
        <w:rPr>
          <w:rFonts w:asciiTheme="majorHAnsi" w:eastAsia="Calibri" w:hAnsiTheme="majorHAnsi" w:cstheme="majorHAnsi"/>
        </w:rPr>
        <w:t xml:space="preserve"> - </w:t>
      </w:r>
      <w:r w:rsidRPr="00F25EBD">
        <w:rPr>
          <w:rFonts w:asciiTheme="majorHAnsi" w:eastAsia="Calibri" w:hAnsiTheme="majorHAnsi" w:cstheme="majorHAnsi"/>
        </w:rPr>
        <w:t>2 i w szczycieńskim</w:t>
      </w:r>
      <w:r w:rsidR="00336D76" w:rsidRPr="00F25EBD">
        <w:rPr>
          <w:rFonts w:asciiTheme="majorHAnsi" w:eastAsia="Calibri" w:hAnsiTheme="majorHAnsi" w:cstheme="majorHAnsi"/>
        </w:rPr>
        <w:t xml:space="preserve"> - </w:t>
      </w:r>
      <w:r w:rsidRPr="00F25EBD">
        <w:rPr>
          <w:rFonts w:asciiTheme="majorHAnsi" w:eastAsia="Calibri" w:hAnsiTheme="majorHAnsi" w:cstheme="majorHAnsi"/>
        </w:rPr>
        <w:t xml:space="preserve">4. </w:t>
      </w:r>
    </w:p>
    <w:p w14:paraId="7C3D3DB1" w14:textId="5595B208" w:rsidR="00EA2B5F" w:rsidRPr="00F25EBD" w:rsidRDefault="00EA2B5F" w:rsidP="008A3FED">
      <w:pPr>
        <w:spacing w:before="240" w:after="0" w:line="276" w:lineRule="auto"/>
        <w:jc w:val="both"/>
        <w:rPr>
          <w:rFonts w:asciiTheme="majorHAnsi" w:hAnsiTheme="majorHAnsi" w:cstheme="majorHAnsi"/>
        </w:rPr>
      </w:pPr>
      <w:r w:rsidRPr="00F25EBD">
        <w:rPr>
          <w:rFonts w:asciiTheme="majorHAnsi" w:hAnsiTheme="majorHAnsi" w:cstheme="majorHAnsi"/>
        </w:rPr>
        <w:t>Ostatnim ogniwem infrastruktury edukacyjnej są uczelnie wyższe. Południowe Mazury mogą poszczycić się w tym obszarze jedną instytucją mającą istotne znaczenie w skali kraju, tj. Państwową Szkołą Policji w Szczytnie. W 2018</w:t>
      </w:r>
      <w:r w:rsidR="00F7062F">
        <w:rPr>
          <w:rFonts w:asciiTheme="majorHAnsi" w:hAnsiTheme="majorHAnsi" w:cstheme="majorHAnsi"/>
        </w:rPr>
        <w:t>r.</w:t>
      </w:r>
      <w:r w:rsidRPr="00F25EBD">
        <w:rPr>
          <w:rFonts w:asciiTheme="majorHAnsi" w:hAnsiTheme="majorHAnsi" w:cstheme="majorHAnsi"/>
        </w:rPr>
        <w:t xml:space="preserve"> studiowało na niej 2.249 studentów, tj. 8,3</w:t>
      </w:r>
      <w:r w:rsidR="002C7D64">
        <w:rPr>
          <w:rFonts w:asciiTheme="majorHAnsi" w:hAnsiTheme="majorHAnsi" w:cstheme="majorHAnsi"/>
        </w:rPr>
        <w:t>% osób studiujących na Warmii i </w:t>
      </w:r>
      <w:r w:rsidRPr="00F25EBD">
        <w:rPr>
          <w:rFonts w:asciiTheme="majorHAnsi" w:hAnsiTheme="majorHAnsi" w:cstheme="majorHAnsi"/>
        </w:rPr>
        <w:t>Mazurach.</w:t>
      </w:r>
    </w:p>
    <w:p w14:paraId="5474A10B" w14:textId="77777777" w:rsidR="00EA2B5F" w:rsidRPr="00F25EBD" w:rsidRDefault="00EA2B5F" w:rsidP="00FC7062">
      <w:pPr>
        <w:spacing w:after="0" w:line="276" w:lineRule="auto"/>
        <w:jc w:val="both"/>
        <w:rPr>
          <w:rFonts w:asciiTheme="majorHAnsi" w:hAnsiTheme="majorHAnsi" w:cstheme="majorHAnsi"/>
        </w:rPr>
      </w:pPr>
    </w:p>
    <w:p w14:paraId="1952F2A6" w14:textId="56A8F481" w:rsidR="00EA2B5F" w:rsidRPr="00F25EBD" w:rsidRDefault="002C7D64" w:rsidP="002C7D64">
      <w:pPr>
        <w:pStyle w:val="Nagwek2"/>
        <w:spacing w:before="0"/>
        <w:jc w:val="both"/>
        <w:rPr>
          <w:rFonts w:cstheme="majorHAnsi"/>
        </w:rPr>
      </w:pPr>
      <w:bookmarkStart w:id="62" w:name="_Toc77070615"/>
      <w:r>
        <w:rPr>
          <w:rFonts w:cstheme="majorHAnsi"/>
        </w:rPr>
        <w:t xml:space="preserve">6.2 </w:t>
      </w:r>
      <w:r w:rsidR="00EA2B5F" w:rsidRPr="00F25EBD">
        <w:rPr>
          <w:rFonts w:cstheme="majorHAnsi"/>
        </w:rPr>
        <w:t>Sport</w:t>
      </w:r>
      <w:bookmarkEnd w:id="62"/>
    </w:p>
    <w:p w14:paraId="38E8CDC5" w14:textId="77777777" w:rsidR="00EA2B5F" w:rsidRPr="00F25EBD" w:rsidRDefault="00EA2B5F" w:rsidP="00FC7062">
      <w:pPr>
        <w:spacing w:after="0" w:line="276" w:lineRule="auto"/>
        <w:jc w:val="both"/>
        <w:rPr>
          <w:rFonts w:asciiTheme="majorHAnsi" w:hAnsiTheme="majorHAnsi" w:cstheme="majorHAnsi"/>
        </w:rPr>
      </w:pPr>
      <w:r w:rsidRPr="00F25EBD">
        <w:rPr>
          <w:rFonts w:asciiTheme="majorHAnsi" w:hAnsiTheme="majorHAnsi" w:cstheme="majorHAnsi"/>
        </w:rPr>
        <w:t>Zgodnie z klasyfikacją GUS w skład infrastruktury sportowej wchodzą m.in. następujące obiekty:</w:t>
      </w:r>
    </w:p>
    <w:p w14:paraId="562AC034" w14:textId="77777777" w:rsidR="00EA2B5F" w:rsidRPr="00F25EBD" w:rsidRDefault="00EA2B5F" w:rsidP="00624F1F">
      <w:pPr>
        <w:pStyle w:val="Akapitzlist"/>
        <w:numPr>
          <w:ilvl w:val="0"/>
          <w:numId w:val="11"/>
        </w:numPr>
        <w:spacing w:after="0" w:line="276" w:lineRule="auto"/>
        <w:jc w:val="both"/>
        <w:rPr>
          <w:rFonts w:asciiTheme="majorHAnsi" w:hAnsiTheme="majorHAnsi" w:cstheme="majorHAnsi"/>
        </w:rPr>
      </w:pPr>
      <w:r w:rsidRPr="00F25EBD">
        <w:rPr>
          <w:rFonts w:asciiTheme="majorHAnsi" w:hAnsiTheme="majorHAnsi" w:cstheme="majorHAnsi"/>
        </w:rPr>
        <w:t xml:space="preserve">boiska (a w tym: boiska piłkarskie, boiska do koszykówki, boiska do piłki ręcznej, boiska do piłki siatkowej, boiska </w:t>
      </w:r>
      <w:proofErr w:type="spellStart"/>
      <w:r w:rsidRPr="00F25EBD">
        <w:rPr>
          <w:rFonts w:asciiTheme="majorHAnsi" w:hAnsiTheme="majorHAnsi" w:cstheme="majorHAnsi"/>
        </w:rPr>
        <w:t>uniwersalne-wielozadaniowe</w:t>
      </w:r>
      <w:proofErr w:type="spellEnd"/>
      <w:r w:rsidRPr="00F25EBD">
        <w:rPr>
          <w:rFonts w:asciiTheme="majorHAnsi" w:hAnsiTheme="majorHAnsi" w:cstheme="majorHAnsi"/>
        </w:rPr>
        <w:t>),</w:t>
      </w:r>
    </w:p>
    <w:p w14:paraId="411C693A" w14:textId="77777777" w:rsidR="00EA2B5F" w:rsidRPr="00F25EBD" w:rsidRDefault="00EA2B5F" w:rsidP="00624F1F">
      <w:pPr>
        <w:pStyle w:val="Akapitzlist"/>
        <w:numPr>
          <w:ilvl w:val="0"/>
          <w:numId w:val="11"/>
        </w:numPr>
        <w:spacing w:after="0" w:line="276" w:lineRule="auto"/>
        <w:jc w:val="both"/>
        <w:rPr>
          <w:rFonts w:asciiTheme="majorHAnsi" w:hAnsiTheme="majorHAnsi" w:cstheme="majorHAnsi"/>
        </w:rPr>
      </w:pPr>
      <w:r w:rsidRPr="00F25EBD">
        <w:rPr>
          <w:rFonts w:asciiTheme="majorHAnsi" w:hAnsiTheme="majorHAnsi" w:cstheme="majorHAnsi"/>
        </w:rPr>
        <w:t>stadiony,</w:t>
      </w:r>
    </w:p>
    <w:p w14:paraId="79FDA3D8" w14:textId="77777777" w:rsidR="00EA2B5F" w:rsidRPr="00F25EBD" w:rsidRDefault="00EA2B5F" w:rsidP="00624F1F">
      <w:pPr>
        <w:pStyle w:val="Akapitzlist"/>
        <w:numPr>
          <w:ilvl w:val="0"/>
          <w:numId w:val="11"/>
        </w:numPr>
        <w:spacing w:after="0" w:line="276" w:lineRule="auto"/>
        <w:jc w:val="both"/>
        <w:rPr>
          <w:rFonts w:asciiTheme="majorHAnsi" w:hAnsiTheme="majorHAnsi" w:cstheme="majorHAnsi"/>
        </w:rPr>
      </w:pPr>
      <w:r w:rsidRPr="00F25EBD">
        <w:rPr>
          <w:rFonts w:asciiTheme="majorHAnsi" w:hAnsiTheme="majorHAnsi" w:cstheme="majorHAnsi"/>
        </w:rPr>
        <w:t>hale sportowe o wymiarach od 36x19 m,</w:t>
      </w:r>
    </w:p>
    <w:p w14:paraId="12838424" w14:textId="77777777" w:rsidR="00EA2B5F" w:rsidRPr="00F25EBD" w:rsidRDefault="00EA2B5F" w:rsidP="00624F1F">
      <w:pPr>
        <w:pStyle w:val="Akapitzlist"/>
        <w:numPr>
          <w:ilvl w:val="0"/>
          <w:numId w:val="11"/>
        </w:numPr>
        <w:spacing w:after="0" w:line="276" w:lineRule="auto"/>
        <w:jc w:val="both"/>
        <w:rPr>
          <w:rFonts w:asciiTheme="majorHAnsi" w:hAnsiTheme="majorHAnsi" w:cstheme="majorHAnsi"/>
        </w:rPr>
      </w:pPr>
      <w:r w:rsidRPr="00F25EBD">
        <w:rPr>
          <w:rFonts w:asciiTheme="majorHAnsi" w:hAnsiTheme="majorHAnsi" w:cstheme="majorHAnsi"/>
        </w:rPr>
        <w:t>sale gimnastyczne o wymiarach poniżej 36x19 m i sale pomocnicze,</w:t>
      </w:r>
    </w:p>
    <w:p w14:paraId="5A71177E" w14:textId="77777777" w:rsidR="00EA2B5F" w:rsidRPr="00F25EBD" w:rsidRDefault="00EA2B5F" w:rsidP="00624F1F">
      <w:pPr>
        <w:pStyle w:val="Akapitzlist"/>
        <w:numPr>
          <w:ilvl w:val="0"/>
          <w:numId w:val="11"/>
        </w:numPr>
        <w:spacing w:after="0" w:line="276" w:lineRule="auto"/>
        <w:jc w:val="both"/>
        <w:rPr>
          <w:rFonts w:asciiTheme="majorHAnsi" w:hAnsiTheme="majorHAnsi" w:cstheme="majorHAnsi"/>
        </w:rPr>
      </w:pPr>
      <w:r w:rsidRPr="00F25EBD">
        <w:rPr>
          <w:rFonts w:asciiTheme="majorHAnsi" w:hAnsiTheme="majorHAnsi" w:cstheme="majorHAnsi"/>
        </w:rPr>
        <w:t>korty tenisowe (kryte i otwarte),</w:t>
      </w:r>
    </w:p>
    <w:p w14:paraId="3F9F2260" w14:textId="77777777" w:rsidR="00EA2B5F" w:rsidRPr="00F25EBD" w:rsidRDefault="00EA2B5F" w:rsidP="00624F1F">
      <w:pPr>
        <w:pStyle w:val="Akapitzlist"/>
        <w:numPr>
          <w:ilvl w:val="0"/>
          <w:numId w:val="11"/>
        </w:numPr>
        <w:spacing w:after="0" w:line="276" w:lineRule="auto"/>
        <w:jc w:val="both"/>
        <w:rPr>
          <w:rFonts w:asciiTheme="majorHAnsi" w:hAnsiTheme="majorHAnsi" w:cstheme="majorHAnsi"/>
        </w:rPr>
      </w:pPr>
      <w:r w:rsidRPr="00F25EBD">
        <w:rPr>
          <w:rFonts w:asciiTheme="majorHAnsi" w:hAnsiTheme="majorHAnsi" w:cstheme="majorHAnsi"/>
        </w:rPr>
        <w:t>pływalnie kryte.</w:t>
      </w:r>
    </w:p>
    <w:p w14:paraId="56F6A267" w14:textId="77777777" w:rsidR="00EA2B5F" w:rsidRPr="00F25EBD" w:rsidRDefault="00EA2B5F" w:rsidP="00FC7062">
      <w:pPr>
        <w:spacing w:after="0" w:line="276" w:lineRule="auto"/>
        <w:jc w:val="both"/>
        <w:rPr>
          <w:rFonts w:asciiTheme="majorHAnsi" w:hAnsiTheme="majorHAnsi" w:cstheme="majorHAnsi"/>
        </w:rPr>
      </w:pPr>
    </w:p>
    <w:p w14:paraId="4EC127FA" w14:textId="38555E69" w:rsidR="00EA2B5F" w:rsidRPr="00F25EBD" w:rsidRDefault="00EA2B5F" w:rsidP="00FC7062">
      <w:pPr>
        <w:spacing w:after="0" w:line="276" w:lineRule="auto"/>
        <w:jc w:val="both"/>
        <w:rPr>
          <w:rFonts w:asciiTheme="majorHAnsi" w:hAnsiTheme="majorHAnsi" w:cstheme="majorHAnsi"/>
          <w:b/>
          <w:bCs/>
        </w:rPr>
      </w:pPr>
      <w:r w:rsidRPr="00F25EBD">
        <w:rPr>
          <w:rFonts w:asciiTheme="majorHAnsi" w:hAnsiTheme="majorHAnsi" w:cstheme="majorHAnsi"/>
        </w:rPr>
        <w:t>W 2018</w:t>
      </w:r>
      <w:r w:rsidR="00F7062F">
        <w:rPr>
          <w:rFonts w:asciiTheme="majorHAnsi" w:hAnsiTheme="majorHAnsi" w:cstheme="majorHAnsi"/>
        </w:rPr>
        <w:t>r.</w:t>
      </w:r>
      <w:r w:rsidRPr="00F25EBD">
        <w:rPr>
          <w:rFonts w:asciiTheme="majorHAnsi" w:hAnsiTheme="majorHAnsi" w:cstheme="majorHAnsi"/>
        </w:rPr>
        <w:t xml:space="preserve"> dominującą rolę w infrastrukturze sportowej Południowych Mazur odgrywały mniejsze obiekty ukierunkowane bardziej na wspieranie aktywności fizycznej lokalnej społeczności niż organizację poważniejszych imprez sportowych. Wśród nich największy odsetek miały siłownie zewnętrzne, których liczba (m.in. dzięki wsparciu funduszy zewnętrznych) na przestrzeni lat 2010-2018 wzrosła o 100% (z</w:t>
      </w:r>
      <w:r w:rsidR="007B04A7">
        <w:rPr>
          <w:rFonts w:asciiTheme="majorHAnsi" w:hAnsiTheme="majorHAnsi" w:cstheme="majorHAnsi"/>
        </w:rPr>
        <w:t xml:space="preserve"> </w:t>
      </w:r>
      <w:r w:rsidRPr="00F25EBD">
        <w:rPr>
          <w:rFonts w:asciiTheme="majorHAnsi" w:hAnsiTheme="majorHAnsi" w:cstheme="majorHAnsi"/>
        </w:rPr>
        <w:t>0</w:t>
      </w:r>
      <w:r w:rsidR="007B04A7">
        <w:rPr>
          <w:rFonts w:asciiTheme="majorHAnsi" w:hAnsiTheme="majorHAnsi" w:cstheme="majorHAnsi"/>
        </w:rPr>
        <w:t xml:space="preserve"> </w:t>
      </w:r>
      <w:r w:rsidRPr="00F25EBD">
        <w:rPr>
          <w:rFonts w:asciiTheme="majorHAnsi" w:hAnsiTheme="majorHAnsi" w:cstheme="majorHAnsi"/>
        </w:rPr>
        <w:t>w 2010</w:t>
      </w:r>
      <w:r w:rsidR="00F7062F">
        <w:rPr>
          <w:rFonts w:asciiTheme="majorHAnsi" w:hAnsiTheme="majorHAnsi" w:cstheme="majorHAnsi"/>
        </w:rPr>
        <w:t>r.</w:t>
      </w:r>
      <w:r w:rsidRPr="00F25EBD">
        <w:rPr>
          <w:rFonts w:asciiTheme="majorHAnsi" w:hAnsiTheme="majorHAnsi" w:cstheme="majorHAnsi"/>
        </w:rPr>
        <w:t xml:space="preserve"> do 60 w 2018</w:t>
      </w:r>
      <w:r w:rsidR="00F7062F">
        <w:rPr>
          <w:rFonts w:asciiTheme="majorHAnsi" w:hAnsiTheme="majorHAnsi" w:cstheme="majorHAnsi"/>
        </w:rPr>
        <w:t>r.</w:t>
      </w:r>
      <w:r w:rsidRPr="00F25EBD">
        <w:rPr>
          <w:rFonts w:asciiTheme="majorHAnsi" w:hAnsiTheme="majorHAnsi" w:cstheme="majorHAnsi"/>
        </w:rPr>
        <w:t>). Spory przyrost zauważalny był także w</w:t>
      </w:r>
      <w:r w:rsidR="007B04A7">
        <w:rPr>
          <w:rFonts w:asciiTheme="majorHAnsi" w:hAnsiTheme="majorHAnsi" w:cstheme="majorHAnsi"/>
        </w:rPr>
        <w:t xml:space="preserve"> </w:t>
      </w:r>
      <w:r w:rsidRPr="00F25EBD">
        <w:rPr>
          <w:rFonts w:asciiTheme="majorHAnsi" w:hAnsiTheme="majorHAnsi" w:cstheme="majorHAnsi"/>
        </w:rPr>
        <w:t xml:space="preserve">zakresie boisk </w:t>
      </w:r>
      <w:proofErr w:type="spellStart"/>
      <w:r w:rsidRPr="00F25EBD">
        <w:rPr>
          <w:rFonts w:asciiTheme="majorHAnsi" w:hAnsiTheme="majorHAnsi" w:cstheme="majorHAnsi"/>
        </w:rPr>
        <w:t>uniwersalnych-wielozadaniowych</w:t>
      </w:r>
      <w:proofErr w:type="spellEnd"/>
      <w:r w:rsidRPr="00F25EBD">
        <w:rPr>
          <w:rFonts w:asciiTheme="majorHAnsi" w:hAnsiTheme="majorHAnsi" w:cstheme="majorHAnsi"/>
        </w:rPr>
        <w:t>, których liczba zwiększyła się z 33 w</w:t>
      </w:r>
      <w:r w:rsidR="007B04A7">
        <w:rPr>
          <w:rFonts w:asciiTheme="majorHAnsi" w:hAnsiTheme="majorHAnsi" w:cstheme="majorHAnsi"/>
        </w:rPr>
        <w:t xml:space="preserve"> </w:t>
      </w:r>
      <w:r w:rsidRPr="00F25EBD">
        <w:rPr>
          <w:rFonts w:asciiTheme="majorHAnsi" w:hAnsiTheme="majorHAnsi" w:cstheme="majorHAnsi"/>
        </w:rPr>
        <w:t>2010</w:t>
      </w:r>
      <w:r w:rsidR="00F7062F">
        <w:rPr>
          <w:rFonts w:asciiTheme="majorHAnsi" w:hAnsiTheme="majorHAnsi" w:cstheme="majorHAnsi"/>
        </w:rPr>
        <w:t>r.</w:t>
      </w:r>
      <w:r w:rsidRPr="00F25EBD">
        <w:rPr>
          <w:rFonts w:asciiTheme="majorHAnsi" w:hAnsiTheme="majorHAnsi" w:cstheme="majorHAnsi"/>
        </w:rPr>
        <w:t xml:space="preserve"> do 47 szt. w</w:t>
      </w:r>
      <w:r w:rsidR="007B04A7">
        <w:rPr>
          <w:rFonts w:asciiTheme="majorHAnsi" w:hAnsiTheme="majorHAnsi" w:cstheme="majorHAnsi"/>
        </w:rPr>
        <w:t xml:space="preserve"> </w:t>
      </w:r>
      <w:r w:rsidRPr="00F25EBD">
        <w:rPr>
          <w:rFonts w:asciiTheme="majorHAnsi" w:hAnsiTheme="majorHAnsi" w:cstheme="majorHAnsi"/>
        </w:rPr>
        <w:t>2018</w:t>
      </w:r>
      <w:r w:rsidR="00F7062F">
        <w:rPr>
          <w:rFonts w:asciiTheme="majorHAnsi" w:hAnsiTheme="majorHAnsi" w:cstheme="majorHAnsi"/>
        </w:rPr>
        <w:t>r.</w:t>
      </w:r>
      <w:r w:rsidRPr="00F25EBD">
        <w:rPr>
          <w:rFonts w:asciiTheme="majorHAnsi" w:hAnsiTheme="majorHAnsi" w:cstheme="majorHAnsi"/>
        </w:rPr>
        <w:t>, wypełniając tym samym lukę wynikającą z redukcji boisk piłkarskich (-12 obiektów). Infra</w:t>
      </w:r>
      <w:r w:rsidR="002C7D64">
        <w:rPr>
          <w:rFonts w:asciiTheme="majorHAnsi" w:hAnsiTheme="majorHAnsi" w:cstheme="majorHAnsi"/>
        </w:rPr>
        <w:t>strukturę sportową w </w:t>
      </w:r>
      <w:r w:rsidRPr="00F25EBD">
        <w:rPr>
          <w:rFonts w:asciiTheme="majorHAnsi" w:hAnsiTheme="majorHAnsi" w:cstheme="majorHAnsi"/>
        </w:rPr>
        <w:t>poszczególnych powiatach PM (oraz zmiany w tym zakresie) zawiera poniższa tabela.</w:t>
      </w:r>
    </w:p>
    <w:p w14:paraId="7E1304CD" w14:textId="77777777" w:rsidR="00EA2B5F" w:rsidRPr="00F25EBD" w:rsidRDefault="00EA2B5F" w:rsidP="002C7D64">
      <w:pPr>
        <w:pStyle w:val="nad"/>
      </w:pPr>
      <w:bookmarkStart w:id="63" w:name="_Toc81300540"/>
      <w:r w:rsidRPr="00F25EBD">
        <w:t xml:space="preserve">Tabela </w:t>
      </w:r>
      <w:r w:rsidRPr="00F25EBD">
        <w:rPr>
          <w:noProof/>
        </w:rPr>
        <w:fldChar w:fldCharType="begin"/>
      </w:r>
      <w:r w:rsidRPr="00F25EBD">
        <w:rPr>
          <w:noProof/>
        </w:rPr>
        <w:instrText xml:space="preserve"> SEQ Tabela \* ARABIC </w:instrText>
      </w:r>
      <w:r w:rsidRPr="00F25EBD">
        <w:rPr>
          <w:noProof/>
        </w:rPr>
        <w:fldChar w:fldCharType="separate"/>
      </w:r>
      <w:r w:rsidR="006C7815">
        <w:rPr>
          <w:noProof/>
        </w:rPr>
        <w:t>14</w:t>
      </w:r>
      <w:r w:rsidRPr="00F25EBD">
        <w:rPr>
          <w:noProof/>
        </w:rPr>
        <w:fldChar w:fldCharType="end"/>
      </w:r>
      <w:r w:rsidRPr="00F25EBD">
        <w:t>. Infrastruktura sportowa na terenie powiatów Południowych Mazur</w:t>
      </w:r>
      <w:bookmarkEnd w:id="6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039"/>
        <w:gridCol w:w="1843"/>
        <w:gridCol w:w="832"/>
        <w:gridCol w:w="833"/>
        <w:gridCol w:w="832"/>
        <w:gridCol w:w="833"/>
      </w:tblGrid>
      <w:tr w:rsidR="005D522F" w:rsidRPr="005D522F" w14:paraId="18CDB0E9" w14:textId="77777777" w:rsidTr="005D522F">
        <w:trPr>
          <w:trHeight w:val="454"/>
        </w:trPr>
        <w:tc>
          <w:tcPr>
            <w:tcW w:w="4039" w:type="dxa"/>
            <w:tcBorders>
              <w:top w:val="single" w:sz="4" w:space="0" w:color="FFFFFF" w:themeColor="background1"/>
              <w:left w:val="single" w:sz="4" w:space="0" w:color="FFFFFF" w:themeColor="background1"/>
              <w:bottom w:val="nil"/>
              <w:right w:val="single" w:sz="4" w:space="0" w:color="FFFFFF" w:themeColor="background1"/>
            </w:tcBorders>
            <w:shd w:val="clear" w:color="auto" w:fill="92D050"/>
            <w:noWrap/>
            <w:vAlign w:val="center"/>
            <w:hideMark/>
          </w:tcPr>
          <w:p w14:paraId="3AAC38AA" w14:textId="77777777" w:rsidR="00EA2B5F" w:rsidRPr="005D522F" w:rsidRDefault="00EA2B5F" w:rsidP="005D522F">
            <w:pPr>
              <w:spacing w:after="0" w:line="240" w:lineRule="auto"/>
              <w:jc w:val="center"/>
              <w:rPr>
                <w:rFonts w:asciiTheme="majorHAnsi" w:eastAsia="Times New Roman" w:hAnsiTheme="majorHAnsi" w:cstheme="majorHAnsi"/>
                <w:color w:val="FFFFFF" w:themeColor="background1"/>
                <w:sz w:val="20"/>
                <w:szCs w:val="20"/>
                <w:lang w:eastAsia="pl-PL"/>
              </w:rPr>
            </w:pPr>
            <w:r w:rsidRPr="005D522F">
              <w:rPr>
                <w:rFonts w:asciiTheme="majorHAnsi" w:eastAsia="Times New Roman" w:hAnsiTheme="majorHAnsi" w:cstheme="majorHAnsi"/>
                <w:color w:val="FFFFFF" w:themeColor="background1"/>
                <w:sz w:val="20"/>
                <w:szCs w:val="20"/>
                <w:lang w:eastAsia="pl-PL"/>
              </w:rPr>
              <w:t>Wyszczególnienie</w:t>
            </w:r>
          </w:p>
        </w:tc>
        <w:tc>
          <w:tcPr>
            <w:tcW w:w="1843" w:type="dxa"/>
            <w:tcBorders>
              <w:top w:val="single" w:sz="4" w:space="0" w:color="FFFFFF" w:themeColor="background1"/>
              <w:left w:val="single" w:sz="4" w:space="0" w:color="FFFFFF" w:themeColor="background1"/>
              <w:bottom w:val="nil"/>
              <w:right w:val="single" w:sz="4" w:space="0" w:color="FFFFFF" w:themeColor="background1"/>
            </w:tcBorders>
            <w:shd w:val="clear" w:color="auto" w:fill="92D050"/>
            <w:vAlign w:val="center"/>
          </w:tcPr>
          <w:p w14:paraId="7C06A5E6" w14:textId="77777777" w:rsidR="00EA2B5F" w:rsidRPr="005D522F" w:rsidRDefault="00EA2B5F" w:rsidP="005D522F">
            <w:pPr>
              <w:spacing w:after="0" w:line="240" w:lineRule="auto"/>
              <w:jc w:val="center"/>
              <w:rPr>
                <w:rFonts w:asciiTheme="majorHAnsi" w:eastAsia="Times New Roman" w:hAnsiTheme="majorHAnsi" w:cstheme="majorHAnsi"/>
                <w:color w:val="FFFFFF" w:themeColor="background1"/>
                <w:sz w:val="20"/>
                <w:szCs w:val="20"/>
                <w:lang w:eastAsia="pl-PL"/>
              </w:rPr>
            </w:pPr>
            <w:r w:rsidRPr="005D522F">
              <w:rPr>
                <w:rFonts w:asciiTheme="majorHAnsi" w:eastAsia="Times New Roman" w:hAnsiTheme="majorHAnsi" w:cstheme="majorHAnsi"/>
                <w:color w:val="FFFFFF" w:themeColor="background1"/>
                <w:sz w:val="20"/>
                <w:szCs w:val="20"/>
                <w:lang w:eastAsia="pl-PL"/>
              </w:rPr>
              <w:t>Rok</w:t>
            </w:r>
          </w:p>
        </w:tc>
        <w:tc>
          <w:tcPr>
            <w:tcW w:w="832" w:type="dxa"/>
            <w:tcBorders>
              <w:top w:val="single" w:sz="4" w:space="0" w:color="FFFFFF" w:themeColor="background1"/>
              <w:left w:val="single" w:sz="4" w:space="0" w:color="FFFFFF" w:themeColor="background1"/>
              <w:bottom w:val="nil"/>
              <w:right w:val="single" w:sz="4" w:space="0" w:color="FFFFFF" w:themeColor="background1"/>
            </w:tcBorders>
            <w:shd w:val="clear" w:color="auto" w:fill="92D050"/>
            <w:noWrap/>
            <w:vAlign w:val="center"/>
            <w:hideMark/>
          </w:tcPr>
          <w:p w14:paraId="26176816" w14:textId="77777777" w:rsidR="00EA2B5F" w:rsidRPr="005D522F" w:rsidRDefault="00EA2B5F" w:rsidP="005D522F">
            <w:pPr>
              <w:spacing w:after="0" w:line="240" w:lineRule="auto"/>
              <w:jc w:val="center"/>
              <w:rPr>
                <w:rFonts w:asciiTheme="majorHAnsi" w:eastAsia="Times New Roman" w:hAnsiTheme="majorHAnsi" w:cstheme="majorHAnsi"/>
                <w:color w:val="FFFFFF" w:themeColor="background1"/>
                <w:sz w:val="20"/>
                <w:szCs w:val="20"/>
                <w:lang w:eastAsia="pl-PL"/>
              </w:rPr>
            </w:pPr>
            <w:r w:rsidRPr="005D522F">
              <w:rPr>
                <w:rFonts w:asciiTheme="majorHAnsi" w:eastAsia="Times New Roman" w:hAnsiTheme="majorHAnsi" w:cstheme="majorHAnsi"/>
                <w:color w:val="FFFFFF" w:themeColor="background1"/>
                <w:sz w:val="20"/>
                <w:szCs w:val="20"/>
                <w:lang w:eastAsia="pl-PL"/>
              </w:rPr>
              <w:t>D</w:t>
            </w:r>
          </w:p>
        </w:tc>
        <w:tc>
          <w:tcPr>
            <w:tcW w:w="833" w:type="dxa"/>
            <w:tcBorders>
              <w:top w:val="single" w:sz="4" w:space="0" w:color="FFFFFF" w:themeColor="background1"/>
              <w:left w:val="single" w:sz="4" w:space="0" w:color="FFFFFF" w:themeColor="background1"/>
              <w:bottom w:val="nil"/>
              <w:right w:val="single" w:sz="4" w:space="0" w:color="FFFFFF" w:themeColor="background1"/>
            </w:tcBorders>
            <w:shd w:val="clear" w:color="auto" w:fill="92D050"/>
            <w:noWrap/>
            <w:vAlign w:val="center"/>
            <w:hideMark/>
          </w:tcPr>
          <w:p w14:paraId="6B00CD76" w14:textId="77777777" w:rsidR="00EA2B5F" w:rsidRPr="005D522F" w:rsidRDefault="00EA2B5F" w:rsidP="005D522F">
            <w:pPr>
              <w:spacing w:after="0" w:line="240" w:lineRule="auto"/>
              <w:jc w:val="center"/>
              <w:rPr>
                <w:rFonts w:asciiTheme="majorHAnsi" w:eastAsia="Times New Roman" w:hAnsiTheme="majorHAnsi" w:cstheme="majorHAnsi"/>
                <w:color w:val="FFFFFF" w:themeColor="background1"/>
                <w:sz w:val="20"/>
                <w:szCs w:val="20"/>
                <w:lang w:eastAsia="pl-PL"/>
              </w:rPr>
            </w:pPr>
            <w:r w:rsidRPr="005D522F">
              <w:rPr>
                <w:rFonts w:asciiTheme="majorHAnsi" w:eastAsia="Times New Roman" w:hAnsiTheme="majorHAnsi" w:cstheme="majorHAnsi"/>
                <w:color w:val="FFFFFF" w:themeColor="background1"/>
                <w:sz w:val="20"/>
                <w:szCs w:val="20"/>
                <w:lang w:eastAsia="pl-PL"/>
              </w:rPr>
              <w:t>N</w:t>
            </w:r>
          </w:p>
        </w:tc>
        <w:tc>
          <w:tcPr>
            <w:tcW w:w="832" w:type="dxa"/>
            <w:tcBorders>
              <w:top w:val="single" w:sz="4" w:space="0" w:color="FFFFFF" w:themeColor="background1"/>
              <w:left w:val="single" w:sz="4" w:space="0" w:color="FFFFFF" w:themeColor="background1"/>
              <w:bottom w:val="nil"/>
              <w:right w:val="single" w:sz="4" w:space="0" w:color="FFFFFF" w:themeColor="background1"/>
            </w:tcBorders>
            <w:shd w:val="clear" w:color="auto" w:fill="92D050"/>
            <w:noWrap/>
            <w:vAlign w:val="center"/>
            <w:hideMark/>
          </w:tcPr>
          <w:p w14:paraId="18D70DEC" w14:textId="77777777" w:rsidR="00EA2B5F" w:rsidRPr="005D522F" w:rsidRDefault="00EA2B5F" w:rsidP="005D522F">
            <w:pPr>
              <w:spacing w:after="0" w:line="240" w:lineRule="auto"/>
              <w:jc w:val="center"/>
              <w:rPr>
                <w:rFonts w:asciiTheme="majorHAnsi" w:eastAsia="Times New Roman" w:hAnsiTheme="majorHAnsi" w:cstheme="majorHAnsi"/>
                <w:color w:val="FFFFFF" w:themeColor="background1"/>
                <w:sz w:val="20"/>
                <w:szCs w:val="20"/>
                <w:lang w:eastAsia="pl-PL"/>
              </w:rPr>
            </w:pPr>
            <w:r w:rsidRPr="005D522F">
              <w:rPr>
                <w:rFonts w:asciiTheme="majorHAnsi" w:eastAsia="Times New Roman" w:hAnsiTheme="majorHAnsi" w:cstheme="majorHAnsi"/>
                <w:color w:val="FFFFFF" w:themeColor="background1"/>
                <w:sz w:val="20"/>
                <w:szCs w:val="20"/>
                <w:lang w:eastAsia="pl-PL"/>
              </w:rPr>
              <w:t>P</w:t>
            </w:r>
          </w:p>
        </w:tc>
        <w:tc>
          <w:tcPr>
            <w:tcW w:w="833" w:type="dxa"/>
            <w:tcBorders>
              <w:top w:val="single" w:sz="4" w:space="0" w:color="FFFFFF" w:themeColor="background1"/>
              <w:left w:val="single" w:sz="4" w:space="0" w:color="FFFFFF" w:themeColor="background1"/>
              <w:bottom w:val="nil"/>
              <w:right w:val="single" w:sz="4" w:space="0" w:color="FFFFFF" w:themeColor="background1"/>
            </w:tcBorders>
            <w:shd w:val="clear" w:color="auto" w:fill="92D050"/>
            <w:noWrap/>
            <w:vAlign w:val="center"/>
            <w:hideMark/>
          </w:tcPr>
          <w:p w14:paraId="0D3DD980" w14:textId="77777777" w:rsidR="00EA2B5F" w:rsidRPr="005D522F" w:rsidRDefault="00EA2B5F" w:rsidP="005D522F">
            <w:pPr>
              <w:spacing w:after="0" w:line="240" w:lineRule="auto"/>
              <w:jc w:val="center"/>
              <w:rPr>
                <w:rFonts w:asciiTheme="majorHAnsi" w:eastAsia="Times New Roman" w:hAnsiTheme="majorHAnsi" w:cstheme="majorHAnsi"/>
                <w:color w:val="FFFFFF" w:themeColor="background1"/>
                <w:sz w:val="20"/>
                <w:szCs w:val="20"/>
                <w:lang w:eastAsia="pl-PL"/>
              </w:rPr>
            </w:pPr>
            <w:r w:rsidRPr="005D522F">
              <w:rPr>
                <w:rFonts w:asciiTheme="majorHAnsi" w:eastAsia="Times New Roman" w:hAnsiTheme="majorHAnsi" w:cstheme="majorHAnsi"/>
                <w:color w:val="FFFFFF" w:themeColor="background1"/>
                <w:sz w:val="20"/>
                <w:szCs w:val="20"/>
                <w:lang w:eastAsia="pl-PL"/>
              </w:rPr>
              <w:t>SZ</w:t>
            </w:r>
          </w:p>
        </w:tc>
      </w:tr>
      <w:tr w:rsidR="00EA2B5F" w:rsidRPr="00F25EBD" w14:paraId="25519F25" w14:textId="77777777" w:rsidTr="005D522F">
        <w:trPr>
          <w:trHeight w:val="288"/>
        </w:trPr>
        <w:tc>
          <w:tcPr>
            <w:tcW w:w="4039" w:type="dxa"/>
            <w:vMerge w:val="restart"/>
            <w:tcBorders>
              <w:top w:val="nil"/>
              <w:left w:val="nil"/>
              <w:bottom w:val="single" w:sz="4" w:space="0" w:color="808080" w:themeColor="background1" w:themeShade="80"/>
              <w:right w:val="nil"/>
            </w:tcBorders>
            <w:shd w:val="clear" w:color="auto" w:fill="auto"/>
            <w:noWrap/>
            <w:vAlign w:val="center"/>
            <w:hideMark/>
          </w:tcPr>
          <w:p w14:paraId="260890F8" w14:textId="77777777" w:rsidR="00EA2B5F" w:rsidRPr="00F25EBD" w:rsidRDefault="00EA2B5F" w:rsidP="005D522F">
            <w:pPr>
              <w:spacing w:after="0" w:line="240" w:lineRule="auto"/>
              <w:rPr>
                <w:rFonts w:asciiTheme="majorHAnsi" w:eastAsia="Times New Roman" w:hAnsiTheme="majorHAnsi" w:cstheme="majorHAnsi"/>
                <w:sz w:val="20"/>
                <w:szCs w:val="20"/>
                <w:lang w:eastAsia="pl-PL"/>
              </w:rPr>
            </w:pPr>
            <w:r w:rsidRPr="00F25EBD">
              <w:rPr>
                <w:rFonts w:asciiTheme="majorHAnsi" w:eastAsia="Times New Roman" w:hAnsiTheme="majorHAnsi" w:cstheme="majorHAnsi"/>
                <w:sz w:val="20"/>
                <w:szCs w:val="20"/>
                <w:lang w:eastAsia="pl-PL"/>
              </w:rPr>
              <w:t>Stadiony</w:t>
            </w:r>
          </w:p>
        </w:tc>
        <w:tc>
          <w:tcPr>
            <w:tcW w:w="1843" w:type="dxa"/>
            <w:tcBorders>
              <w:top w:val="nil"/>
              <w:left w:val="nil"/>
              <w:bottom w:val="single" w:sz="4" w:space="0" w:color="808080" w:themeColor="background1" w:themeShade="80"/>
              <w:right w:val="nil"/>
            </w:tcBorders>
            <w:shd w:val="clear" w:color="auto" w:fill="auto"/>
            <w:vAlign w:val="bottom"/>
          </w:tcPr>
          <w:p w14:paraId="31AE4805" w14:textId="77777777" w:rsidR="00EA2B5F" w:rsidRPr="00F25EBD" w:rsidRDefault="00EA2B5F" w:rsidP="005D522F">
            <w:pPr>
              <w:spacing w:after="0" w:line="240" w:lineRule="auto"/>
              <w:jc w:val="center"/>
              <w:rPr>
                <w:rFonts w:asciiTheme="majorHAnsi" w:eastAsia="Times New Roman" w:hAnsiTheme="majorHAnsi" w:cstheme="majorHAnsi"/>
                <w:sz w:val="20"/>
                <w:szCs w:val="20"/>
                <w:lang w:eastAsia="pl-PL"/>
              </w:rPr>
            </w:pPr>
            <w:r w:rsidRPr="00F25EBD">
              <w:rPr>
                <w:rFonts w:asciiTheme="majorHAnsi" w:eastAsia="Times New Roman" w:hAnsiTheme="majorHAnsi" w:cstheme="majorHAnsi"/>
                <w:sz w:val="18"/>
                <w:szCs w:val="18"/>
                <w:lang w:eastAsia="pl-PL"/>
              </w:rPr>
              <w:t>2018</w:t>
            </w:r>
          </w:p>
        </w:tc>
        <w:tc>
          <w:tcPr>
            <w:tcW w:w="832" w:type="dxa"/>
            <w:tcBorders>
              <w:top w:val="nil"/>
              <w:left w:val="nil"/>
              <w:bottom w:val="single" w:sz="4" w:space="0" w:color="808080" w:themeColor="background1" w:themeShade="80"/>
              <w:right w:val="nil"/>
            </w:tcBorders>
            <w:shd w:val="clear" w:color="auto" w:fill="auto"/>
            <w:noWrap/>
            <w:vAlign w:val="center"/>
            <w:hideMark/>
          </w:tcPr>
          <w:p w14:paraId="060DBE10" w14:textId="77777777" w:rsidR="00EA2B5F" w:rsidRPr="00F25EBD" w:rsidRDefault="00EA2B5F" w:rsidP="005D522F">
            <w:pPr>
              <w:spacing w:after="0" w:line="240" w:lineRule="auto"/>
              <w:jc w:val="center"/>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4</w:t>
            </w:r>
          </w:p>
        </w:tc>
        <w:tc>
          <w:tcPr>
            <w:tcW w:w="833" w:type="dxa"/>
            <w:tcBorders>
              <w:top w:val="nil"/>
              <w:left w:val="nil"/>
              <w:bottom w:val="single" w:sz="4" w:space="0" w:color="808080" w:themeColor="background1" w:themeShade="80"/>
              <w:right w:val="nil"/>
            </w:tcBorders>
            <w:shd w:val="clear" w:color="auto" w:fill="auto"/>
            <w:noWrap/>
            <w:vAlign w:val="center"/>
            <w:hideMark/>
          </w:tcPr>
          <w:p w14:paraId="584121E9" w14:textId="77777777" w:rsidR="00EA2B5F" w:rsidRPr="00F25EBD" w:rsidRDefault="00EA2B5F" w:rsidP="005D522F">
            <w:pPr>
              <w:spacing w:after="0" w:line="240" w:lineRule="auto"/>
              <w:jc w:val="center"/>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3</w:t>
            </w:r>
          </w:p>
        </w:tc>
        <w:tc>
          <w:tcPr>
            <w:tcW w:w="832" w:type="dxa"/>
            <w:tcBorders>
              <w:top w:val="nil"/>
              <w:left w:val="nil"/>
              <w:bottom w:val="single" w:sz="4" w:space="0" w:color="808080" w:themeColor="background1" w:themeShade="80"/>
              <w:right w:val="nil"/>
            </w:tcBorders>
            <w:shd w:val="clear" w:color="auto" w:fill="auto"/>
            <w:noWrap/>
            <w:vAlign w:val="center"/>
            <w:hideMark/>
          </w:tcPr>
          <w:p w14:paraId="55BEC707" w14:textId="77777777" w:rsidR="00EA2B5F" w:rsidRPr="00F25EBD" w:rsidRDefault="00EA2B5F" w:rsidP="005D522F">
            <w:pPr>
              <w:spacing w:after="0" w:line="240" w:lineRule="auto"/>
              <w:jc w:val="center"/>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4</w:t>
            </w:r>
          </w:p>
        </w:tc>
        <w:tc>
          <w:tcPr>
            <w:tcW w:w="833" w:type="dxa"/>
            <w:tcBorders>
              <w:top w:val="nil"/>
              <w:left w:val="nil"/>
              <w:bottom w:val="single" w:sz="4" w:space="0" w:color="808080" w:themeColor="background1" w:themeShade="80"/>
              <w:right w:val="nil"/>
            </w:tcBorders>
            <w:shd w:val="clear" w:color="auto" w:fill="auto"/>
            <w:noWrap/>
            <w:vAlign w:val="center"/>
            <w:hideMark/>
          </w:tcPr>
          <w:p w14:paraId="12E63A27" w14:textId="77777777" w:rsidR="00EA2B5F" w:rsidRPr="00F25EBD" w:rsidRDefault="00EA2B5F" w:rsidP="005D522F">
            <w:pPr>
              <w:spacing w:after="0" w:line="240" w:lineRule="auto"/>
              <w:jc w:val="center"/>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4</w:t>
            </w:r>
          </w:p>
        </w:tc>
      </w:tr>
      <w:tr w:rsidR="00EA2B5F" w:rsidRPr="00F25EBD" w14:paraId="36074925" w14:textId="77777777" w:rsidTr="005D522F">
        <w:trPr>
          <w:trHeight w:val="288"/>
        </w:trPr>
        <w:tc>
          <w:tcPr>
            <w:tcW w:w="4039" w:type="dxa"/>
            <w:vMerge/>
            <w:tcBorders>
              <w:top w:val="single" w:sz="4" w:space="0" w:color="808080" w:themeColor="background1" w:themeShade="80"/>
              <w:left w:val="nil"/>
              <w:bottom w:val="single" w:sz="4" w:space="0" w:color="808080" w:themeColor="background1" w:themeShade="80"/>
              <w:right w:val="nil"/>
            </w:tcBorders>
            <w:shd w:val="clear" w:color="auto" w:fill="auto"/>
            <w:noWrap/>
            <w:vAlign w:val="center"/>
            <w:hideMark/>
          </w:tcPr>
          <w:p w14:paraId="47531207" w14:textId="77777777" w:rsidR="00EA2B5F" w:rsidRPr="00F25EBD" w:rsidRDefault="00EA2B5F" w:rsidP="005D522F">
            <w:pPr>
              <w:spacing w:after="0" w:line="240" w:lineRule="auto"/>
              <w:rPr>
                <w:rFonts w:asciiTheme="majorHAnsi" w:eastAsia="Times New Roman" w:hAnsiTheme="majorHAnsi" w:cstheme="majorHAnsi"/>
                <w:color w:val="000000"/>
                <w:sz w:val="20"/>
                <w:szCs w:val="20"/>
                <w:lang w:eastAsia="pl-PL"/>
              </w:rPr>
            </w:pPr>
          </w:p>
        </w:tc>
        <w:tc>
          <w:tcPr>
            <w:tcW w:w="1843" w:type="dxa"/>
            <w:tcBorders>
              <w:top w:val="single" w:sz="4" w:space="0" w:color="808080" w:themeColor="background1" w:themeShade="80"/>
              <w:left w:val="nil"/>
              <w:bottom w:val="single" w:sz="4" w:space="0" w:color="808080" w:themeColor="background1" w:themeShade="80"/>
              <w:right w:val="nil"/>
            </w:tcBorders>
            <w:shd w:val="clear" w:color="auto" w:fill="auto"/>
            <w:vAlign w:val="center"/>
          </w:tcPr>
          <w:p w14:paraId="58E76A3D" w14:textId="77777777" w:rsidR="00EA2B5F" w:rsidRPr="00F25EBD" w:rsidRDefault="00EA2B5F" w:rsidP="005D522F">
            <w:pPr>
              <w:spacing w:after="0" w:line="240" w:lineRule="auto"/>
              <w:jc w:val="center"/>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sz w:val="18"/>
                <w:szCs w:val="18"/>
                <w:lang w:eastAsia="pl-PL"/>
              </w:rPr>
              <w:t>zmiana 2010=100%</w:t>
            </w:r>
          </w:p>
        </w:tc>
        <w:tc>
          <w:tcPr>
            <w:tcW w:w="832" w:type="dxa"/>
            <w:tcBorders>
              <w:top w:val="single" w:sz="4" w:space="0" w:color="808080" w:themeColor="background1" w:themeShade="80"/>
              <w:left w:val="nil"/>
              <w:bottom w:val="single" w:sz="4" w:space="0" w:color="808080" w:themeColor="background1" w:themeShade="80"/>
              <w:right w:val="nil"/>
            </w:tcBorders>
            <w:shd w:val="clear" w:color="auto" w:fill="auto"/>
            <w:noWrap/>
            <w:vAlign w:val="center"/>
            <w:hideMark/>
          </w:tcPr>
          <w:p w14:paraId="40E37BE1" w14:textId="77777777" w:rsidR="00EA2B5F" w:rsidRPr="00F25EBD" w:rsidRDefault="00EA2B5F" w:rsidP="005D522F">
            <w:pPr>
              <w:spacing w:after="0" w:line="240" w:lineRule="auto"/>
              <w:jc w:val="center"/>
              <w:rPr>
                <w:rFonts w:asciiTheme="majorHAnsi" w:eastAsia="Times New Roman" w:hAnsiTheme="majorHAnsi" w:cstheme="majorHAnsi"/>
                <w:sz w:val="20"/>
                <w:szCs w:val="20"/>
                <w:lang w:eastAsia="pl-PL"/>
              </w:rPr>
            </w:pPr>
            <w:r w:rsidRPr="00F25EBD">
              <w:rPr>
                <w:rFonts w:asciiTheme="majorHAnsi" w:eastAsia="Times New Roman" w:hAnsiTheme="majorHAnsi" w:cstheme="majorHAnsi"/>
                <w:sz w:val="20"/>
                <w:szCs w:val="20"/>
                <w:lang w:eastAsia="pl-PL"/>
              </w:rPr>
              <w:t>-20,0</w:t>
            </w:r>
          </w:p>
        </w:tc>
        <w:tc>
          <w:tcPr>
            <w:tcW w:w="833" w:type="dxa"/>
            <w:tcBorders>
              <w:top w:val="single" w:sz="4" w:space="0" w:color="808080" w:themeColor="background1" w:themeShade="80"/>
              <w:left w:val="nil"/>
              <w:bottom w:val="single" w:sz="4" w:space="0" w:color="808080" w:themeColor="background1" w:themeShade="80"/>
              <w:right w:val="nil"/>
            </w:tcBorders>
            <w:shd w:val="clear" w:color="auto" w:fill="auto"/>
            <w:noWrap/>
            <w:vAlign w:val="center"/>
            <w:hideMark/>
          </w:tcPr>
          <w:p w14:paraId="721438C8" w14:textId="77777777" w:rsidR="00EA2B5F" w:rsidRPr="00F25EBD" w:rsidRDefault="00EA2B5F" w:rsidP="005D522F">
            <w:pPr>
              <w:spacing w:after="0" w:line="240" w:lineRule="auto"/>
              <w:jc w:val="center"/>
              <w:rPr>
                <w:rFonts w:asciiTheme="majorHAnsi" w:eastAsia="Times New Roman" w:hAnsiTheme="majorHAnsi" w:cstheme="majorHAnsi"/>
                <w:sz w:val="20"/>
                <w:szCs w:val="20"/>
                <w:lang w:eastAsia="pl-PL"/>
              </w:rPr>
            </w:pPr>
            <w:r w:rsidRPr="00F25EBD">
              <w:rPr>
                <w:rFonts w:asciiTheme="majorHAnsi" w:eastAsia="Times New Roman" w:hAnsiTheme="majorHAnsi" w:cstheme="majorHAnsi"/>
                <w:sz w:val="20"/>
                <w:szCs w:val="20"/>
                <w:lang w:eastAsia="pl-PL"/>
              </w:rPr>
              <w:t>50,0</w:t>
            </w:r>
          </w:p>
        </w:tc>
        <w:tc>
          <w:tcPr>
            <w:tcW w:w="832" w:type="dxa"/>
            <w:tcBorders>
              <w:top w:val="single" w:sz="4" w:space="0" w:color="808080" w:themeColor="background1" w:themeShade="80"/>
              <w:left w:val="nil"/>
              <w:bottom w:val="single" w:sz="4" w:space="0" w:color="808080" w:themeColor="background1" w:themeShade="80"/>
              <w:right w:val="nil"/>
            </w:tcBorders>
            <w:shd w:val="clear" w:color="auto" w:fill="auto"/>
            <w:noWrap/>
            <w:vAlign w:val="center"/>
            <w:hideMark/>
          </w:tcPr>
          <w:p w14:paraId="0CD34CE4" w14:textId="77777777" w:rsidR="00EA2B5F" w:rsidRPr="00F25EBD" w:rsidRDefault="00EA2B5F" w:rsidP="005D522F">
            <w:pPr>
              <w:spacing w:after="0" w:line="240" w:lineRule="auto"/>
              <w:jc w:val="center"/>
              <w:rPr>
                <w:rFonts w:asciiTheme="majorHAnsi" w:eastAsia="Times New Roman" w:hAnsiTheme="majorHAnsi" w:cstheme="majorHAnsi"/>
                <w:sz w:val="20"/>
                <w:szCs w:val="20"/>
                <w:lang w:eastAsia="pl-PL"/>
              </w:rPr>
            </w:pPr>
            <w:r w:rsidRPr="00F25EBD">
              <w:rPr>
                <w:rFonts w:asciiTheme="majorHAnsi" w:eastAsia="Times New Roman" w:hAnsiTheme="majorHAnsi" w:cstheme="majorHAnsi"/>
                <w:sz w:val="20"/>
                <w:szCs w:val="20"/>
                <w:lang w:eastAsia="pl-PL"/>
              </w:rPr>
              <w:t>-20,0</w:t>
            </w:r>
          </w:p>
        </w:tc>
        <w:tc>
          <w:tcPr>
            <w:tcW w:w="833" w:type="dxa"/>
            <w:tcBorders>
              <w:top w:val="single" w:sz="4" w:space="0" w:color="808080" w:themeColor="background1" w:themeShade="80"/>
              <w:left w:val="nil"/>
              <w:bottom w:val="single" w:sz="4" w:space="0" w:color="808080" w:themeColor="background1" w:themeShade="80"/>
              <w:right w:val="nil"/>
            </w:tcBorders>
            <w:shd w:val="clear" w:color="auto" w:fill="auto"/>
            <w:noWrap/>
            <w:vAlign w:val="center"/>
            <w:hideMark/>
          </w:tcPr>
          <w:p w14:paraId="2139809A" w14:textId="77777777" w:rsidR="00EA2B5F" w:rsidRPr="00F25EBD" w:rsidRDefault="00EA2B5F" w:rsidP="005D522F">
            <w:pPr>
              <w:spacing w:after="0" w:line="240" w:lineRule="auto"/>
              <w:jc w:val="center"/>
              <w:rPr>
                <w:rFonts w:asciiTheme="majorHAnsi" w:eastAsia="Times New Roman" w:hAnsiTheme="majorHAnsi" w:cstheme="majorHAnsi"/>
                <w:sz w:val="20"/>
                <w:szCs w:val="20"/>
                <w:lang w:eastAsia="pl-PL"/>
              </w:rPr>
            </w:pPr>
            <w:r w:rsidRPr="00F25EBD">
              <w:rPr>
                <w:rFonts w:asciiTheme="majorHAnsi" w:eastAsia="Times New Roman" w:hAnsiTheme="majorHAnsi" w:cstheme="majorHAnsi"/>
                <w:sz w:val="20"/>
                <w:szCs w:val="20"/>
                <w:lang w:eastAsia="pl-PL"/>
              </w:rPr>
              <w:t>-33,3</w:t>
            </w:r>
          </w:p>
        </w:tc>
      </w:tr>
      <w:tr w:rsidR="00EA2B5F" w:rsidRPr="00F25EBD" w14:paraId="4B4836B3" w14:textId="77777777" w:rsidTr="005D522F">
        <w:trPr>
          <w:trHeight w:val="288"/>
        </w:trPr>
        <w:tc>
          <w:tcPr>
            <w:tcW w:w="4039" w:type="dxa"/>
            <w:vMerge w:val="restart"/>
            <w:tcBorders>
              <w:top w:val="single" w:sz="4" w:space="0" w:color="808080" w:themeColor="background1" w:themeShade="80"/>
              <w:left w:val="nil"/>
              <w:bottom w:val="single" w:sz="4" w:space="0" w:color="808080" w:themeColor="background1" w:themeShade="80"/>
              <w:right w:val="nil"/>
            </w:tcBorders>
            <w:shd w:val="clear" w:color="auto" w:fill="auto"/>
            <w:noWrap/>
            <w:vAlign w:val="center"/>
            <w:hideMark/>
          </w:tcPr>
          <w:p w14:paraId="508DE8EE" w14:textId="77777777" w:rsidR="00EA2B5F" w:rsidRPr="00F25EBD" w:rsidRDefault="00EA2B5F" w:rsidP="005D522F">
            <w:pPr>
              <w:spacing w:after="0" w:line="240" w:lineRule="auto"/>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Boiska</w:t>
            </w:r>
          </w:p>
        </w:tc>
        <w:tc>
          <w:tcPr>
            <w:tcW w:w="1843" w:type="dxa"/>
            <w:tcBorders>
              <w:top w:val="single" w:sz="4" w:space="0" w:color="808080" w:themeColor="background1" w:themeShade="80"/>
              <w:left w:val="nil"/>
              <w:bottom w:val="single" w:sz="4" w:space="0" w:color="808080" w:themeColor="background1" w:themeShade="80"/>
              <w:right w:val="nil"/>
            </w:tcBorders>
            <w:shd w:val="clear" w:color="auto" w:fill="auto"/>
            <w:vAlign w:val="center"/>
          </w:tcPr>
          <w:p w14:paraId="6F2DE027" w14:textId="77777777" w:rsidR="00EA2B5F" w:rsidRPr="00F25EBD" w:rsidRDefault="00EA2B5F" w:rsidP="005D522F">
            <w:pPr>
              <w:spacing w:after="0" w:line="240" w:lineRule="auto"/>
              <w:jc w:val="center"/>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sz w:val="18"/>
                <w:szCs w:val="18"/>
                <w:lang w:eastAsia="pl-PL"/>
              </w:rPr>
              <w:t>2018</w:t>
            </w:r>
          </w:p>
        </w:tc>
        <w:tc>
          <w:tcPr>
            <w:tcW w:w="832" w:type="dxa"/>
            <w:tcBorders>
              <w:top w:val="single" w:sz="4" w:space="0" w:color="808080" w:themeColor="background1" w:themeShade="80"/>
              <w:left w:val="nil"/>
              <w:bottom w:val="single" w:sz="4" w:space="0" w:color="808080" w:themeColor="background1" w:themeShade="80"/>
              <w:right w:val="nil"/>
            </w:tcBorders>
            <w:shd w:val="clear" w:color="auto" w:fill="auto"/>
            <w:noWrap/>
            <w:vAlign w:val="center"/>
            <w:hideMark/>
          </w:tcPr>
          <w:p w14:paraId="4DFD355F" w14:textId="77777777" w:rsidR="00EA2B5F" w:rsidRPr="00F25EBD" w:rsidRDefault="00EA2B5F" w:rsidP="005D522F">
            <w:pPr>
              <w:spacing w:after="0" w:line="240" w:lineRule="auto"/>
              <w:jc w:val="center"/>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12</w:t>
            </w:r>
          </w:p>
        </w:tc>
        <w:tc>
          <w:tcPr>
            <w:tcW w:w="833" w:type="dxa"/>
            <w:tcBorders>
              <w:top w:val="single" w:sz="4" w:space="0" w:color="808080" w:themeColor="background1" w:themeShade="80"/>
              <w:left w:val="nil"/>
              <w:bottom w:val="single" w:sz="4" w:space="0" w:color="808080" w:themeColor="background1" w:themeShade="80"/>
              <w:right w:val="nil"/>
            </w:tcBorders>
            <w:shd w:val="clear" w:color="auto" w:fill="auto"/>
            <w:noWrap/>
            <w:vAlign w:val="center"/>
            <w:hideMark/>
          </w:tcPr>
          <w:p w14:paraId="05F56B6F" w14:textId="77777777" w:rsidR="00EA2B5F" w:rsidRPr="00F25EBD" w:rsidRDefault="00EA2B5F" w:rsidP="005D522F">
            <w:pPr>
              <w:spacing w:after="0" w:line="240" w:lineRule="auto"/>
              <w:jc w:val="center"/>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0</w:t>
            </w:r>
          </w:p>
        </w:tc>
        <w:tc>
          <w:tcPr>
            <w:tcW w:w="832" w:type="dxa"/>
            <w:tcBorders>
              <w:top w:val="single" w:sz="4" w:space="0" w:color="808080" w:themeColor="background1" w:themeShade="80"/>
              <w:left w:val="nil"/>
              <w:bottom w:val="single" w:sz="4" w:space="0" w:color="808080" w:themeColor="background1" w:themeShade="80"/>
              <w:right w:val="nil"/>
            </w:tcBorders>
            <w:shd w:val="clear" w:color="auto" w:fill="auto"/>
            <w:noWrap/>
            <w:vAlign w:val="center"/>
            <w:hideMark/>
          </w:tcPr>
          <w:p w14:paraId="332746B5" w14:textId="77777777" w:rsidR="00EA2B5F" w:rsidRPr="00F25EBD" w:rsidRDefault="00EA2B5F" w:rsidP="005D522F">
            <w:pPr>
              <w:spacing w:after="0" w:line="240" w:lineRule="auto"/>
              <w:jc w:val="center"/>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1</w:t>
            </w:r>
          </w:p>
        </w:tc>
        <w:tc>
          <w:tcPr>
            <w:tcW w:w="833" w:type="dxa"/>
            <w:tcBorders>
              <w:top w:val="single" w:sz="4" w:space="0" w:color="808080" w:themeColor="background1" w:themeShade="80"/>
              <w:left w:val="nil"/>
              <w:bottom w:val="single" w:sz="4" w:space="0" w:color="808080" w:themeColor="background1" w:themeShade="80"/>
              <w:right w:val="nil"/>
            </w:tcBorders>
            <w:shd w:val="clear" w:color="auto" w:fill="auto"/>
            <w:noWrap/>
            <w:vAlign w:val="center"/>
            <w:hideMark/>
          </w:tcPr>
          <w:p w14:paraId="04D06F3D" w14:textId="77777777" w:rsidR="00EA2B5F" w:rsidRPr="00F25EBD" w:rsidRDefault="00EA2B5F" w:rsidP="005D522F">
            <w:pPr>
              <w:spacing w:after="0" w:line="240" w:lineRule="auto"/>
              <w:jc w:val="center"/>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14</w:t>
            </w:r>
          </w:p>
        </w:tc>
      </w:tr>
      <w:tr w:rsidR="00EA2B5F" w:rsidRPr="00F25EBD" w14:paraId="6D5FBA8B" w14:textId="77777777" w:rsidTr="005D522F">
        <w:trPr>
          <w:trHeight w:val="288"/>
        </w:trPr>
        <w:tc>
          <w:tcPr>
            <w:tcW w:w="4039" w:type="dxa"/>
            <w:vMerge/>
            <w:tcBorders>
              <w:top w:val="single" w:sz="4" w:space="0" w:color="808080" w:themeColor="background1" w:themeShade="80"/>
              <w:left w:val="nil"/>
              <w:bottom w:val="single" w:sz="4" w:space="0" w:color="808080" w:themeColor="background1" w:themeShade="80"/>
              <w:right w:val="nil"/>
            </w:tcBorders>
            <w:shd w:val="clear" w:color="auto" w:fill="auto"/>
            <w:noWrap/>
            <w:vAlign w:val="center"/>
            <w:hideMark/>
          </w:tcPr>
          <w:p w14:paraId="2C674C11" w14:textId="77777777" w:rsidR="00EA2B5F" w:rsidRPr="00F25EBD" w:rsidRDefault="00EA2B5F" w:rsidP="005D522F">
            <w:pPr>
              <w:spacing w:after="0" w:line="240" w:lineRule="auto"/>
              <w:rPr>
                <w:rFonts w:asciiTheme="majorHAnsi" w:eastAsia="Times New Roman" w:hAnsiTheme="majorHAnsi" w:cstheme="majorHAnsi"/>
                <w:color w:val="000000"/>
                <w:sz w:val="20"/>
                <w:szCs w:val="20"/>
                <w:lang w:eastAsia="pl-PL"/>
              </w:rPr>
            </w:pPr>
          </w:p>
        </w:tc>
        <w:tc>
          <w:tcPr>
            <w:tcW w:w="1843" w:type="dxa"/>
            <w:tcBorders>
              <w:top w:val="single" w:sz="4" w:space="0" w:color="808080" w:themeColor="background1" w:themeShade="80"/>
              <w:left w:val="nil"/>
              <w:bottom w:val="single" w:sz="4" w:space="0" w:color="808080" w:themeColor="background1" w:themeShade="80"/>
              <w:right w:val="nil"/>
            </w:tcBorders>
            <w:shd w:val="clear" w:color="auto" w:fill="auto"/>
            <w:vAlign w:val="center"/>
          </w:tcPr>
          <w:p w14:paraId="11DDF641" w14:textId="77777777" w:rsidR="00EA2B5F" w:rsidRPr="00F25EBD" w:rsidRDefault="00EA2B5F" w:rsidP="005D522F">
            <w:pPr>
              <w:spacing w:after="0" w:line="240" w:lineRule="auto"/>
              <w:jc w:val="center"/>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sz w:val="18"/>
                <w:szCs w:val="18"/>
                <w:lang w:eastAsia="pl-PL"/>
              </w:rPr>
              <w:t>zmiana 2010=100%</w:t>
            </w:r>
          </w:p>
        </w:tc>
        <w:tc>
          <w:tcPr>
            <w:tcW w:w="832" w:type="dxa"/>
            <w:tcBorders>
              <w:top w:val="single" w:sz="4" w:space="0" w:color="808080" w:themeColor="background1" w:themeShade="80"/>
              <w:left w:val="nil"/>
              <w:bottom w:val="single" w:sz="4" w:space="0" w:color="808080" w:themeColor="background1" w:themeShade="80"/>
              <w:right w:val="nil"/>
            </w:tcBorders>
            <w:shd w:val="clear" w:color="auto" w:fill="auto"/>
            <w:noWrap/>
            <w:vAlign w:val="center"/>
            <w:hideMark/>
          </w:tcPr>
          <w:p w14:paraId="0B3CD96F" w14:textId="77777777" w:rsidR="00EA2B5F" w:rsidRPr="00F25EBD" w:rsidRDefault="00EA2B5F" w:rsidP="005D522F">
            <w:pPr>
              <w:spacing w:after="0" w:line="240" w:lineRule="auto"/>
              <w:jc w:val="center"/>
              <w:rPr>
                <w:rFonts w:asciiTheme="majorHAnsi" w:eastAsia="Times New Roman" w:hAnsiTheme="majorHAnsi" w:cstheme="majorHAnsi"/>
                <w:sz w:val="20"/>
                <w:szCs w:val="20"/>
                <w:lang w:eastAsia="pl-PL"/>
              </w:rPr>
            </w:pPr>
            <w:r w:rsidRPr="00F25EBD">
              <w:rPr>
                <w:rFonts w:asciiTheme="majorHAnsi" w:eastAsia="Times New Roman" w:hAnsiTheme="majorHAnsi" w:cstheme="majorHAnsi"/>
                <w:sz w:val="20"/>
                <w:szCs w:val="20"/>
                <w:lang w:eastAsia="pl-PL"/>
              </w:rPr>
              <w:t>71,4</w:t>
            </w:r>
          </w:p>
        </w:tc>
        <w:tc>
          <w:tcPr>
            <w:tcW w:w="833" w:type="dxa"/>
            <w:tcBorders>
              <w:top w:val="single" w:sz="4" w:space="0" w:color="808080" w:themeColor="background1" w:themeShade="80"/>
              <w:left w:val="nil"/>
              <w:bottom w:val="single" w:sz="4" w:space="0" w:color="808080" w:themeColor="background1" w:themeShade="80"/>
              <w:right w:val="nil"/>
            </w:tcBorders>
            <w:shd w:val="clear" w:color="auto" w:fill="auto"/>
            <w:noWrap/>
            <w:vAlign w:val="center"/>
            <w:hideMark/>
          </w:tcPr>
          <w:p w14:paraId="386E252E" w14:textId="77777777" w:rsidR="00EA2B5F" w:rsidRPr="00F25EBD" w:rsidRDefault="00EA2B5F" w:rsidP="005D522F">
            <w:pPr>
              <w:spacing w:after="0" w:line="240" w:lineRule="auto"/>
              <w:jc w:val="center"/>
              <w:rPr>
                <w:rFonts w:asciiTheme="majorHAnsi" w:eastAsia="Times New Roman" w:hAnsiTheme="majorHAnsi" w:cstheme="majorHAnsi"/>
                <w:sz w:val="20"/>
                <w:szCs w:val="20"/>
                <w:lang w:eastAsia="pl-PL"/>
              </w:rPr>
            </w:pPr>
            <w:r w:rsidRPr="00F25EBD">
              <w:rPr>
                <w:rFonts w:asciiTheme="majorHAnsi" w:eastAsia="Times New Roman" w:hAnsiTheme="majorHAnsi" w:cstheme="majorHAnsi"/>
                <w:sz w:val="20"/>
                <w:szCs w:val="20"/>
                <w:lang w:eastAsia="pl-PL"/>
              </w:rPr>
              <w:t>-100,0</w:t>
            </w:r>
          </w:p>
        </w:tc>
        <w:tc>
          <w:tcPr>
            <w:tcW w:w="832" w:type="dxa"/>
            <w:tcBorders>
              <w:top w:val="single" w:sz="4" w:space="0" w:color="808080" w:themeColor="background1" w:themeShade="80"/>
              <w:left w:val="nil"/>
              <w:bottom w:val="single" w:sz="4" w:space="0" w:color="808080" w:themeColor="background1" w:themeShade="80"/>
              <w:right w:val="nil"/>
            </w:tcBorders>
            <w:shd w:val="clear" w:color="auto" w:fill="auto"/>
            <w:noWrap/>
            <w:vAlign w:val="center"/>
            <w:hideMark/>
          </w:tcPr>
          <w:p w14:paraId="749535D7" w14:textId="77777777" w:rsidR="00EA2B5F" w:rsidRPr="00F25EBD" w:rsidRDefault="00EA2B5F" w:rsidP="005D522F">
            <w:pPr>
              <w:spacing w:after="0" w:line="240" w:lineRule="auto"/>
              <w:jc w:val="center"/>
              <w:rPr>
                <w:rFonts w:asciiTheme="majorHAnsi" w:eastAsia="Times New Roman" w:hAnsiTheme="majorHAnsi" w:cstheme="majorHAnsi"/>
                <w:sz w:val="20"/>
                <w:szCs w:val="20"/>
                <w:lang w:eastAsia="pl-PL"/>
              </w:rPr>
            </w:pPr>
            <w:r w:rsidRPr="00F25EBD">
              <w:rPr>
                <w:rFonts w:asciiTheme="majorHAnsi" w:eastAsia="Times New Roman" w:hAnsiTheme="majorHAnsi" w:cstheme="majorHAnsi"/>
                <w:sz w:val="20"/>
                <w:szCs w:val="20"/>
                <w:lang w:eastAsia="pl-PL"/>
              </w:rPr>
              <w:t>-96,2</w:t>
            </w:r>
          </w:p>
        </w:tc>
        <w:tc>
          <w:tcPr>
            <w:tcW w:w="833" w:type="dxa"/>
            <w:tcBorders>
              <w:top w:val="single" w:sz="4" w:space="0" w:color="808080" w:themeColor="background1" w:themeShade="80"/>
              <w:left w:val="nil"/>
              <w:bottom w:val="single" w:sz="4" w:space="0" w:color="808080" w:themeColor="background1" w:themeShade="80"/>
              <w:right w:val="nil"/>
            </w:tcBorders>
            <w:shd w:val="clear" w:color="auto" w:fill="auto"/>
            <w:noWrap/>
            <w:vAlign w:val="center"/>
            <w:hideMark/>
          </w:tcPr>
          <w:p w14:paraId="1B3F7B09" w14:textId="77777777" w:rsidR="00EA2B5F" w:rsidRPr="00F25EBD" w:rsidRDefault="00EA2B5F" w:rsidP="005D522F">
            <w:pPr>
              <w:spacing w:after="0" w:line="240" w:lineRule="auto"/>
              <w:jc w:val="center"/>
              <w:rPr>
                <w:rFonts w:asciiTheme="majorHAnsi" w:eastAsia="Times New Roman" w:hAnsiTheme="majorHAnsi" w:cstheme="majorHAnsi"/>
                <w:sz w:val="20"/>
                <w:szCs w:val="20"/>
                <w:lang w:eastAsia="pl-PL"/>
              </w:rPr>
            </w:pPr>
            <w:r w:rsidRPr="00F25EBD">
              <w:rPr>
                <w:rFonts w:asciiTheme="majorHAnsi" w:eastAsia="Times New Roman" w:hAnsiTheme="majorHAnsi" w:cstheme="majorHAnsi"/>
                <w:sz w:val="20"/>
                <w:szCs w:val="20"/>
                <w:lang w:eastAsia="pl-PL"/>
              </w:rPr>
              <w:t>250,0</w:t>
            </w:r>
          </w:p>
        </w:tc>
      </w:tr>
      <w:tr w:rsidR="00EA2B5F" w:rsidRPr="00F25EBD" w14:paraId="340C3C1E" w14:textId="77777777" w:rsidTr="005D522F">
        <w:trPr>
          <w:trHeight w:val="288"/>
        </w:trPr>
        <w:tc>
          <w:tcPr>
            <w:tcW w:w="4039" w:type="dxa"/>
            <w:vMerge w:val="restart"/>
            <w:tcBorders>
              <w:top w:val="single" w:sz="4" w:space="0" w:color="808080" w:themeColor="background1" w:themeShade="80"/>
              <w:left w:val="nil"/>
              <w:bottom w:val="single" w:sz="4" w:space="0" w:color="808080" w:themeColor="background1" w:themeShade="80"/>
              <w:right w:val="nil"/>
            </w:tcBorders>
            <w:shd w:val="clear" w:color="auto" w:fill="auto"/>
            <w:noWrap/>
            <w:vAlign w:val="center"/>
            <w:hideMark/>
          </w:tcPr>
          <w:p w14:paraId="0C846222" w14:textId="77777777" w:rsidR="00EA2B5F" w:rsidRPr="00F25EBD" w:rsidRDefault="00EA2B5F" w:rsidP="005D522F">
            <w:pPr>
              <w:spacing w:after="0" w:line="240" w:lineRule="auto"/>
              <w:rPr>
                <w:rFonts w:asciiTheme="majorHAnsi" w:eastAsia="Times New Roman" w:hAnsiTheme="majorHAnsi" w:cstheme="majorHAnsi"/>
                <w:sz w:val="20"/>
                <w:szCs w:val="20"/>
                <w:lang w:eastAsia="pl-PL"/>
              </w:rPr>
            </w:pPr>
            <w:r w:rsidRPr="00F25EBD">
              <w:rPr>
                <w:rFonts w:asciiTheme="majorHAnsi" w:eastAsia="Times New Roman" w:hAnsiTheme="majorHAnsi" w:cstheme="majorHAnsi"/>
                <w:sz w:val="20"/>
                <w:szCs w:val="20"/>
                <w:lang w:eastAsia="pl-PL"/>
              </w:rPr>
              <w:t>Boiska do koszykówki</w:t>
            </w:r>
          </w:p>
        </w:tc>
        <w:tc>
          <w:tcPr>
            <w:tcW w:w="1843" w:type="dxa"/>
            <w:tcBorders>
              <w:top w:val="single" w:sz="4" w:space="0" w:color="808080" w:themeColor="background1" w:themeShade="80"/>
              <w:left w:val="nil"/>
              <w:bottom w:val="single" w:sz="4" w:space="0" w:color="808080" w:themeColor="background1" w:themeShade="80"/>
              <w:right w:val="nil"/>
            </w:tcBorders>
            <w:shd w:val="clear" w:color="auto" w:fill="auto"/>
            <w:vAlign w:val="center"/>
          </w:tcPr>
          <w:p w14:paraId="4DB55ABD" w14:textId="77777777" w:rsidR="00EA2B5F" w:rsidRPr="00F25EBD" w:rsidRDefault="00EA2B5F" w:rsidP="005D522F">
            <w:pPr>
              <w:spacing w:after="0" w:line="240" w:lineRule="auto"/>
              <w:jc w:val="center"/>
              <w:rPr>
                <w:rFonts w:asciiTheme="majorHAnsi" w:eastAsia="Times New Roman" w:hAnsiTheme="majorHAnsi" w:cstheme="majorHAnsi"/>
                <w:sz w:val="20"/>
                <w:szCs w:val="20"/>
                <w:lang w:eastAsia="pl-PL"/>
              </w:rPr>
            </w:pPr>
            <w:r w:rsidRPr="00F25EBD">
              <w:rPr>
                <w:rFonts w:asciiTheme="majorHAnsi" w:eastAsia="Times New Roman" w:hAnsiTheme="majorHAnsi" w:cstheme="majorHAnsi"/>
                <w:sz w:val="18"/>
                <w:szCs w:val="18"/>
                <w:lang w:eastAsia="pl-PL"/>
              </w:rPr>
              <w:t>2018</w:t>
            </w:r>
          </w:p>
        </w:tc>
        <w:tc>
          <w:tcPr>
            <w:tcW w:w="832" w:type="dxa"/>
            <w:tcBorders>
              <w:top w:val="single" w:sz="4" w:space="0" w:color="808080" w:themeColor="background1" w:themeShade="80"/>
              <w:left w:val="nil"/>
              <w:bottom w:val="single" w:sz="4" w:space="0" w:color="808080" w:themeColor="background1" w:themeShade="80"/>
              <w:right w:val="nil"/>
            </w:tcBorders>
            <w:shd w:val="clear" w:color="auto" w:fill="auto"/>
            <w:noWrap/>
            <w:vAlign w:val="center"/>
            <w:hideMark/>
          </w:tcPr>
          <w:p w14:paraId="4166DAD4" w14:textId="77777777" w:rsidR="00EA2B5F" w:rsidRPr="00F25EBD" w:rsidRDefault="00EA2B5F" w:rsidP="005D522F">
            <w:pPr>
              <w:spacing w:after="0" w:line="240" w:lineRule="auto"/>
              <w:jc w:val="center"/>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1</w:t>
            </w:r>
          </w:p>
        </w:tc>
        <w:tc>
          <w:tcPr>
            <w:tcW w:w="833" w:type="dxa"/>
            <w:tcBorders>
              <w:top w:val="single" w:sz="4" w:space="0" w:color="808080" w:themeColor="background1" w:themeShade="80"/>
              <w:left w:val="nil"/>
              <w:bottom w:val="single" w:sz="4" w:space="0" w:color="808080" w:themeColor="background1" w:themeShade="80"/>
              <w:right w:val="nil"/>
            </w:tcBorders>
            <w:shd w:val="clear" w:color="auto" w:fill="auto"/>
            <w:noWrap/>
            <w:vAlign w:val="center"/>
            <w:hideMark/>
          </w:tcPr>
          <w:p w14:paraId="21E5CC83" w14:textId="77777777" w:rsidR="00EA2B5F" w:rsidRPr="00F25EBD" w:rsidRDefault="00EA2B5F" w:rsidP="005D522F">
            <w:pPr>
              <w:spacing w:after="0" w:line="240" w:lineRule="auto"/>
              <w:jc w:val="center"/>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0</w:t>
            </w:r>
          </w:p>
        </w:tc>
        <w:tc>
          <w:tcPr>
            <w:tcW w:w="832" w:type="dxa"/>
            <w:tcBorders>
              <w:top w:val="single" w:sz="4" w:space="0" w:color="808080" w:themeColor="background1" w:themeShade="80"/>
              <w:left w:val="nil"/>
              <w:bottom w:val="single" w:sz="4" w:space="0" w:color="808080" w:themeColor="background1" w:themeShade="80"/>
              <w:right w:val="nil"/>
            </w:tcBorders>
            <w:shd w:val="clear" w:color="auto" w:fill="auto"/>
            <w:noWrap/>
            <w:vAlign w:val="center"/>
            <w:hideMark/>
          </w:tcPr>
          <w:p w14:paraId="07E37ABC" w14:textId="77777777" w:rsidR="00EA2B5F" w:rsidRPr="00F25EBD" w:rsidRDefault="00EA2B5F" w:rsidP="005D522F">
            <w:pPr>
              <w:spacing w:after="0" w:line="240" w:lineRule="auto"/>
              <w:jc w:val="center"/>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0</w:t>
            </w:r>
          </w:p>
        </w:tc>
        <w:tc>
          <w:tcPr>
            <w:tcW w:w="833" w:type="dxa"/>
            <w:tcBorders>
              <w:top w:val="single" w:sz="4" w:space="0" w:color="808080" w:themeColor="background1" w:themeShade="80"/>
              <w:left w:val="nil"/>
              <w:bottom w:val="single" w:sz="4" w:space="0" w:color="808080" w:themeColor="background1" w:themeShade="80"/>
              <w:right w:val="nil"/>
            </w:tcBorders>
            <w:shd w:val="clear" w:color="auto" w:fill="auto"/>
            <w:noWrap/>
            <w:vAlign w:val="center"/>
            <w:hideMark/>
          </w:tcPr>
          <w:p w14:paraId="3CE83A2A" w14:textId="77777777" w:rsidR="00EA2B5F" w:rsidRPr="00F25EBD" w:rsidRDefault="00EA2B5F" w:rsidP="005D522F">
            <w:pPr>
              <w:spacing w:after="0" w:line="240" w:lineRule="auto"/>
              <w:jc w:val="center"/>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1</w:t>
            </w:r>
          </w:p>
        </w:tc>
      </w:tr>
      <w:tr w:rsidR="00EA2B5F" w:rsidRPr="00F25EBD" w14:paraId="168BAB4F" w14:textId="77777777" w:rsidTr="005D522F">
        <w:trPr>
          <w:trHeight w:val="288"/>
        </w:trPr>
        <w:tc>
          <w:tcPr>
            <w:tcW w:w="4039" w:type="dxa"/>
            <w:vMerge/>
            <w:tcBorders>
              <w:top w:val="single" w:sz="4" w:space="0" w:color="808080" w:themeColor="background1" w:themeShade="80"/>
              <w:left w:val="nil"/>
              <w:bottom w:val="single" w:sz="4" w:space="0" w:color="808080" w:themeColor="background1" w:themeShade="80"/>
              <w:right w:val="nil"/>
            </w:tcBorders>
            <w:shd w:val="clear" w:color="auto" w:fill="auto"/>
            <w:noWrap/>
            <w:vAlign w:val="center"/>
            <w:hideMark/>
          </w:tcPr>
          <w:p w14:paraId="546B2317" w14:textId="77777777" w:rsidR="00EA2B5F" w:rsidRPr="00F25EBD" w:rsidRDefault="00EA2B5F" w:rsidP="005D522F">
            <w:pPr>
              <w:spacing w:after="0" w:line="240" w:lineRule="auto"/>
              <w:rPr>
                <w:rFonts w:asciiTheme="majorHAnsi" w:eastAsia="Times New Roman" w:hAnsiTheme="majorHAnsi" w:cstheme="majorHAnsi"/>
                <w:color w:val="000000"/>
                <w:sz w:val="20"/>
                <w:szCs w:val="20"/>
                <w:lang w:eastAsia="pl-PL"/>
              </w:rPr>
            </w:pPr>
          </w:p>
        </w:tc>
        <w:tc>
          <w:tcPr>
            <w:tcW w:w="1843" w:type="dxa"/>
            <w:tcBorders>
              <w:top w:val="single" w:sz="4" w:space="0" w:color="808080" w:themeColor="background1" w:themeShade="80"/>
              <w:left w:val="nil"/>
              <w:bottom w:val="single" w:sz="4" w:space="0" w:color="808080" w:themeColor="background1" w:themeShade="80"/>
              <w:right w:val="nil"/>
            </w:tcBorders>
            <w:shd w:val="clear" w:color="auto" w:fill="auto"/>
            <w:vAlign w:val="center"/>
          </w:tcPr>
          <w:p w14:paraId="2D2DFB2E" w14:textId="77777777" w:rsidR="00EA2B5F" w:rsidRPr="00F25EBD" w:rsidRDefault="00EA2B5F" w:rsidP="005D522F">
            <w:pPr>
              <w:spacing w:after="0" w:line="240" w:lineRule="auto"/>
              <w:jc w:val="center"/>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sz w:val="18"/>
                <w:szCs w:val="18"/>
                <w:lang w:eastAsia="pl-PL"/>
              </w:rPr>
              <w:t>zmiana 2010=100%</w:t>
            </w:r>
          </w:p>
        </w:tc>
        <w:tc>
          <w:tcPr>
            <w:tcW w:w="832" w:type="dxa"/>
            <w:tcBorders>
              <w:top w:val="single" w:sz="4" w:space="0" w:color="808080" w:themeColor="background1" w:themeShade="80"/>
              <w:left w:val="nil"/>
              <w:bottom w:val="single" w:sz="4" w:space="0" w:color="808080" w:themeColor="background1" w:themeShade="80"/>
              <w:right w:val="nil"/>
            </w:tcBorders>
            <w:shd w:val="clear" w:color="auto" w:fill="auto"/>
            <w:noWrap/>
            <w:vAlign w:val="center"/>
            <w:hideMark/>
          </w:tcPr>
          <w:p w14:paraId="5809D4AC" w14:textId="77777777" w:rsidR="00EA2B5F" w:rsidRPr="00F25EBD" w:rsidRDefault="00EA2B5F" w:rsidP="005D522F">
            <w:pPr>
              <w:spacing w:after="0" w:line="240" w:lineRule="auto"/>
              <w:jc w:val="center"/>
              <w:rPr>
                <w:rFonts w:asciiTheme="majorHAnsi" w:eastAsia="Times New Roman" w:hAnsiTheme="majorHAnsi" w:cstheme="majorHAnsi"/>
                <w:sz w:val="20"/>
                <w:szCs w:val="20"/>
                <w:lang w:eastAsia="pl-PL"/>
              </w:rPr>
            </w:pPr>
            <w:r w:rsidRPr="00F25EBD">
              <w:rPr>
                <w:rFonts w:asciiTheme="majorHAnsi" w:eastAsia="Times New Roman" w:hAnsiTheme="majorHAnsi" w:cstheme="majorHAnsi"/>
                <w:sz w:val="20"/>
                <w:szCs w:val="20"/>
                <w:lang w:eastAsia="pl-PL"/>
              </w:rPr>
              <w:t>100,0</w:t>
            </w:r>
          </w:p>
        </w:tc>
        <w:tc>
          <w:tcPr>
            <w:tcW w:w="833" w:type="dxa"/>
            <w:tcBorders>
              <w:top w:val="single" w:sz="4" w:space="0" w:color="808080" w:themeColor="background1" w:themeShade="80"/>
              <w:left w:val="nil"/>
              <w:bottom w:val="single" w:sz="4" w:space="0" w:color="808080" w:themeColor="background1" w:themeShade="80"/>
              <w:right w:val="nil"/>
            </w:tcBorders>
            <w:shd w:val="clear" w:color="auto" w:fill="auto"/>
            <w:noWrap/>
            <w:vAlign w:val="center"/>
            <w:hideMark/>
          </w:tcPr>
          <w:p w14:paraId="0C30B6D6" w14:textId="77777777" w:rsidR="00EA2B5F" w:rsidRPr="00F25EBD" w:rsidRDefault="00EA2B5F" w:rsidP="005D522F">
            <w:pPr>
              <w:spacing w:after="0" w:line="240" w:lineRule="auto"/>
              <w:jc w:val="center"/>
              <w:rPr>
                <w:rFonts w:asciiTheme="majorHAnsi" w:eastAsia="Times New Roman" w:hAnsiTheme="majorHAnsi" w:cstheme="majorHAnsi"/>
                <w:sz w:val="20"/>
                <w:szCs w:val="20"/>
                <w:lang w:eastAsia="pl-PL"/>
              </w:rPr>
            </w:pPr>
            <w:r w:rsidRPr="00F25EBD">
              <w:rPr>
                <w:rFonts w:asciiTheme="majorHAnsi" w:eastAsia="Times New Roman" w:hAnsiTheme="majorHAnsi" w:cstheme="majorHAnsi"/>
                <w:sz w:val="20"/>
                <w:szCs w:val="20"/>
                <w:lang w:eastAsia="pl-PL"/>
              </w:rPr>
              <w:t>-100,0</w:t>
            </w:r>
          </w:p>
        </w:tc>
        <w:tc>
          <w:tcPr>
            <w:tcW w:w="832" w:type="dxa"/>
            <w:tcBorders>
              <w:top w:val="single" w:sz="4" w:space="0" w:color="808080" w:themeColor="background1" w:themeShade="80"/>
              <w:left w:val="nil"/>
              <w:bottom w:val="single" w:sz="4" w:space="0" w:color="808080" w:themeColor="background1" w:themeShade="80"/>
              <w:right w:val="nil"/>
            </w:tcBorders>
            <w:shd w:val="clear" w:color="auto" w:fill="auto"/>
            <w:noWrap/>
            <w:vAlign w:val="center"/>
            <w:hideMark/>
          </w:tcPr>
          <w:p w14:paraId="43E2D5E1" w14:textId="77777777" w:rsidR="00EA2B5F" w:rsidRPr="00F25EBD" w:rsidRDefault="00EA2B5F" w:rsidP="005D522F">
            <w:pPr>
              <w:spacing w:after="0" w:line="240" w:lineRule="auto"/>
              <w:jc w:val="center"/>
              <w:rPr>
                <w:rFonts w:asciiTheme="majorHAnsi" w:eastAsia="Times New Roman" w:hAnsiTheme="majorHAnsi" w:cstheme="majorHAnsi"/>
                <w:sz w:val="20"/>
                <w:szCs w:val="20"/>
                <w:lang w:eastAsia="pl-PL"/>
              </w:rPr>
            </w:pPr>
            <w:r w:rsidRPr="00F25EBD">
              <w:rPr>
                <w:rFonts w:asciiTheme="majorHAnsi" w:eastAsia="Times New Roman" w:hAnsiTheme="majorHAnsi" w:cstheme="majorHAnsi"/>
                <w:sz w:val="20"/>
                <w:szCs w:val="20"/>
                <w:lang w:eastAsia="pl-PL"/>
              </w:rPr>
              <w:t>-</w:t>
            </w:r>
          </w:p>
        </w:tc>
        <w:tc>
          <w:tcPr>
            <w:tcW w:w="833" w:type="dxa"/>
            <w:tcBorders>
              <w:top w:val="single" w:sz="4" w:space="0" w:color="808080" w:themeColor="background1" w:themeShade="80"/>
              <w:left w:val="nil"/>
              <w:bottom w:val="single" w:sz="4" w:space="0" w:color="808080" w:themeColor="background1" w:themeShade="80"/>
              <w:right w:val="nil"/>
            </w:tcBorders>
            <w:shd w:val="clear" w:color="auto" w:fill="auto"/>
            <w:noWrap/>
            <w:vAlign w:val="center"/>
            <w:hideMark/>
          </w:tcPr>
          <w:p w14:paraId="70340408" w14:textId="77777777" w:rsidR="00EA2B5F" w:rsidRPr="00F25EBD" w:rsidRDefault="00EA2B5F" w:rsidP="005D522F">
            <w:pPr>
              <w:spacing w:after="0" w:line="240" w:lineRule="auto"/>
              <w:jc w:val="center"/>
              <w:rPr>
                <w:rFonts w:asciiTheme="majorHAnsi" w:eastAsia="Times New Roman" w:hAnsiTheme="majorHAnsi" w:cstheme="majorHAnsi"/>
                <w:sz w:val="20"/>
                <w:szCs w:val="20"/>
                <w:lang w:eastAsia="pl-PL"/>
              </w:rPr>
            </w:pPr>
            <w:r w:rsidRPr="00F25EBD">
              <w:rPr>
                <w:rFonts w:asciiTheme="majorHAnsi" w:eastAsia="Times New Roman" w:hAnsiTheme="majorHAnsi" w:cstheme="majorHAnsi"/>
                <w:sz w:val="20"/>
                <w:szCs w:val="20"/>
                <w:lang w:eastAsia="pl-PL"/>
              </w:rPr>
              <w:t>-50,0</w:t>
            </w:r>
          </w:p>
        </w:tc>
      </w:tr>
      <w:tr w:rsidR="00EA2B5F" w:rsidRPr="00F25EBD" w14:paraId="3FC56AC1" w14:textId="77777777" w:rsidTr="005D522F">
        <w:trPr>
          <w:trHeight w:val="288"/>
        </w:trPr>
        <w:tc>
          <w:tcPr>
            <w:tcW w:w="4039" w:type="dxa"/>
            <w:vMerge w:val="restart"/>
            <w:tcBorders>
              <w:top w:val="single" w:sz="4" w:space="0" w:color="808080" w:themeColor="background1" w:themeShade="80"/>
              <w:left w:val="nil"/>
              <w:bottom w:val="single" w:sz="4" w:space="0" w:color="808080" w:themeColor="background1" w:themeShade="80"/>
              <w:right w:val="nil"/>
            </w:tcBorders>
            <w:shd w:val="clear" w:color="auto" w:fill="auto"/>
            <w:noWrap/>
            <w:vAlign w:val="center"/>
            <w:hideMark/>
          </w:tcPr>
          <w:p w14:paraId="0737A7AE" w14:textId="77777777" w:rsidR="00EA2B5F" w:rsidRPr="00F25EBD" w:rsidRDefault="00EA2B5F" w:rsidP="005D522F">
            <w:pPr>
              <w:spacing w:after="0" w:line="240" w:lineRule="auto"/>
              <w:rPr>
                <w:rFonts w:asciiTheme="majorHAnsi" w:eastAsia="Times New Roman" w:hAnsiTheme="majorHAnsi" w:cstheme="majorHAnsi"/>
                <w:sz w:val="20"/>
                <w:szCs w:val="20"/>
                <w:lang w:eastAsia="pl-PL"/>
              </w:rPr>
            </w:pPr>
            <w:r w:rsidRPr="00F25EBD">
              <w:rPr>
                <w:rFonts w:asciiTheme="majorHAnsi" w:eastAsia="Times New Roman" w:hAnsiTheme="majorHAnsi" w:cstheme="majorHAnsi"/>
                <w:sz w:val="20"/>
                <w:szCs w:val="20"/>
                <w:lang w:eastAsia="pl-PL"/>
              </w:rPr>
              <w:t>Boiska do piłki siatkowej</w:t>
            </w:r>
          </w:p>
        </w:tc>
        <w:tc>
          <w:tcPr>
            <w:tcW w:w="1843" w:type="dxa"/>
            <w:tcBorders>
              <w:top w:val="single" w:sz="4" w:space="0" w:color="808080" w:themeColor="background1" w:themeShade="80"/>
              <w:left w:val="nil"/>
              <w:bottom w:val="single" w:sz="4" w:space="0" w:color="808080" w:themeColor="background1" w:themeShade="80"/>
              <w:right w:val="nil"/>
            </w:tcBorders>
            <w:shd w:val="clear" w:color="auto" w:fill="auto"/>
            <w:vAlign w:val="center"/>
          </w:tcPr>
          <w:p w14:paraId="7D28779A" w14:textId="77777777" w:rsidR="00EA2B5F" w:rsidRPr="00F25EBD" w:rsidRDefault="00EA2B5F" w:rsidP="005D522F">
            <w:pPr>
              <w:spacing w:after="0" w:line="240" w:lineRule="auto"/>
              <w:jc w:val="center"/>
              <w:rPr>
                <w:rFonts w:asciiTheme="majorHAnsi" w:eastAsia="Times New Roman" w:hAnsiTheme="majorHAnsi" w:cstheme="majorHAnsi"/>
                <w:sz w:val="20"/>
                <w:szCs w:val="20"/>
                <w:lang w:eastAsia="pl-PL"/>
              </w:rPr>
            </w:pPr>
            <w:r w:rsidRPr="00F25EBD">
              <w:rPr>
                <w:rFonts w:asciiTheme="majorHAnsi" w:eastAsia="Times New Roman" w:hAnsiTheme="majorHAnsi" w:cstheme="majorHAnsi"/>
                <w:sz w:val="18"/>
                <w:szCs w:val="18"/>
                <w:lang w:eastAsia="pl-PL"/>
              </w:rPr>
              <w:t>2018</w:t>
            </w:r>
          </w:p>
        </w:tc>
        <w:tc>
          <w:tcPr>
            <w:tcW w:w="832" w:type="dxa"/>
            <w:tcBorders>
              <w:top w:val="single" w:sz="4" w:space="0" w:color="808080" w:themeColor="background1" w:themeShade="80"/>
              <w:left w:val="nil"/>
              <w:bottom w:val="single" w:sz="4" w:space="0" w:color="808080" w:themeColor="background1" w:themeShade="80"/>
              <w:right w:val="nil"/>
            </w:tcBorders>
            <w:shd w:val="clear" w:color="auto" w:fill="auto"/>
            <w:noWrap/>
            <w:vAlign w:val="center"/>
            <w:hideMark/>
          </w:tcPr>
          <w:p w14:paraId="14815465" w14:textId="77777777" w:rsidR="00EA2B5F" w:rsidRPr="00F25EBD" w:rsidRDefault="00EA2B5F" w:rsidP="005D522F">
            <w:pPr>
              <w:spacing w:after="0" w:line="240" w:lineRule="auto"/>
              <w:jc w:val="center"/>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0</w:t>
            </w:r>
          </w:p>
        </w:tc>
        <w:tc>
          <w:tcPr>
            <w:tcW w:w="833" w:type="dxa"/>
            <w:tcBorders>
              <w:top w:val="single" w:sz="4" w:space="0" w:color="808080" w:themeColor="background1" w:themeShade="80"/>
              <w:left w:val="nil"/>
              <w:bottom w:val="single" w:sz="4" w:space="0" w:color="808080" w:themeColor="background1" w:themeShade="80"/>
              <w:right w:val="nil"/>
            </w:tcBorders>
            <w:shd w:val="clear" w:color="auto" w:fill="auto"/>
            <w:noWrap/>
            <w:vAlign w:val="center"/>
            <w:hideMark/>
          </w:tcPr>
          <w:p w14:paraId="408F6D80" w14:textId="77777777" w:rsidR="00EA2B5F" w:rsidRPr="00F25EBD" w:rsidRDefault="00EA2B5F" w:rsidP="005D522F">
            <w:pPr>
              <w:spacing w:after="0" w:line="240" w:lineRule="auto"/>
              <w:jc w:val="center"/>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0</w:t>
            </w:r>
          </w:p>
        </w:tc>
        <w:tc>
          <w:tcPr>
            <w:tcW w:w="832" w:type="dxa"/>
            <w:tcBorders>
              <w:top w:val="single" w:sz="4" w:space="0" w:color="808080" w:themeColor="background1" w:themeShade="80"/>
              <w:left w:val="nil"/>
              <w:bottom w:val="single" w:sz="4" w:space="0" w:color="808080" w:themeColor="background1" w:themeShade="80"/>
              <w:right w:val="nil"/>
            </w:tcBorders>
            <w:shd w:val="clear" w:color="auto" w:fill="auto"/>
            <w:noWrap/>
            <w:vAlign w:val="center"/>
            <w:hideMark/>
          </w:tcPr>
          <w:p w14:paraId="596893ED" w14:textId="77777777" w:rsidR="00EA2B5F" w:rsidRPr="00F25EBD" w:rsidRDefault="00EA2B5F" w:rsidP="005D522F">
            <w:pPr>
              <w:spacing w:after="0" w:line="240" w:lineRule="auto"/>
              <w:jc w:val="center"/>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0</w:t>
            </w:r>
          </w:p>
        </w:tc>
        <w:tc>
          <w:tcPr>
            <w:tcW w:w="833" w:type="dxa"/>
            <w:tcBorders>
              <w:top w:val="single" w:sz="4" w:space="0" w:color="808080" w:themeColor="background1" w:themeShade="80"/>
              <w:left w:val="nil"/>
              <w:bottom w:val="single" w:sz="4" w:space="0" w:color="808080" w:themeColor="background1" w:themeShade="80"/>
              <w:right w:val="nil"/>
            </w:tcBorders>
            <w:shd w:val="clear" w:color="auto" w:fill="auto"/>
            <w:noWrap/>
            <w:vAlign w:val="center"/>
            <w:hideMark/>
          </w:tcPr>
          <w:p w14:paraId="1BFFCF6E" w14:textId="77777777" w:rsidR="00EA2B5F" w:rsidRPr="00F25EBD" w:rsidRDefault="00EA2B5F" w:rsidP="005D522F">
            <w:pPr>
              <w:spacing w:after="0" w:line="240" w:lineRule="auto"/>
              <w:jc w:val="center"/>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4</w:t>
            </w:r>
          </w:p>
        </w:tc>
      </w:tr>
      <w:tr w:rsidR="00EA2B5F" w:rsidRPr="00F25EBD" w14:paraId="324DD68F" w14:textId="77777777" w:rsidTr="005D522F">
        <w:trPr>
          <w:trHeight w:val="288"/>
        </w:trPr>
        <w:tc>
          <w:tcPr>
            <w:tcW w:w="4039" w:type="dxa"/>
            <w:vMerge/>
            <w:tcBorders>
              <w:top w:val="single" w:sz="4" w:space="0" w:color="808080" w:themeColor="background1" w:themeShade="80"/>
              <w:left w:val="nil"/>
              <w:bottom w:val="single" w:sz="4" w:space="0" w:color="808080" w:themeColor="background1" w:themeShade="80"/>
              <w:right w:val="nil"/>
            </w:tcBorders>
            <w:shd w:val="clear" w:color="auto" w:fill="auto"/>
            <w:noWrap/>
            <w:vAlign w:val="center"/>
            <w:hideMark/>
          </w:tcPr>
          <w:p w14:paraId="139D4602" w14:textId="77777777" w:rsidR="00EA2B5F" w:rsidRPr="00F25EBD" w:rsidRDefault="00EA2B5F" w:rsidP="005D522F">
            <w:pPr>
              <w:spacing w:after="0" w:line="240" w:lineRule="auto"/>
              <w:rPr>
                <w:rFonts w:asciiTheme="majorHAnsi" w:eastAsia="Times New Roman" w:hAnsiTheme="majorHAnsi" w:cstheme="majorHAnsi"/>
                <w:color w:val="000000"/>
                <w:sz w:val="20"/>
                <w:szCs w:val="20"/>
                <w:lang w:eastAsia="pl-PL"/>
              </w:rPr>
            </w:pPr>
          </w:p>
        </w:tc>
        <w:tc>
          <w:tcPr>
            <w:tcW w:w="1843" w:type="dxa"/>
            <w:tcBorders>
              <w:top w:val="single" w:sz="4" w:space="0" w:color="808080" w:themeColor="background1" w:themeShade="80"/>
              <w:left w:val="nil"/>
              <w:bottom w:val="single" w:sz="4" w:space="0" w:color="808080" w:themeColor="background1" w:themeShade="80"/>
              <w:right w:val="nil"/>
            </w:tcBorders>
            <w:shd w:val="clear" w:color="auto" w:fill="auto"/>
            <w:vAlign w:val="center"/>
          </w:tcPr>
          <w:p w14:paraId="139370AE" w14:textId="77777777" w:rsidR="00EA2B5F" w:rsidRPr="00F25EBD" w:rsidRDefault="00EA2B5F" w:rsidP="005D522F">
            <w:pPr>
              <w:spacing w:after="0" w:line="240" w:lineRule="auto"/>
              <w:jc w:val="center"/>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sz w:val="18"/>
                <w:szCs w:val="18"/>
                <w:lang w:eastAsia="pl-PL"/>
              </w:rPr>
              <w:t>zmiana 2010=100%</w:t>
            </w:r>
          </w:p>
        </w:tc>
        <w:tc>
          <w:tcPr>
            <w:tcW w:w="832" w:type="dxa"/>
            <w:tcBorders>
              <w:top w:val="single" w:sz="4" w:space="0" w:color="808080" w:themeColor="background1" w:themeShade="80"/>
              <w:left w:val="nil"/>
              <w:bottom w:val="single" w:sz="4" w:space="0" w:color="808080" w:themeColor="background1" w:themeShade="80"/>
              <w:right w:val="nil"/>
            </w:tcBorders>
            <w:shd w:val="clear" w:color="auto" w:fill="auto"/>
            <w:noWrap/>
            <w:vAlign w:val="center"/>
            <w:hideMark/>
          </w:tcPr>
          <w:p w14:paraId="1A566E4C" w14:textId="77777777" w:rsidR="00EA2B5F" w:rsidRPr="00F25EBD" w:rsidRDefault="00EA2B5F" w:rsidP="005D522F">
            <w:pPr>
              <w:spacing w:after="0" w:line="240" w:lineRule="auto"/>
              <w:jc w:val="center"/>
              <w:rPr>
                <w:rFonts w:asciiTheme="majorHAnsi" w:eastAsia="Times New Roman" w:hAnsiTheme="majorHAnsi" w:cstheme="majorHAnsi"/>
                <w:sz w:val="20"/>
                <w:szCs w:val="20"/>
                <w:lang w:eastAsia="pl-PL"/>
              </w:rPr>
            </w:pPr>
            <w:r w:rsidRPr="00F25EBD">
              <w:rPr>
                <w:rFonts w:asciiTheme="majorHAnsi" w:eastAsia="Times New Roman" w:hAnsiTheme="majorHAnsi" w:cstheme="majorHAnsi"/>
                <w:sz w:val="20"/>
                <w:szCs w:val="20"/>
                <w:lang w:eastAsia="pl-PL"/>
              </w:rPr>
              <w:t>-100,0</w:t>
            </w:r>
          </w:p>
        </w:tc>
        <w:tc>
          <w:tcPr>
            <w:tcW w:w="833" w:type="dxa"/>
            <w:tcBorders>
              <w:top w:val="single" w:sz="4" w:space="0" w:color="808080" w:themeColor="background1" w:themeShade="80"/>
              <w:left w:val="nil"/>
              <w:bottom w:val="single" w:sz="4" w:space="0" w:color="808080" w:themeColor="background1" w:themeShade="80"/>
              <w:right w:val="nil"/>
            </w:tcBorders>
            <w:shd w:val="clear" w:color="auto" w:fill="auto"/>
            <w:noWrap/>
            <w:vAlign w:val="center"/>
            <w:hideMark/>
          </w:tcPr>
          <w:p w14:paraId="00D21E19" w14:textId="77777777" w:rsidR="00EA2B5F" w:rsidRPr="00F25EBD" w:rsidRDefault="00EA2B5F" w:rsidP="005D522F">
            <w:pPr>
              <w:spacing w:after="0" w:line="240" w:lineRule="auto"/>
              <w:jc w:val="center"/>
              <w:rPr>
                <w:rFonts w:asciiTheme="majorHAnsi" w:eastAsia="Times New Roman" w:hAnsiTheme="majorHAnsi" w:cstheme="majorHAnsi"/>
                <w:sz w:val="20"/>
                <w:szCs w:val="20"/>
                <w:lang w:eastAsia="pl-PL"/>
              </w:rPr>
            </w:pPr>
            <w:r w:rsidRPr="00F25EBD">
              <w:rPr>
                <w:rFonts w:asciiTheme="majorHAnsi" w:eastAsia="Times New Roman" w:hAnsiTheme="majorHAnsi" w:cstheme="majorHAnsi"/>
                <w:sz w:val="20"/>
                <w:szCs w:val="20"/>
                <w:lang w:eastAsia="pl-PL"/>
              </w:rPr>
              <w:t>-</w:t>
            </w:r>
          </w:p>
        </w:tc>
        <w:tc>
          <w:tcPr>
            <w:tcW w:w="832" w:type="dxa"/>
            <w:tcBorders>
              <w:top w:val="single" w:sz="4" w:space="0" w:color="808080" w:themeColor="background1" w:themeShade="80"/>
              <w:left w:val="nil"/>
              <w:bottom w:val="single" w:sz="4" w:space="0" w:color="808080" w:themeColor="background1" w:themeShade="80"/>
              <w:right w:val="nil"/>
            </w:tcBorders>
            <w:shd w:val="clear" w:color="auto" w:fill="auto"/>
            <w:noWrap/>
            <w:vAlign w:val="center"/>
            <w:hideMark/>
          </w:tcPr>
          <w:p w14:paraId="17D9594F" w14:textId="77777777" w:rsidR="00EA2B5F" w:rsidRPr="00F25EBD" w:rsidRDefault="00EA2B5F" w:rsidP="005D522F">
            <w:pPr>
              <w:spacing w:after="0" w:line="240" w:lineRule="auto"/>
              <w:jc w:val="center"/>
              <w:rPr>
                <w:rFonts w:asciiTheme="majorHAnsi" w:eastAsia="Times New Roman" w:hAnsiTheme="majorHAnsi" w:cstheme="majorHAnsi"/>
                <w:sz w:val="20"/>
                <w:szCs w:val="20"/>
                <w:lang w:eastAsia="pl-PL"/>
              </w:rPr>
            </w:pPr>
            <w:r w:rsidRPr="00F25EBD">
              <w:rPr>
                <w:rFonts w:asciiTheme="majorHAnsi" w:eastAsia="Times New Roman" w:hAnsiTheme="majorHAnsi" w:cstheme="majorHAnsi"/>
                <w:sz w:val="20"/>
                <w:szCs w:val="20"/>
                <w:lang w:eastAsia="pl-PL"/>
              </w:rPr>
              <w:t>-100,0</w:t>
            </w:r>
          </w:p>
        </w:tc>
        <w:tc>
          <w:tcPr>
            <w:tcW w:w="833" w:type="dxa"/>
            <w:tcBorders>
              <w:top w:val="single" w:sz="4" w:space="0" w:color="808080" w:themeColor="background1" w:themeShade="80"/>
              <w:left w:val="nil"/>
              <w:bottom w:val="single" w:sz="4" w:space="0" w:color="808080" w:themeColor="background1" w:themeShade="80"/>
              <w:right w:val="nil"/>
            </w:tcBorders>
            <w:shd w:val="clear" w:color="auto" w:fill="auto"/>
            <w:noWrap/>
            <w:vAlign w:val="center"/>
            <w:hideMark/>
          </w:tcPr>
          <w:p w14:paraId="0843F655" w14:textId="77777777" w:rsidR="00EA2B5F" w:rsidRPr="00F25EBD" w:rsidRDefault="00EA2B5F" w:rsidP="005D522F">
            <w:pPr>
              <w:spacing w:after="0" w:line="240" w:lineRule="auto"/>
              <w:jc w:val="center"/>
              <w:rPr>
                <w:rFonts w:asciiTheme="majorHAnsi" w:eastAsia="Times New Roman" w:hAnsiTheme="majorHAnsi" w:cstheme="majorHAnsi"/>
                <w:sz w:val="20"/>
                <w:szCs w:val="20"/>
                <w:lang w:eastAsia="pl-PL"/>
              </w:rPr>
            </w:pPr>
            <w:r w:rsidRPr="00F25EBD">
              <w:rPr>
                <w:rFonts w:asciiTheme="majorHAnsi" w:eastAsia="Times New Roman" w:hAnsiTheme="majorHAnsi" w:cstheme="majorHAnsi"/>
                <w:sz w:val="20"/>
                <w:szCs w:val="20"/>
                <w:lang w:eastAsia="pl-PL"/>
              </w:rPr>
              <w:t>-20,0</w:t>
            </w:r>
          </w:p>
        </w:tc>
      </w:tr>
      <w:tr w:rsidR="00EA2B5F" w:rsidRPr="00F25EBD" w14:paraId="22A5EA02" w14:textId="77777777" w:rsidTr="005D522F">
        <w:trPr>
          <w:trHeight w:val="288"/>
        </w:trPr>
        <w:tc>
          <w:tcPr>
            <w:tcW w:w="4039" w:type="dxa"/>
            <w:vMerge w:val="restart"/>
            <w:tcBorders>
              <w:top w:val="single" w:sz="4" w:space="0" w:color="808080" w:themeColor="background1" w:themeShade="80"/>
              <w:left w:val="nil"/>
              <w:bottom w:val="single" w:sz="4" w:space="0" w:color="808080" w:themeColor="background1" w:themeShade="80"/>
              <w:right w:val="nil"/>
            </w:tcBorders>
            <w:shd w:val="clear" w:color="auto" w:fill="auto"/>
            <w:noWrap/>
            <w:vAlign w:val="center"/>
            <w:hideMark/>
          </w:tcPr>
          <w:p w14:paraId="6F2D0C91" w14:textId="77777777" w:rsidR="00EA2B5F" w:rsidRPr="00F25EBD" w:rsidRDefault="00EA2B5F" w:rsidP="005D522F">
            <w:pPr>
              <w:spacing w:after="0" w:line="240" w:lineRule="auto"/>
              <w:rPr>
                <w:rFonts w:asciiTheme="majorHAnsi" w:eastAsia="Times New Roman" w:hAnsiTheme="majorHAnsi" w:cstheme="majorHAnsi"/>
                <w:sz w:val="20"/>
                <w:szCs w:val="20"/>
                <w:lang w:eastAsia="pl-PL"/>
              </w:rPr>
            </w:pPr>
            <w:r w:rsidRPr="00F25EBD">
              <w:rPr>
                <w:rFonts w:asciiTheme="majorHAnsi" w:eastAsia="Times New Roman" w:hAnsiTheme="majorHAnsi" w:cstheme="majorHAnsi"/>
                <w:sz w:val="20"/>
                <w:szCs w:val="20"/>
                <w:lang w:eastAsia="pl-PL"/>
              </w:rPr>
              <w:t xml:space="preserve">Boiska </w:t>
            </w:r>
            <w:proofErr w:type="spellStart"/>
            <w:r w:rsidRPr="00F25EBD">
              <w:rPr>
                <w:rFonts w:asciiTheme="majorHAnsi" w:eastAsia="Times New Roman" w:hAnsiTheme="majorHAnsi" w:cstheme="majorHAnsi"/>
                <w:sz w:val="20"/>
                <w:szCs w:val="20"/>
                <w:lang w:eastAsia="pl-PL"/>
              </w:rPr>
              <w:t>uniwersalne-wielozadaniowe</w:t>
            </w:r>
            <w:proofErr w:type="spellEnd"/>
          </w:p>
        </w:tc>
        <w:tc>
          <w:tcPr>
            <w:tcW w:w="1843" w:type="dxa"/>
            <w:tcBorders>
              <w:top w:val="single" w:sz="4" w:space="0" w:color="808080" w:themeColor="background1" w:themeShade="80"/>
              <w:left w:val="nil"/>
              <w:bottom w:val="single" w:sz="4" w:space="0" w:color="808080" w:themeColor="background1" w:themeShade="80"/>
              <w:right w:val="nil"/>
            </w:tcBorders>
            <w:shd w:val="clear" w:color="auto" w:fill="auto"/>
            <w:vAlign w:val="center"/>
          </w:tcPr>
          <w:p w14:paraId="2E480C5A" w14:textId="77777777" w:rsidR="00EA2B5F" w:rsidRPr="00F25EBD" w:rsidRDefault="00EA2B5F" w:rsidP="005D522F">
            <w:pPr>
              <w:spacing w:after="0" w:line="240" w:lineRule="auto"/>
              <w:jc w:val="center"/>
              <w:rPr>
                <w:rFonts w:asciiTheme="majorHAnsi" w:eastAsia="Times New Roman" w:hAnsiTheme="majorHAnsi" w:cstheme="majorHAnsi"/>
                <w:sz w:val="20"/>
                <w:szCs w:val="20"/>
                <w:lang w:eastAsia="pl-PL"/>
              </w:rPr>
            </w:pPr>
            <w:r w:rsidRPr="00F25EBD">
              <w:rPr>
                <w:rFonts w:asciiTheme="majorHAnsi" w:eastAsia="Times New Roman" w:hAnsiTheme="majorHAnsi" w:cstheme="majorHAnsi"/>
                <w:sz w:val="18"/>
                <w:szCs w:val="18"/>
                <w:lang w:eastAsia="pl-PL"/>
              </w:rPr>
              <w:t>2018</w:t>
            </w:r>
          </w:p>
        </w:tc>
        <w:tc>
          <w:tcPr>
            <w:tcW w:w="832" w:type="dxa"/>
            <w:tcBorders>
              <w:top w:val="single" w:sz="4" w:space="0" w:color="808080" w:themeColor="background1" w:themeShade="80"/>
              <w:left w:val="nil"/>
              <w:bottom w:val="single" w:sz="4" w:space="0" w:color="808080" w:themeColor="background1" w:themeShade="80"/>
              <w:right w:val="nil"/>
            </w:tcBorders>
            <w:shd w:val="clear" w:color="auto" w:fill="auto"/>
            <w:noWrap/>
            <w:vAlign w:val="center"/>
            <w:hideMark/>
          </w:tcPr>
          <w:p w14:paraId="1D0EA9B2" w14:textId="77777777" w:rsidR="00EA2B5F" w:rsidRPr="00F25EBD" w:rsidRDefault="00EA2B5F" w:rsidP="005D522F">
            <w:pPr>
              <w:spacing w:after="0" w:line="240" w:lineRule="auto"/>
              <w:jc w:val="center"/>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12</w:t>
            </w:r>
          </w:p>
        </w:tc>
        <w:tc>
          <w:tcPr>
            <w:tcW w:w="833" w:type="dxa"/>
            <w:tcBorders>
              <w:top w:val="single" w:sz="4" w:space="0" w:color="808080" w:themeColor="background1" w:themeShade="80"/>
              <w:left w:val="nil"/>
              <w:bottom w:val="single" w:sz="4" w:space="0" w:color="808080" w:themeColor="background1" w:themeShade="80"/>
              <w:right w:val="nil"/>
            </w:tcBorders>
            <w:shd w:val="clear" w:color="auto" w:fill="auto"/>
            <w:noWrap/>
            <w:vAlign w:val="center"/>
            <w:hideMark/>
          </w:tcPr>
          <w:p w14:paraId="5690D2B3" w14:textId="77777777" w:rsidR="00EA2B5F" w:rsidRPr="00F25EBD" w:rsidRDefault="00EA2B5F" w:rsidP="005D522F">
            <w:pPr>
              <w:spacing w:after="0" w:line="240" w:lineRule="auto"/>
              <w:jc w:val="center"/>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1</w:t>
            </w:r>
          </w:p>
        </w:tc>
        <w:tc>
          <w:tcPr>
            <w:tcW w:w="832" w:type="dxa"/>
            <w:tcBorders>
              <w:top w:val="single" w:sz="4" w:space="0" w:color="808080" w:themeColor="background1" w:themeShade="80"/>
              <w:left w:val="nil"/>
              <w:bottom w:val="single" w:sz="4" w:space="0" w:color="808080" w:themeColor="background1" w:themeShade="80"/>
              <w:right w:val="nil"/>
            </w:tcBorders>
            <w:shd w:val="clear" w:color="auto" w:fill="auto"/>
            <w:noWrap/>
            <w:vAlign w:val="center"/>
            <w:hideMark/>
          </w:tcPr>
          <w:p w14:paraId="0CF01058" w14:textId="77777777" w:rsidR="00EA2B5F" w:rsidRPr="00F25EBD" w:rsidRDefault="00EA2B5F" w:rsidP="005D522F">
            <w:pPr>
              <w:spacing w:after="0" w:line="240" w:lineRule="auto"/>
              <w:jc w:val="center"/>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23</w:t>
            </w:r>
          </w:p>
        </w:tc>
        <w:tc>
          <w:tcPr>
            <w:tcW w:w="833" w:type="dxa"/>
            <w:tcBorders>
              <w:top w:val="single" w:sz="4" w:space="0" w:color="808080" w:themeColor="background1" w:themeShade="80"/>
              <w:left w:val="nil"/>
              <w:bottom w:val="single" w:sz="4" w:space="0" w:color="808080" w:themeColor="background1" w:themeShade="80"/>
              <w:right w:val="nil"/>
            </w:tcBorders>
            <w:shd w:val="clear" w:color="auto" w:fill="auto"/>
            <w:noWrap/>
            <w:vAlign w:val="center"/>
            <w:hideMark/>
          </w:tcPr>
          <w:p w14:paraId="70AFC859" w14:textId="77777777" w:rsidR="00EA2B5F" w:rsidRPr="00F25EBD" w:rsidRDefault="00EA2B5F" w:rsidP="005D522F">
            <w:pPr>
              <w:spacing w:after="0" w:line="240" w:lineRule="auto"/>
              <w:jc w:val="center"/>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11</w:t>
            </w:r>
          </w:p>
        </w:tc>
      </w:tr>
      <w:tr w:rsidR="00EA2B5F" w:rsidRPr="00F25EBD" w14:paraId="44E800DE" w14:textId="77777777" w:rsidTr="005D522F">
        <w:trPr>
          <w:trHeight w:val="288"/>
        </w:trPr>
        <w:tc>
          <w:tcPr>
            <w:tcW w:w="4039" w:type="dxa"/>
            <w:vMerge/>
            <w:tcBorders>
              <w:top w:val="single" w:sz="4" w:space="0" w:color="808080" w:themeColor="background1" w:themeShade="80"/>
              <w:left w:val="nil"/>
              <w:bottom w:val="single" w:sz="4" w:space="0" w:color="808080" w:themeColor="background1" w:themeShade="80"/>
              <w:right w:val="nil"/>
            </w:tcBorders>
            <w:shd w:val="clear" w:color="auto" w:fill="auto"/>
            <w:noWrap/>
            <w:vAlign w:val="center"/>
            <w:hideMark/>
          </w:tcPr>
          <w:p w14:paraId="520F02F3" w14:textId="77777777" w:rsidR="00EA2B5F" w:rsidRPr="00F25EBD" w:rsidRDefault="00EA2B5F" w:rsidP="005D522F">
            <w:pPr>
              <w:spacing w:after="0" w:line="240" w:lineRule="auto"/>
              <w:rPr>
                <w:rFonts w:asciiTheme="majorHAnsi" w:eastAsia="Times New Roman" w:hAnsiTheme="majorHAnsi" w:cstheme="majorHAnsi"/>
                <w:color w:val="000000"/>
                <w:sz w:val="20"/>
                <w:szCs w:val="20"/>
                <w:lang w:eastAsia="pl-PL"/>
              </w:rPr>
            </w:pPr>
          </w:p>
        </w:tc>
        <w:tc>
          <w:tcPr>
            <w:tcW w:w="1843" w:type="dxa"/>
            <w:tcBorders>
              <w:top w:val="single" w:sz="4" w:space="0" w:color="808080" w:themeColor="background1" w:themeShade="80"/>
              <w:left w:val="nil"/>
              <w:bottom w:val="single" w:sz="4" w:space="0" w:color="808080" w:themeColor="background1" w:themeShade="80"/>
              <w:right w:val="nil"/>
            </w:tcBorders>
            <w:shd w:val="clear" w:color="auto" w:fill="auto"/>
            <w:vAlign w:val="center"/>
          </w:tcPr>
          <w:p w14:paraId="24F11545" w14:textId="77777777" w:rsidR="00EA2B5F" w:rsidRPr="00F25EBD" w:rsidRDefault="00EA2B5F" w:rsidP="005D522F">
            <w:pPr>
              <w:spacing w:after="0" w:line="240" w:lineRule="auto"/>
              <w:jc w:val="center"/>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sz w:val="18"/>
                <w:szCs w:val="18"/>
                <w:lang w:eastAsia="pl-PL"/>
              </w:rPr>
              <w:t>zmiana 2010=100%</w:t>
            </w:r>
          </w:p>
        </w:tc>
        <w:tc>
          <w:tcPr>
            <w:tcW w:w="832" w:type="dxa"/>
            <w:tcBorders>
              <w:top w:val="single" w:sz="4" w:space="0" w:color="808080" w:themeColor="background1" w:themeShade="80"/>
              <w:left w:val="nil"/>
              <w:bottom w:val="single" w:sz="4" w:space="0" w:color="808080" w:themeColor="background1" w:themeShade="80"/>
              <w:right w:val="nil"/>
            </w:tcBorders>
            <w:shd w:val="clear" w:color="auto" w:fill="auto"/>
            <w:noWrap/>
            <w:vAlign w:val="center"/>
            <w:hideMark/>
          </w:tcPr>
          <w:p w14:paraId="4FC9CE9C" w14:textId="77777777" w:rsidR="00EA2B5F" w:rsidRPr="00F25EBD" w:rsidRDefault="00EA2B5F" w:rsidP="005D522F">
            <w:pPr>
              <w:spacing w:after="0" w:line="240" w:lineRule="auto"/>
              <w:jc w:val="center"/>
              <w:rPr>
                <w:rFonts w:asciiTheme="majorHAnsi" w:eastAsia="Times New Roman" w:hAnsiTheme="majorHAnsi" w:cstheme="majorHAnsi"/>
                <w:sz w:val="20"/>
                <w:szCs w:val="20"/>
                <w:lang w:eastAsia="pl-PL"/>
              </w:rPr>
            </w:pPr>
            <w:r w:rsidRPr="00F25EBD">
              <w:rPr>
                <w:rFonts w:asciiTheme="majorHAnsi" w:eastAsia="Times New Roman" w:hAnsiTheme="majorHAnsi" w:cstheme="majorHAnsi"/>
                <w:sz w:val="20"/>
                <w:szCs w:val="20"/>
                <w:lang w:eastAsia="pl-PL"/>
              </w:rPr>
              <w:t>20,0</w:t>
            </w:r>
          </w:p>
        </w:tc>
        <w:tc>
          <w:tcPr>
            <w:tcW w:w="833" w:type="dxa"/>
            <w:tcBorders>
              <w:top w:val="single" w:sz="4" w:space="0" w:color="808080" w:themeColor="background1" w:themeShade="80"/>
              <w:left w:val="nil"/>
              <w:bottom w:val="single" w:sz="4" w:space="0" w:color="808080" w:themeColor="background1" w:themeShade="80"/>
              <w:right w:val="nil"/>
            </w:tcBorders>
            <w:shd w:val="clear" w:color="auto" w:fill="auto"/>
            <w:noWrap/>
            <w:vAlign w:val="center"/>
            <w:hideMark/>
          </w:tcPr>
          <w:p w14:paraId="0C0808A6" w14:textId="77777777" w:rsidR="00EA2B5F" w:rsidRPr="00F25EBD" w:rsidRDefault="00EA2B5F" w:rsidP="005D522F">
            <w:pPr>
              <w:spacing w:after="0" w:line="240" w:lineRule="auto"/>
              <w:jc w:val="center"/>
              <w:rPr>
                <w:rFonts w:asciiTheme="majorHAnsi" w:eastAsia="Times New Roman" w:hAnsiTheme="majorHAnsi" w:cstheme="majorHAnsi"/>
                <w:sz w:val="20"/>
                <w:szCs w:val="20"/>
                <w:lang w:eastAsia="pl-PL"/>
              </w:rPr>
            </w:pPr>
            <w:r w:rsidRPr="00F25EBD">
              <w:rPr>
                <w:rFonts w:asciiTheme="majorHAnsi" w:eastAsia="Times New Roman" w:hAnsiTheme="majorHAnsi" w:cstheme="majorHAnsi"/>
                <w:sz w:val="20"/>
                <w:szCs w:val="20"/>
                <w:lang w:eastAsia="pl-PL"/>
              </w:rPr>
              <w:t>0,0</w:t>
            </w:r>
          </w:p>
        </w:tc>
        <w:tc>
          <w:tcPr>
            <w:tcW w:w="832" w:type="dxa"/>
            <w:tcBorders>
              <w:top w:val="single" w:sz="4" w:space="0" w:color="808080" w:themeColor="background1" w:themeShade="80"/>
              <w:left w:val="nil"/>
              <w:bottom w:val="single" w:sz="4" w:space="0" w:color="808080" w:themeColor="background1" w:themeShade="80"/>
              <w:right w:val="nil"/>
            </w:tcBorders>
            <w:shd w:val="clear" w:color="auto" w:fill="auto"/>
            <w:noWrap/>
            <w:vAlign w:val="center"/>
            <w:hideMark/>
          </w:tcPr>
          <w:p w14:paraId="2B4070D8" w14:textId="77777777" w:rsidR="00EA2B5F" w:rsidRPr="00F25EBD" w:rsidRDefault="00EA2B5F" w:rsidP="005D522F">
            <w:pPr>
              <w:spacing w:after="0" w:line="240" w:lineRule="auto"/>
              <w:jc w:val="center"/>
              <w:rPr>
                <w:rFonts w:asciiTheme="majorHAnsi" w:eastAsia="Times New Roman" w:hAnsiTheme="majorHAnsi" w:cstheme="majorHAnsi"/>
                <w:sz w:val="20"/>
                <w:szCs w:val="20"/>
                <w:lang w:eastAsia="pl-PL"/>
              </w:rPr>
            </w:pPr>
            <w:r w:rsidRPr="00F25EBD">
              <w:rPr>
                <w:rFonts w:asciiTheme="majorHAnsi" w:eastAsia="Times New Roman" w:hAnsiTheme="majorHAnsi" w:cstheme="majorHAnsi"/>
                <w:sz w:val="20"/>
                <w:szCs w:val="20"/>
                <w:lang w:eastAsia="pl-PL"/>
              </w:rPr>
              <w:t>27,8</w:t>
            </w:r>
          </w:p>
        </w:tc>
        <w:tc>
          <w:tcPr>
            <w:tcW w:w="833" w:type="dxa"/>
            <w:tcBorders>
              <w:top w:val="single" w:sz="4" w:space="0" w:color="808080" w:themeColor="background1" w:themeShade="80"/>
              <w:left w:val="nil"/>
              <w:bottom w:val="single" w:sz="4" w:space="0" w:color="808080" w:themeColor="background1" w:themeShade="80"/>
              <w:right w:val="nil"/>
            </w:tcBorders>
            <w:shd w:val="clear" w:color="auto" w:fill="auto"/>
            <w:noWrap/>
            <w:vAlign w:val="center"/>
            <w:hideMark/>
          </w:tcPr>
          <w:p w14:paraId="6235CC35" w14:textId="77777777" w:rsidR="00EA2B5F" w:rsidRPr="00F25EBD" w:rsidRDefault="00EA2B5F" w:rsidP="005D522F">
            <w:pPr>
              <w:spacing w:after="0" w:line="240" w:lineRule="auto"/>
              <w:jc w:val="center"/>
              <w:rPr>
                <w:rFonts w:asciiTheme="majorHAnsi" w:eastAsia="Times New Roman" w:hAnsiTheme="majorHAnsi" w:cstheme="majorHAnsi"/>
                <w:sz w:val="20"/>
                <w:szCs w:val="20"/>
                <w:lang w:eastAsia="pl-PL"/>
              </w:rPr>
            </w:pPr>
            <w:r w:rsidRPr="00F25EBD">
              <w:rPr>
                <w:rFonts w:asciiTheme="majorHAnsi" w:eastAsia="Times New Roman" w:hAnsiTheme="majorHAnsi" w:cstheme="majorHAnsi"/>
                <w:sz w:val="20"/>
                <w:szCs w:val="20"/>
                <w:lang w:eastAsia="pl-PL"/>
              </w:rPr>
              <w:t>175,0</w:t>
            </w:r>
          </w:p>
        </w:tc>
      </w:tr>
      <w:tr w:rsidR="00EA2B5F" w:rsidRPr="00F25EBD" w14:paraId="5256E7EC" w14:textId="77777777" w:rsidTr="005D522F">
        <w:trPr>
          <w:trHeight w:val="288"/>
        </w:trPr>
        <w:tc>
          <w:tcPr>
            <w:tcW w:w="4039" w:type="dxa"/>
            <w:vMerge w:val="restart"/>
            <w:tcBorders>
              <w:top w:val="single" w:sz="4" w:space="0" w:color="808080" w:themeColor="background1" w:themeShade="80"/>
              <w:left w:val="nil"/>
              <w:bottom w:val="single" w:sz="4" w:space="0" w:color="808080" w:themeColor="background1" w:themeShade="80"/>
              <w:right w:val="nil"/>
            </w:tcBorders>
            <w:shd w:val="clear" w:color="auto" w:fill="auto"/>
            <w:noWrap/>
            <w:vAlign w:val="center"/>
            <w:hideMark/>
          </w:tcPr>
          <w:p w14:paraId="137628E8" w14:textId="77777777" w:rsidR="00EA2B5F" w:rsidRPr="00F25EBD" w:rsidRDefault="00EA2B5F" w:rsidP="005D522F">
            <w:pPr>
              <w:spacing w:after="0" w:line="240" w:lineRule="auto"/>
              <w:rPr>
                <w:rFonts w:asciiTheme="majorHAnsi" w:eastAsia="Times New Roman" w:hAnsiTheme="majorHAnsi" w:cstheme="majorHAnsi"/>
                <w:sz w:val="20"/>
                <w:szCs w:val="20"/>
                <w:lang w:eastAsia="pl-PL"/>
              </w:rPr>
            </w:pPr>
            <w:r w:rsidRPr="00F25EBD">
              <w:rPr>
                <w:rFonts w:asciiTheme="majorHAnsi" w:eastAsia="Times New Roman" w:hAnsiTheme="majorHAnsi" w:cstheme="majorHAnsi"/>
                <w:sz w:val="20"/>
                <w:szCs w:val="20"/>
                <w:lang w:eastAsia="pl-PL"/>
              </w:rPr>
              <w:t>Hale sportowe o wymiarach od 36x19 m</w:t>
            </w:r>
          </w:p>
        </w:tc>
        <w:tc>
          <w:tcPr>
            <w:tcW w:w="1843" w:type="dxa"/>
            <w:tcBorders>
              <w:top w:val="single" w:sz="4" w:space="0" w:color="808080" w:themeColor="background1" w:themeShade="80"/>
              <w:left w:val="nil"/>
              <w:bottom w:val="single" w:sz="4" w:space="0" w:color="808080" w:themeColor="background1" w:themeShade="80"/>
              <w:right w:val="nil"/>
            </w:tcBorders>
            <w:shd w:val="clear" w:color="auto" w:fill="auto"/>
            <w:vAlign w:val="center"/>
          </w:tcPr>
          <w:p w14:paraId="370C011B" w14:textId="77777777" w:rsidR="00EA2B5F" w:rsidRPr="00F25EBD" w:rsidRDefault="00EA2B5F" w:rsidP="005D522F">
            <w:pPr>
              <w:spacing w:after="0" w:line="240" w:lineRule="auto"/>
              <w:jc w:val="center"/>
              <w:rPr>
                <w:rFonts w:asciiTheme="majorHAnsi" w:eastAsia="Times New Roman" w:hAnsiTheme="majorHAnsi" w:cstheme="majorHAnsi"/>
                <w:sz w:val="20"/>
                <w:szCs w:val="20"/>
                <w:lang w:eastAsia="pl-PL"/>
              </w:rPr>
            </w:pPr>
            <w:r w:rsidRPr="00F25EBD">
              <w:rPr>
                <w:rFonts w:asciiTheme="majorHAnsi" w:eastAsia="Times New Roman" w:hAnsiTheme="majorHAnsi" w:cstheme="majorHAnsi"/>
                <w:sz w:val="18"/>
                <w:szCs w:val="18"/>
                <w:lang w:eastAsia="pl-PL"/>
              </w:rPr>
              <w:t>2018</w:t>
            </w:r>
          </w:p>
        </w:tc>
        <w:tc>
          <w:tcPr>
            <w:tcW w:w="832" w:type="dxa"/>
            <w:tcBorders>
              <w:top w:val="single" w:sz="4" w:space="0" w:color="808080" w:themeColor="background1" w:themeShade="80"/>
              <w:left w:val="nil"/>
              <w:bottom w:val="single" w:sz="4" w:space="0" w:color="808080" w:themeColor="background1" w:themeShade="80"/>
              <w:right w:val="nil"/>
            </w:tcBorders>
            <w:shd w:val="clear" w:color="auto" w:fill="auto"/>
            <w:noWrap/>
            <w:vAlign w:val="center"/>
            <w:hideMark/>
          </w:tcPr>
          <w:p w14:paraId="629344D2" w14:textId="77777777" w:rsidR="00EA2B5F" w:rsidRPr="00F25EBD" w:rsidRDefault="00EA2B5F" w:rsidP="005D522F">
            <w:pPr>
              <w:spacing w:after="0" w:line="240" w:lineRule="auto"/>
              <w:jc w:val="center"/>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2</w:t>
            </w:r>
          </w:p>
        </w:tc>
        <w:tc>
          <w:tcPr>
            <w:tcW w:w="833" w:type="dxa"/>
            <w:tcBorders>
              <w:top w:val="single" w:sz="4" w:space="0" w:color="808080" w:themeColor="background1" w:themeShade="80"/>
              <w:left w:val="nil"/>
              <w:bottom w:val="single" w:sz="4" w:space="0" w:color="808080" w:themeColor="background1" w:themeShade="80"/>
              <w:right w:val="nil"/>
            </w:tcBorders>
            <w:shd w:val="clear" w:color="auto" w:fill="auto"/>
            <w:noWrap/>
            <w:vAlign w:val="center"/>
            <w:hideMark/>
          </w:tcPr>
          <w:p w14:paraId="46C4083A" w14:textId="77777777" w:rsidR="00EA2B5F" w:rsidRPr="00F25EBD" w:rsidRDefault="00EA2B5F" w:rsidP="005D522F">
            <w:pPr>
              <w:spacing w:after="0" w:line="240" w:lineRule="auto"/>
              <w:jc w:val="center"/>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1</w:t>
            </w:r>
          </w:p>
        </w:tc>
        <w:tc>
          <w:tcPr>
            <w:tcW w:w="832" w:type="dxa"/>
            <w:tcBorders>
              <w:top w:val="single" w:sz="4" w:space="0" w:color="808080" w:themeColor="background1" w:themeShade="80"/>
              <w:left w:val="nil"/>
              <w:bottom w:val="single" w:sz="4" w:space="0" w:color="808080" w:themeColor="background1" w:themeShade="80"/>
              <w:right w:val="nil"/>
            </w:tcBorders>
            <w:shd w:val="clear" w:color="auto" w:fill="auto"/>
            <w:noWrap/>
            <w:vAlign w:val="center"/>
            <w:hideMark/>
          </w:tcPr>
          <w:p w14:paraId="697C6E09" w14:textId="77777777" w:rsidR="00EA2B5F" w:rsidRPr="00F25EBD" w:rsidRDefault="00EA2B5F" w:rsidP="005D522F">
            <w:pPr>
              <w:spacing w:after="0" w:line="240" w:lineRule="auto"/>
              <w:jc w:val="center"/>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1</w:t>
            </w:r>
          </w:p>
        </w:tc>
        <w:tc>
          <w:tcPr>
            <w:tcW w:w="833" w:type="dxa"/>
            <w:tcBorders>
              <w:top w:val="single" w:sz="4" w:space="0" w:color="808080" w:themeColor="background1" w:themeShade="80"/>
              <w:left w:val="nil"/>
              <w:bottom w:val="single" w:sz="4" w:space="0" w:color="808080" w:themeColor="background1" w:themeShade="80"/>
              <w:right w:val="nil"/>
            </w:tcBorders>
            <w:shd w:val="clear" w:color="auto" w:fill="auto"/>
            <w:noWrap/>
            <w:vAlign w:val="center"/>
            <w:hideMark/>
          </w:tcPr>
          <w:p w14:paraId="65964EB8" w14:textId="77777777" w:rsidR="00EA2B5F" w:rsidRPr="00F25EBD" w:rsidRDefault="00EA2B5F" w:rsidP="005D522F">
            <w:pPr>
              <w:spacing w:after="0" w:line="240" w:lineRule="auto"/>
              <w:jc w:val="center"/>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4</w:t>
            </w:r>
          </w:p>
        </w:tc>
      </w:tr>
      <w:tr w:rsidR="00EA2B5F" w:rsidRPr="00F25EBD" w14:paraId="06528C49" w14:textId="77777777" w:rsidTr="005D522F">
        <w:trPr>
          <w:trHeight w:val="288"/>
        </w:trPr>
        <w:tc>
          <w:tcPr>
            <w:tcW w:w="4039" w:type="dxa"/>
            <w:vMerge/>
            <w:tcBorders>
              <w:top w:val="single" w:sz="4" w:space="0" w:color="808080" w:themeColor="background1" w:themeShade="80"/>
              <w:left w:val="nil"/>
              <w:bottom w:val="single" w:sz="4" w:space="0" w:color="808080" w:themeColor="background1" w:themeShade="80"/>
              <w:right w:val="nil"/>
            </w:tcBorders>
            <w:shd w:val="clear" w:color="auto" w:fill="auto"/>
            <w:noWrap/>
            <w:vAlign w:val="center"/>
            <w:hideMark/>
          </w:tcPr>
          <w:p w14:paraId="6B0C24F8" w14:textId="77777777" w:rsidR="00EA2B5F" w:rsidRPr="00F25EBD" w:rsidRDefault="00EA2B5F" w:rsidP="005D522F">
            <w:pPr>
              <w:spacing w:after="0" w:line="240" w:lineRule="auto"/>
              <w:rPr>
                <w:rFonts w:asciiTheme="majorHAnsi" w:eastAsia="Times New Roman" w:hAnsiTheme="majorHAnsi" w:cstheme="majorHAnsi"/>
                <w:color w:val="000000"/>
                <w:sz w:val="20"/>
                <w:szCs w:val="20"/>
                <w:lang w:eastAsia="pl-PL"/>
              </w:rPr>
            </w:pPr>
          </w:p>
        </w:tc>
        <w:tc>
          <w:tcPr>
            <w:tcW w:w="1843" w:type="dxa"/>
            <w:tcBorders>
              <w:top w:val="single" w:sz="4" w:space="0" w:color="808080" w:themeColor="background1" w:themeShade="80"/>
              <w:left w:val="nil"/>
              <w:bottom w:val="single" w:sz="4" w:space="0" w:color="808080" w:themeColor="background1" w:themeShade="80"/>
              <w:right w:val="nil"/>
            </w:tcBorders>
            <w:shd w:val="clear" w:color="auto" w:fill="auto"/>
            <w:vAlign w:val="center"/>
          </w:tcPr>
          <w:p w14:paraId="4BF32EEF" w14:textId="77777777" w:rsidR="00EA2B5F" w:rsidRPr="00F25EBD" w:rsidRDefault="00EA2B5F" w:rsidP="005D522F">
            <w:pPr>
              <w:spacing w:after="0" w:line="240" w:lineRule="auto"/>
              <w:jc w:val="center"/>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sz w:val="18"/>
                <w:szCs w:val="18"/>
                <w:lang w:eastAsia="pl-PL"/>
              </w:rPr>
              <w:t>zmiana 2010=100%</w:t>
            </w:r>
          </w:p>
        </w:tc>
        <w:tc>
          <w:tcPr>
            <w:tcW w:w="832" w:type="dxa"/>
            <w:tcBorders>
              <w:top w:val="single" w:sz="4" w:space="0" w:color="808080" w:themeColor="background1" w:themeShade="80"/>
              <w:left w:val="nil"/>
              <w:bottom w:val="single" w:sz="4" w:space="0" w:color="808080" w:themeColor="background1" w:themeShade="80"/>
              <w:right w:val="nil"/>
            </w:tcBorders>
            <w:shd w:val="clear" w:color="auto" w:fill="auto"/>
            <w:noWrap/>
            <w:vAlign w:val="center"/>
            <w:hideMark/>
          </w:tcPr>
          <w:p w14:paraId="4B5C75F1" w14:textId="77777777" w:rsidR="00EA2B5F" w:rsidRPr="00F25EBD" w:rsidRDefault="00EA2B5F" w:rsidP="005D522F">
            <w:pPr>
              <w:spacing w:after="0" w:line="240" w:lineRule="auto"/>
              <w:jc w:val="center"/>
              <w:rPr>
                <w:rFonts w:asciiTheme="majorHAnsi" w:eastAsia="Times New Roman" w:hAnsiTheme="majorHAnsi" w:cstheme="majorHAnsi"/>
                <w:sz w:val="20"/>
                <w:szCs w:val="20"/>
                <w:lang w:eastAsia="pl-PL"/>
              </w:rPr>
            </w:pPr>
            <w:r w:rsidRPr="00F25EBD">
              <w:rPr>
                <w:rFonts w:asciiTheme="majorHAnsi" w:eastAsia="Times New Roman" w:hAnsiTheme="majorHAnsi" w:cstheme="majorHAnsi"/>
                <w:sz w:val="20"/>
                <w:szCs w:val="20"/>
                <w:lang w:eastAsia="pl-PL"/>
              </w:rPr>
              <w:t>0,0</w:t>
            </w:r>
          </w:p>
        </w:tc>
        <w:tc>
          <w:tcPr>
            <w:tcW w:w="833" w:type="dxa"/>
            <w:tcBorders>
              <w:top w:val="single" w:sz="4" w:space="0" w:color="808080" w:themeColor="background1" w:themeShade="80"/>
              <w:left w:val="nil"/>
              <w:bottom w:val="single" w:sz="4" w:space="0" w:color="808080" w:themeColor="background1" w:themeShade="80"/>
              <w:right w:val="nil"/>
            </w:tcBorders>
            <w:shd w:val="clear" w:color="auto" w:fill="auto"/>
            <w:noWrap/>
            <w:vAlign w:val="center"/>
            <w:hideMark/>
          </w:tcPr>
          <w:p w14:paraId="352586B4" w14:textId="77777777" w:rsidR="00EA2B5F" w:rsidRPr="00F25EBD" w:rsidRDefault="00EA2B5F" w:rsidP="005D522F">
            <w:pPr>
              <w:spacing w:after="0" w:line="240" w:lineRule="auto"/>
              <w:jc w:val="center"/>
              <w:rPr>
                <w:rFonts w:asciiTheme="majorHAnsi" w:eastAsia="Times New Roman" w:hAnsiTheme="majorHAnsi" w:cstheme="majorHAnsi"/>
                <w:sz w:val="20"/>
                <w:szCs w:val="20"/>
                <w:lang w:eastAsia="pl-PL"/>
              </w:rPr>
            </w:pPr>
            <w:r w:rsidRPr="00F25EBD">
              <w:rPr>
                <w:rFonts w:asciiTheme="majorHAnsi" w:eastAsia="Times New Roman" w:hAnsiTheme="majorHAnsi" w:cstheme="majorHAnsi"/>
                <w:sz w:val="20"/>
                <w:szCs w:val="20"/>
                <w:lang w:eastAsia="pl-PL"/>
              </w:rPr>
              <w:t>0,0</w:t>
            </w:r>
          </w:p>
        </w:tc>
        <w:tc>
          <w:tcPr>
            <w:tcW w:w="832" w:type="dxa"/>
            <w:tcBorders>
              <w:top w:val="single" w:sz="4" w:space="0" w:color="808080" w:themeColor="background1" w:themeShade="80"/>
              <w:left w:val="nil"/>
              <w:bottom w:val="single" w:sz="4" w:space="0" w:color="808080" w:themeColor="background1" w:themeShade="80"/>
              <w:right w:val="nil"/>
            </w:tcBorders>
            <w:shd w:val="clear" w:color="auto" w:fill="auto"/>
            <w:noWrap/>
            <w:vAlign w:val="center"/>
            <w:hideMark/>
          </w:tcPr>
          <w:p w14:paraId="7BAD6D4C" w14:textId="77777777" w:rsidR="00EA2B5F" w:rsidRPr="00F25EBD" w:rsidRDefault="00EA2B5F" w:rsidP="005D522F">
            <w:pPr>
              <w:spacing w:after="0" w:line="240" w:lineRule="auto"/>
              <w:jc w:val="center"/>
              <w:rPr>
                <w:rFonts w:asciiTheme="majorHAnsi" w:eastAsia="Times New Roman" w:hAnsiTheme="majorHAnsi" w:cstheme="majorHAnsi"/>
                <w:sz w:val="20"/>
                <w:szCs w:val="20"/>
                <w:lang w:eastAsia="pl-PL"/>
              </w:rPr>
            </w:pPr>
            <w:r w:rsidRPr="00F25EBD">
              <w:rPr>
                <w:rFonts w:asciiTheme="majorHAnsi" w:eastAsia="Times New Roman" w:hAnsiTheme="majorHAnsi" w:cstheme="majorHAnsi"/>
                <w:sz w:val="20"/>
                <w:szCs w:val="20"/>
                <w:lang w:eastAsia="pl-PL"/>
              </w:rPr>
              <w:t>-66,7</w:t>
            </w:r>
          </w:p>
        </w:tc>
        <w:tc>
          <w:tcPr>
            <w:tcW w:w="833" w:type="dxa"/>
            <w:tcBorders>
              <w:top w:val="single" w:sz="4" w:space="0" w:color="808080" w:themeColor="background1" w:themeShade="80"/>
              <w:left w:val="nil"/>
              <w:bottom w:val="single" w:sz="4" w:space="0" w:color="808080" w:themeColor="background1" w:themeShade="80"/>
              <w:right w:val="nil"/>
            </w:tcBorders>
            <w:shd w:val="clear" w:color="auto" w:fill="auto"/>
            <w:noWrap/>
            <w:vAlign w:val="center"/>
            <w:hideMark/>
          </w:tcPr>
          <w:p w14:paraId="4746E882" w14:textId="77777777" w:rsidR="00EA2B5F" w:rsidRPr="00F25EBD" w:rsidRDefault="00EA2B5F" w:rsidP="005D522F">
            <w:pPr>
              <w:spacing w:after="0" w:line="240" w:lineRule="auto"/>
              <w:jc w:val="center"/>
              <w:rPr>
                <w:rFonts w:asciiTheme="majorHAnsi" w:eastAsia="Times New Roman" w:hAnsiTheme="majorHAnsi" w:cstheme="majorHAnsi"/>
                <w:sz w:val="20"/>
                <w:szCs w:val="20"/>
                <w:lang w:eastAsia="pl-PL"/>
              </w:rPr>
            </w:pPr>
            <w:r w:rsidRPr="00F25EBD">
              <w:rPr>
                <w:rFonts w:asciiTheme="majorHAnsi" w:eastAsia="Times New Roman" w:hAnsiTheme="majorHAnsi" w:cstheme="majorHAnsi"/>
                <w:sz w:val="20"/>
                <w:szCs w:val="20"/>
                <w:lang w:eastAsia="pl-PL"/>
              </w:rPr>
              <w:t>33,3</w:t>
            </w:r>
          </w:p>
        </w:tc>
      </w:tr>
      <w:tr w:rsidR="00EA2B5F" w:rsidRPr="00F25EBD" w14:paraId="70FDBFC4" w14:textId="77777777" w:rsidTr="005D522F">
        <w:trPr>
          <w:trHeight w:val="288"/>
        </w:trPr>
        <w:tc>
          <w:tcPr>
            <w:tcW w:w="4039" w:type="dxa"/>
            <w:vMerge w:val="restart"/>
            <w:tcBorders>
              <w:top w:val="single" w:sz="4" w:space="0" w:color="808080" w:themeColor="background1" w:themeShade="80"/>
              <w:left w:val="nil"/>
              <w:bottom w:val="single" w:sz="4" w:space="0" w:color="808080" w:themeColor="background1" w:themeShade="80"/>
              <w:right w:val="nil"/>
            </w:tcBorders>
            <w:shd w:val="clear" w:color="auto" w:fill="auto"/>
            <w:noWrap/>
            <w:vAlign w:val="center"/>
            <w:hideMark/>
          </w:tcPr>
          <w:p w14:paraId="27DC83D2" w14:textId="77777777" w:rsidR="00EA2B5F" w:rsidRPr="00F25EBD" w:rsidRDefault="00EA2B5F" w:rsidP="005D522F">
            <w:pPr>
              <w:spacing w:after="0" w:line="240" w:lineRule="auto"/>
              <w:rPr>
                <w:rFonts w:asciiTheme="majorHAnsi" w:eastAsia="Times New Roman" w:hAnsiTheme="majorHAnsi" w:cstheme="majorHAnsi"/>
                <w:sz w:val="20"/>
                <w:szCs w:val="20"/>
                <w:lang w:eastAsia="pl-PL"/>
              </w:rPr>
            </w:pPr>
            <w:r w:rsidRPr="00F25EBD">
              <w:rPr>
                <w:rFonts w:asciiTheme="majorHAnsi" w:eastAsia="Times New Roman" w:hAnsiTheme="majorHAnsi" w:cstheme="majorHAnsi"/>
                <w:sz w:val="20"/>
                <w:szCs w:val="20"/>
                <w:lang w:eastAsia="pl-PL"/>
              </w:rPr>
              <w:t>Sale gimnastyczne o wymiarach poniżej 36x19 m i sale pomocnicze</w:t>
            </w:r>
          </w:p>
        </w:tc>
        <w:tc>
          <w:tcPr>
            <w:tcW w:w="1843" w:type="dxa"/>
            <w:tcBorders>
              <w:top w:val="single" w:sz="4" w:space="0" w:color="808080" w:themeColor="background1" w:themeShade="80"/>
              <w:left w:val="nil"/>
              <w:bottom w:val="single" w:sz="4" w:space="0" w:color="808080" w:themeColor="background1" w:themeShade="80"/>
              <w:right w:val="nil"/>
            </w:tcBorders>
            <w:shd w:val="clear" w:color="auto" w:fill="auto"/>
            <w:vAlign w:val="center"/>
          </w:tcPr>
          <w:p w14:paraId="51B9C4B6" w14:textId="77777777" w:rsidR="00EA2B5F" w:rsidRPr="00F25EBD" w:rsidRDefault="00EA2B5F" w:rsidP="005D522F">
            <w:pPr>
              <w:spacing w:after="0" w:line="240" w:lineRule="auto"/>
              <w:jc w:val="center"/>
              <w:rPr>
                <w:rFonts w:asciiTheme="majorHAnsi" w:eastAsia="Times New Roman" w:hAnsiTheme="majorHAnsi" w:cstheme="majorHAnsi"/>
                <w:sz w:val="20"/>
                <w:szCs w:val="20"/>
                <w:lang w:eastAsia="pl-PL"/>
              </w:rPr>
            </w:pPr>
            <w:r w:rsidRPr="00F25EBD">
              <w:rPr>
                <w:rFonts w:asciiTheme="majorHAnsi" w:eastAsia="Times New Roman" w:hAnsiTheme="majorHAnsi" w:cstheme="majorHAnsi"/>
                <w:sz w:val="18"/>
                <w:szCs w:val="18"/>
                <w:lang w:eastAsia="pl-PL"/>
              </w:rPr>
              <w:t>2018</w:t>
            </w:r>
          </w:p>
        </w:tc>
        <w:tc>
          <w:tcPr>
            <w:tcW w:w="832" w:type="dxa"/>
            <w:tcBorders>
              <w:top w:val="single" w:sz="4" w:space="0" w:color="808080" w:themeColor="background1" w:themeShade="80"/>
              <w:left w:val="nil"/>
              <w:bottom w:val="single" w:sz="4" w:space="0" w:color="808080" w:themeColor="background1" w:themeShade="80"/>
              <w:right w:val="nil"/>
            </w:tcBorders>
            <w:shd w:val="clear" w:color="auto" w:fill="auto"/>
            <w:noWrap/>
            <w:vAlign w:val="center"/>
            <w:hideMark/>
          </w:tcPr>
          <w:p w14:paraId="5EBC6783" w14:textId="77777777" w:rsidR="00EA2B5F" w:rsidRPr="00F25EBD" w:rsidRDefault="00EA2B5F" w:rsidP="005D522F">
            <w:pPr>
              <w:spacing w:after="0" w:line="240" w:lineRule="auto"/>
              <w:jc w:val="center"/>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2</w:t>
            </w:r>
          </w:p>
        </w:tc>
        <w:tc>
          <w:tcPr>
            <w:tcW w:w="833" w:type="dxa"/>
            <w:tcBorders>
              <w:top w:val="single" w:sz="4" w:space="0" w:color="808080" w:themeColor="background1" w:themeShade="80"/>
              <w:left w:val="nil"/>
              <w:bottom w:val="single" w:sz="4" w:space="0" w:color="808080" w:themeColor="background1" w:themeShade="80"/>
              <w:right w:val="nil"/>
            </w:tcBorders>
            <w:shd w:val="clear" w:color="auto" w:fill="auto"/>
            <w:noWrap/>
            <w:vAlign w:val="center"/>
            <w:hideMark/>
          </w:tcPr>
          <w:p w14:paraId="7CDBEDEB" w14:textId="77777777" w:rsidR="00EA2B5F" w:rsidRPr="00F25EBD" w:rsidRDefault="00EA2B5F" w:rsidP="005D522F">
            <w:pPr>
              <w:spacing w:after="0" w:line="240" w:lineRule="auto"/>
              <w:jc w:val="center"/>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0</w:t>
            </w:r>
          </w:p>
        </w:tc>
        <w:tc>
          <w:tcPr>
            <w:tcW w:w="832" w:type="dxa"/>
            <w:tcBorders>
              <w:top w:val="single" w:sz="4" w:space="0" w:color="808080" w:themeColor="background1" w:themeShade="80"/>
              <w:left w:val="nil"/>
              <w:bottom w:val="single" w:sz="4" w:space="0" w:color="808080" w:themeColor="background1" w:themeShade="80"/>
              <w:right w:val="nil"/>
            </w:tcBorders>
            <w:shd w:val="clear" w:color="auto" w:fill="auto"/>
            <w:noWrap/>
            <w:vAlign w:val="center"/>
            <w:hideMark/>
          </w:tcPr>
          <w:p w14:paraId="1C434EB4" w14:textId="77777777" w:rsidR="00EA2B5F" w:rsidRPr="00F25EBD" w:rsidRDefault="00EA2B5F" w:rsidP="005D522F">
            <w:pPr>
              <w:spacing w:after="0" w:line="240" w:lineRule="auto"/>
              <w:jc w:val="center"/>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0</w:t>
            </w:r>
          </w:p>
        </w:tc>
        <w:tc>
          <w:tcPr>
            <w:tcW w:w="833" w:type="dxa"/>
            <w:tcBorders>
              <w:top w:val="single" w:sz="4" w:space="0" w:color="808080" w:themeColor="background1" w:themeShade="80"/>
              <w:left w:val="nil"/>
              <w:bottom w:val="single" w:sz="4" w:space="0" w:color="808080" w:themeColor="background1" w:themeShade="80"/>
              <w:right w:val="nil"/>
            </w:tcBorders>
            <w:shd w:val="clear" w:color="auto" w:fill="auto"/>
            <w:noWrap/>
            <w:vAlign w:val="center"/>
            <w:hideMark/>
          </w:tcPr>
          <w:p w14:paraId="5D2F0C75" w14:textId="77777777" w:rsidR="00EA2B5F" w:rsidRPr="00F25EBD" w:rsidRDefault="00EA2B5F" w:rsidP="005D522F">
            <w:pPr>
              <w:spacing w:after="0" w:line="240" w:lineRule="auto"/>
              <w:jc w:val="center"/>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3</w:t>
            </w:r>
          </w:p>
        </w:tc>
      </w:tr>
      <w:tr w:rsidR="00EA2B5F" w:rsidRPr="00F25EBD" w14:paraId="0B0E0B13" w14:textId="77777777" w:rsidTr="005D522F">
        <w:trPr>
          <w:trHeight w:val="288"/>
        </w:trPr>
        <w:tc>
          <w:tcPr>
            <w:tcW w:w="4039" w:type="dxa"/>
            <w:vMerge/>
            <w:tcBorders>
              <w:top w:val="single" w:sz="4" w:space="0" w:color="808080" w:themeColor="background1" w:themeShade="80"/>
              <w:left w:val="nil"/>
              <w:bottom w:val="single" w:sz="4" w:space="0" w:color="808080" w:themeColor="background1" w:themeShade="80"/>
              <w:right w:val="nil"/>
            </w:tcBorders>
            <w:shd w:val="clear" w:color="auto" w:fill="auto"/>
            <w:noWrap/>
            <w:vAlign w:val="center"/>
            <w:hideMark/>
          </w:tcPr>
          <w:p w14:paraId="51B2A52F" w14:textId="77777777" w:rsidR="00EA2B5F" w:rsidRPr="00F25EBD" w:rsidRDefault="00EA2B5F" w:rsidP="005D522F">
            <w:pPr>
              <w:spacing w:after="0" w:line="240" w:lineRule="auto"/>
              <w:rPr>
                <w:rFonts w:asciiTheme="majorHAnsi" w:eastAsia="Times New Roman" w:hAnsiTheme="majorHAnsi" w:cstheme="majorHAnsi"/>
                <w:color w:val="000000"/>
                <w:sz w:val="20"/>
                <w:szCs w:val="20"/>
                <w:lang w:eastAsia="pl-PL"/>
              </w:rPr>
            </w:pPr>
          </w:p>
        </w:tc>
        <w:tc>
          <w:tcPr>
            <w:tcW w:w="1843" w:type="dxa"/>
            <w:tcBorders>
              <w:top w:val="single" w:sz="4" w:space="0" w:color="808080" w:themeColor="background1" w:themeShade="80"/>
              <w:left w:val="nil"/>
              <w:bottom w:val="single" w:sz="4" w:space="0" w:color="808080" w:themeColor="background1" w:themeShade="80"/>
              <w:right w:val="nil"/>
            </w:tcBorders>
            <w:shd w:val="clear" w:color="auto" w:fill="auto"/>
            <w:vAlign w:val="center"/>
          </w:tcPr>
          <w:p w14:paraId="4D77D3F7" w14:textId="77777777" w:rsidR="00EA2B5F" w:rsidRPr="00F25EBD" w:rsidRDefault="00EA2B5F" w:rsidP="005D522F">
            <w:pPr>
              <w:spacing w:after="0" w:line="240" w:lineRule="auto"/>
              <w:jc w:val="center"/>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sz w:val="18"/>
                <w:szCs w:val="18"/>
                <w:lang w:eastAsia="pl-PL"/>
              </w:rPr>
              <w:t>zmiana 2010=100%</w:t>
            </w:r>
          </w:p>
        </w:tc>
        <w:tc>
          <w:tcPr>
            <w:tcW w:w="832" w:type="dxa"/>
            <w:tcBorders>
              <w:top w:val="single" w:sz="4" w:space="0" w:color="808080" w:themeColor="background1" w:themeShade="80"/>
              <w:left w:val="nil"/>
              <w:bottom w:val="single" w:sz="4" w:space="0" w:color="808080" w:themeColor="background1" w:themeShade="80"/>
              <w:right w:val="nil"/>
            </w:tcBorders>
            <w:shd w:val="clear" w:color="auto" w:fill="auto"/>
            <w:noWrap/>
            <w:vAlign w:val="center"/>
            <w:hideMark/>
          </w:tcPr>
          <w:p w14:paraId="090B870C" w14:textId="77777777" w:rsidR="00EA2B5F" w:rsidRPr="00F25EBD" w:rsidRDefault="00EA2B5F" w:rsidP="005D522F">
            <w:pPr>
              <w:spacing w:after="0" w:line="240" w:lineRule="auto"/>
              <w:jc w:val="center"/>
              <w:rPr>
                <w:rFonts w:asciiTheme="majorHAnsi" w:eastAsia="Times New Roman" w:hAnsiTheme="majorHAnsi" w:cstheme="majorHAnsi"/>
                <w:sz w:val="20"/>
                <w:szCs w:val="20"/>
                <w:lang w:eastAsia="pl-PL"/>
              </w:rPr>
            </w:pPr>
            <w:r w:rsidRPr="00F25EBD">
              <w:rPr>
                <w:rFonts w:asciiTheme="majorHAnsi" w:eastAsia="Times New Roman" w:hAnsiTheme="majorHAnsi" w:cstheme="majorHAnsi"/>
                <w:sz w:val="20"/>
                <w:szCs w:val="20"/>
                <w:lang w:eastAsia="pl-PL"/>
              </w:rPr>
              <w:t>100,0</w:t>
            </w:r>
          </w:p>
        </w:tc>
        <w:tc>
          <w:tcPr>
            <w:tcW w:w="833" w:type="dxa"/>
            <w:tcBorders>
              <w:top w:val="single" w:sz="4" w:space="0" w:color="808080" w:themeColor="background1" w:themeShade="80"/>
              <w:left w:val="nil"/>
              <w:bottom w:val="single" w:sz="4" w:space="0" w:color="808080" w:themeColor="background1" w:themeShade="80"/>
              <w:right w:val="nil"/>
            </w:tcBorders>
            <w:shd w:val="clear" w:color="auto" w:fill="auto"/>
            <w:noWrap/>
            <w:vAlign w:val="center"/>
            <w:hideMark/>
          </w:tcPr>
          <w:p w14:paraId="1A488272" w14:textId="77777777" w:rsidR="00EA2B5F" w:rsidRPr="00F25EBD" w:rsidRDefault="00EA2B5F" w:rsidP="005D522F">
            <w:pPr>
              <w:spacing w:after="0" w:line="240" w:lineRule="auto"/>
              <w:jc w:val="center"/>
              <w:rPr>
                <w:rFonts w:asciiTheme="majorHAnsi" w:eastAsia="Times New Roman" w:hAnsiTheme="majorHAnsi" w:cstheme="majorHAnsi"/>
                <w:sz w:val="20"/>
                <w:szCs w:val="20"/>
                <w:lang w:eastAsia="pl-PL"/>
              </w:rPr>
            </w:pPr>
            <w:r w:rsidRPr="00F25EBD">
              <w:rPr>
                <w:rFonts w:asciiTheme="majorHAnsi" w:eastAsia="Times New Roman" w:hAnsiTheme="majorHAnsi" w:cstheme="majorHAnsi"/>
                <w:sz w:val="20"/>
                <w:szCs w:val="20"/>
                <w:lang w:eastAsia="pl-PL"/>
              </w:rPr>
              <w:t>-</w:t>
            </w:r>
          </w:p>
        </w:tc>
        <w:tc>
          <w:tcPr>
            <w:tcW w:w="832" w:type="dxa"/>
            <w:tcBorders>
              <w:top w:val="single" w:sz="4" w:space="0" w:color="808080" w:themeColor="background1" w:themeShade="80"/>
              <w:left w:val="nil"/>
              <w:bottom w:val="single" w:sz="4" w:space="0" w:color="808080" w:themeColor="background1" w:themeShade="80"/>
              <w:right w:val="nil"/>
            </w:tcBorders>
            <w:shd w:val="clear" w:color="auto" w:fill="auto"/>
            <w:noWrap/>
            <w:vAlign w:val="center"/>
            <w:hideMark/>
          </w:tcPr>
          <w:p w14:paraId="6AC113E5" w14:textId="77777777" w:rsidR="00EA2B5F" w:rsidRPr="00F25EBD" w:rsidRDefault="00EA2B5F" w:rsidP="005D522F">
            <w:pPr>
              <w:spacing w:after="0" w:line="240" w:lineRule="auto"/>
              <w:jc w:val="center"/>
              <w:rPr>
                <w:rFonts w:asciiTheme="majorHAnsi" w:eastAsia="Times New Roman" w:hAnsiTheme="majorHAnsi" w:cstheme="majorHAnsi"/>
                <w:sz w:val="20"/>
                <w:szCs w:val="20"/>
                <w:lang w:eastAsia="pl-PL"/>
              </w:rPr>
            </w:pPr>
            <w:r w:rsidRPr="00F25EBD">
              <w:rPr>
                <w:rFonts w:asciiTheme="majorHAnsi" w:eastAsia="Times New Roman" w:hAnsiTheme="majorHAnsi" w:cstheme="majorHAnsi"/>
                <w:sz w:val="20"/>
                <w:szCs w:val="20"/>
                <w:lang w:eastAsia="pl-PL"/>
              </w:rPr>
              <w:t>-</w:t>
            </w:r>
          </w:p>
        </w:tc>
        <w:tc>
          <w:tcPr>
            <w:tcW w:w="833" w:type="dxa"/>
            <w:tcBorders>
              <w:top w:val="single" w:sz="4" w:space="0" w:color="808080" w:themeColor="background1" w:themeShade="80"/>
              <w:left w:val="nil"/>
              <w:bottom w:val="single" w:sz="4" w:space="0" w:color="808080" w:themeColor="background1" w:themeShade="80"/>
              <w:right w:val="nil"/>
            </w:tcBorders>
            <w:shd w:val="clear" w:color="auto" w:fill="auto"/>
            <w:noWrap/>
            <w:vAlign w:val="center"/>
            <w:hideMark/>
          </w:tcPr>
          <w:p w14:paraId="0C253925" w14:textId="77777777" w:rsidR="00EA2B5F" w:rsidRPr="00F25EBD" w:rsidRDefault="00EA2B5F" w:rsidP="005D522F">
            <w:pPr>
              <w:spacing w:after="0" w:line="240" w:lineRule="auto"/>
              <w:jc w:val="center"/>
              <w:rPr>
                <w:rFonts w:asciiTheme="majorHAnsi" w:eastAsia="Times New Roman" w:hAnsiTheme="majorHAnsi" w:cstheme="majorHAnsi"/>
                <w:sz w:val="20"/>
                <w:szCs w:val="20"/>
                <w:lang w:eastAsia="pl-PL"/>
              </w:rPr>
            </w:pPr>
            <w:r w:rsidRPr="00F25EBD">
              <w:rPr>
                <w:rFonts w:asciiTheme="majorHAnsi" w:eastAsia="Times New Roman" w:hAnsiTheme="majorHAnsi" w:cstheme="majorHAnsi"/>
                <w:sz w:val="20"/>
                <w:szCs w:val="20"/>
                <w:lang w:eastAsia="pl-PL"/>
              </w:rPr>
              <w:t>0,0</w:t>
            </w:r>
          </w:p>
        </w:tc>
      </w:tr>
      <w:tr w:rsidR="00EA2B5F" w:rsidRPr="00F25EBD" w14:paraId="34592804" w14:textId="77777777" w:rsidTr="005D522F">
        <w:trPr>
          <w:trHeight w:val="288"/>
        </w:trPr>
        <w:tc>
          <w:tcPr>
            <w:tcW w:w="4039" w:type="dxa"/>
            <w:vMerge w:val="restart"/>
            <w:tcBorders>
              <w:top w:val="single" w:sz="4" w:space="0" w:color="808080" w:themeColor="background1" w:themeShade="80"/>
              <w:left w:val="nil"/>
              <w:bottom w:val="single" w:sz="4" w:space="0" w:color="808080" w:themeColor="background1" w:themeShade="80"/>
              <w:right w:val="nil"/>
            </w:tcBorders>
            <w:shd w:val="clear" w:color="auto" w:fill="auto"/>
            <w:noWrap/>
            <w:vAlign w:val="center"/>
            <w:hideMark/>
          </w:tcPr>
          <w:p w14:paraId="34CB8815" w14:textId="77777777" w:rsidR="00EA2B5F" w:rsidRPr="00F25EBD" w:rsidRDefault="00EA2B5F" w:rsidP="005D522F">
            <w:pPr>
              <w:spacing w:after="0" w:line="240" w:lineRule="auto"/>
              <w:rPr>
                <w:rFonts w:asciiTheme="majorHAnsi" w:eastAsia="Times New Roman" w:hAnsiTheme="majorHAnsi" w:cstheme="majorHAnsi"/>
                <w:sz w:val="20"/>
                <w:szCs w:val="20"/>
                <w:lang w:eastAsia="pl-PL"/>
              </w:rPr>
            </w:pPr>
            <w:r w:rsidRPr="00F25EBD">
              <w:rPr>
                <w:rFonts w:asciiTheme="majorHAnsi" w:eastAsia="Times New Roman" w:hAnsiTheme="majorHAnsi" w:cstheme="majorHAnsi"/>
                <w:sz w:val="20"/>
                <w:szCs w:val="20"/>
                <w:lang w:eastAsia="pl-PL"/>
              </w:rPr>
              <w:t>Korty tenisowe (otwarte)</w:t>
            </w:r>
          </w:p>
        </w:tc>
        <w:tc>
          <w:tcPr>
            <w:tcW w:w="1843" w:type="dxa"/>
            <w:tcBorders>
              <w:top w:val="single" w:sz="4" w:space="0" w:color="808080" w:themeColor="background1" w:themeShade="80"/>
              <w:left w:val="nil"/>
              <w:bottom w:val="single" w:sz="4" w:space="0" w:color="808080" w:themeColor="background1" w:themeShade="80"/>
              <w:right w:val="nil"/>
            </w:tcBorders>
            <w:shd w:val="clear" w:color="auto" w:fill="auto"/>
            <w:vAlign w:val="center"/>
          </w:tcPr>
          <w:p w14:paraId="7F305F99" w14:textId="77777777" w:rsidR="00EA2B5F" w:rsidRPr="00F25EBD" w:rsidRDefault="00EA2B5F" w:rsidP="005D522F">
            <w:pPr>
              <w:spacing w:after="0" w:line="240" w:lineRule="auto"/>
              <w:jc w:val="center"/>
              <w:rPr>
                <w:rFonts w:asciiTheme="majorHAnsi" w:eastAsia="Times New Roman" w:hAnsiTheme="majorHAnsi" w:cstheme="majorHAnsi"/>
                <w:sz w:val="20"/>
                <w:szCs w:val="20"/>
                <w:lang w:eastAsia="pl-PL"/>
              </w:rPr>
            </w:pPr>
            <w:r w:rsidRPr="00F25EBD">
              <w:rPr>
                <w:rFonts w:asciiTheme="majorHAnsi" w:eastAsia="Times New Roman" w:hAnsiTheme="majorHAnsi" w:cstheme="majorHAnsi"/>
                <w:sz w:val="18"/>
                <w:szCs w:val="18"/>
                <w:lang w:eastAsia="pl-PL"/>
              </w:rPr>
              <w:t>2018</w:t>
            </w:r>
          </w:p>
        </w:tc>
        <w:tc>
          <w:tcPr>
            <w:tcW w:w="832" w:type="dxa"/>
            <w:tcBorders>
              <w:top w:val="single" w:sz="4" w:space="0" w:color="808080" w:themeColor="background1" w:themeShade="80"/>
              <w:left w:val="nil"/>
              <w:bottom w:val="single" w:sz="4" w:space="0" w:color="808080" w:themeColor="background1" w:themeShade="80"/>
              <w:right w:val="nil"/>
            </w:tcBorders>
            <w:shd w:val="clear" w:color="auto" w:fill="auto"/>
            <w:noWrap/>
            <w:vAlign w:val="center"/>
            <w:hideMark/>
          </w:tcPr>
          <w:p w14:paraId="7DD065D7" w14:textId="77777777" w:rsidR="00EA2B5F" w:rsidRPr="00F25EBD" w:rsidRDefault="00EA2B5F" w:rsidP="005D522F">
            <w:pPr>
              <w:spacing w:after="0" w:line="240" w:lineRule="auto"/>
              <w:jc w:val="center"/>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3</w:t>
            </w:r>
          </w:p>
        </w:tc>
        <w:tc>
          <w:tcPr>
            <w:tcW w:w="833" w:type="dxa"/>
            <w:tcBorders>
              <w:top w:val="single" w:sz="4" w:space="0" w:color="808080" w:themeColor="background1" w:themeShade="80"/>
              <w:left w:val="nil"/>
              <w:bottom w:val="single" w:sz="4" w:space="0" w:color="808080" w:themeColor="background1" w:themeShade="80"/>
              <w:right w:val="nil"/>
            </w:tcBorders>
            <w:shd w:val="clear" w:color="auto" w:fill="auto"/>
            <w:noWrap/>
            <w:vAlign w:val="center"/>
            <w:hideMark/>
          </w:tcPr>
          <w:p w14:paraId="3EDFF3A6" w14:textId="77777777" w:rsidR="00EA2B5F" w:rsidRPr="00F25EBD" w:rsidRDefault="00EA2B5F" w:rsidP="005D522F">
            <w:pPr>
              <w:spacing w:after="0" w:line="240" w:lineRule="auto"/>
              <w:jc w:val="center"/>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0</w:t>
            </w:r>
          </w:p>
        </w:tc>
        <w:tc>
          <w:tcPr>
            <w:tcW w:w="832" w:type="dxa"/>
            <w:tcBorders>
              <w:top w:val="single" w:sz="4" w:space="0" w:color="808080" w:themeColor="background1" w:themeShade="80"/>
              <w:left w:val="nil"/>
              <w:bottom w:val="single" w:sz="4" w:space="0" w:color="808080" w:themeColor="background1" w:themeShade="80"/>
              <w:right w:val="nil"/>
            </w:tcBorders>
            <w:shd w:val="clear" w:color="auto" w:fill="auto"/>
            <w:noWrap/>
            <w:vAlign w:val="center"/>
            <w:hideMark/>
          </w:tcPr>
          <w:p w14:paraId="3092FB9A" w14:textId="77777777" w:rsidR="00EA2B5F" w:rsidRPr="00F25EBD" w:rsidRDefault="00EA2B5F" w:rsidP="005D522F">
            <w:pPr>
              <w:spacing w:after="0" w:line="240" w:lineRule="auto"/>
              <w:jc w:val="center"/>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0</w:t>
            </w:r>
          </w:p>
        </w:tc>
        <w:tc>
          <w:tcPr>
            <w:tcW w:w="833" w:type="dxa"/>
            <w:tcBorders>
              <w:top w:val="single" w:sz="4" w:space="0" w:color="808080" w:themeColor="background1" w:themeShade="80"/>
              <w:left w:val="nil"/>
              <w:bottom w:val="single" w:sz="4" w:space="0" w:color="808080" w:themeColor="background1" w:themeShade="80"/>
              <w:right w:val="nil"/>
            </w:tcBorders>
            <w:shd w:val="clear" w:color="auto" w:fill="auto"/>
            <w:noWrap/>
            <w:vAlign w:val="center"/>
            <w:hideMark/>
          </w:tcPr>
          <w:p w14:paraId="11CB03B0" w14:textId="77777777" w:rsidR="00EA2B5F" w:rsidRPr="00F25EBD" w:rsidRDefault="00EA2B5F" w:rsidP="005D522F">
            <w:pPr>
              <w:spacing w:after="0" w:line="240" w:lineRule="auto"/>
              <w:jc w:val="center"/>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6</w:t>
            </w:r>
          </w:p>
        </w:tc>
      </w:tr>
      <w:tr w:rsidR="00EA2B5F" w:rsidRPr="00F25EBD" w14:paraId="7661C08F" w14:textId="77777777" w:rsidTr="005D522F">
        <w:trPr>
          <w:trHeight w:val="288"/>
        </w:trPr>
        <w:tc>
          <w:tcPr>
            <w:tcW w:w="4039" w:type="dxa"/>
            <w:vMerge/>
            <w:tcBorders>
              <w:top w:val="single" w:sz="4" w:space="0" w:color="808080" w:themeColor="background1" w:themeShade="80"/>
              <w:left w:val="nil"/>
              <w:bottom w:val="single" w:sz="4" w:space="0" w:color="808080" w:themeColor="background1" w:themeShade="80"/>
              <w:right w:val="nil"/>
            </w:tcBorders>
            <w:shd w:val="clear" w:color="auto" w:fill="auto"/>
            <w:noWrap/>
            <w:vAlign w:val="center"/>
            <w:hideMark/>
          </w:tcPr>
          <w:p w14:paraId="5B60FA51" w14:textId="77777777" w:rsidR="00EA2B5F" w:rsidRPr="00F25EBD" w:rsidRDefault="00EA2B5F" w:rsidP="005D522F">
            <w:pPr>
              <w:spacing w:after="0" w:line="240" w:lineRule="auto"/>
              <w:rPr>
                <w:rFonts w:asciiTheme="majorHAnsi" w:eastAsia="Times New Roman" w:hAnsiTheme="majorHAnsi" w:cstheme="majorHAnsi"/>
                <w:color w:val="000000"/>
                <w:sz w:val="20"/>
                <w:szCs w:val="20"/>
                <w:lang w:eastAsia="pl-PL"/>
              </w:rPr>
            </w:pPr>
          </w:p>
        </w:tc>
        <w:tc>
          <w:tcPr>
            <w:tcW w:w="1843" w:type="dxa"/>
            <w:tcBorders>
              <w:top w:val="single" w:sz="4" w:space="0" w:color="808080" w:themeColor="background1" w:themeShade="80"/>
              <w:left w:val="nil"/>
              <w:bottom w:val="single" w:sz="4" w:space="0" w:color="808080" w:themeColor="background1" w:themeShade="80"/>
              <w:right w:val="nil"/>
            </w:tcBorders>
            <w:shd w:val="clear" w:color="auto" w:fill="auto"/>
            <w:vAlign w:val="center"/>
          </w:tcPr>
          <w:p w14:paraId="326FDF9A" w14:textId="77777777" w:rsidR="00EA2B5F" w:rsidRPr="00F25EBD" w:rsidRDefault="00EA2B5F" w:rsidP="005D522F">
            <w:pPr>
              <w:spacing w:after="0" w:line="240" w:lineRule="auto"/>
              <w:jc w:val="center"/>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sz w:val="18"/>
                <w:szCs w:val="18"/>
                <w:lang w:eastAsia="pl-PL"/>
              </w:rPr>
              <w:t>zmiana 2010=100%</w:t>
            </w:r>
          </w:p>
        </w:tc>
        <w:tc>
          <w:tcPr>
            <w:tcW w:w="832" w:type="dxa"/>
            <w:tcBorders>
              <w:top w:val="single" w:sz="4" w:space="0" w:color="808080" w:themeColor="background1" w:themeShade="80"/>
              <w:left w:val="nil"/>
              <w:bottom w:val="single" w:sz="4" w:space="0" w:color="808080" w:themeColor="background1" w:themeShade="80"/>
              <w:right w:val="nil"/>
            </w:tcBorders>
            <w:shd w:val="clear" w:color="auto" w:fill="auto"/>
            <w:noWrap/>
            <w:vAlign w:val="center"/>
            <w:hideMark/>
          </w:tcPr>
          <w:p w14:paraId="08E1D930" w14:textId="77777777" w:rsidR="00EA2B5F" w:rsidRPr="00F25EBD" w:rsidRDefault="00EA2B5F" w:rsidP="005D522F">
            <w:pPr>
              <w:spacing w:after="0" w:line="240" w:lineRule="auto"/>
              <w:jc w:val="center"/>
              <w:rPr>
                <w:rFonts w:asciiTheme="majorHAnsi" w:eastAsia="Times New Roman" w:hAnsiTheme="majorHAnsi" w:cstheme="majorHAnsi"/>
                <w:sz w:val="20"/>
                <w:szCs w:val="20"/>
                <w:lang w:eastAsia="pl-PL"/>
              </w:rPr>
            </w:pPr>
            <w:r w:rsidRPr="00F25EBD">
              <w:rPr>
                <w:rFonts w:asciiTheme="majorHAnsi" w:eastAsia="Times New Roman" w:hAnsiTheme="majorHAnsi" w:cstheme="majorHAnsi"/>
                <w:sz w:val="20"/>
                <w:szCs w:val="20"/>
                <w:lang w:eastAsia="pl-PL"/>
              </w:rPr>
              <w:t>50,0</w:t>
            </w:r>
          </w:p>
        </w:tc>
        <w:tc>
          <w:tcPr>
            <w:tcW w:w="833" w:type="dxa"/>
            <w:tcBorders>
              <w:top w:val="single" w:sz="4" w:space="0" w:color="808080" w:themeColor="background1" w:themeShade="80"/>
              <w:left w:val="nil"/>
              <w:bottom w:val="single" w:sz="4" w:space="0" w:color="808080" w:themeColor="background1" w:themeShade="80"/>
              <w:right w:val="nil"/>
            </w:tcBorders>
            <w:shd w:val="clear" w:color="auto" w:fill="auto"/>
            <w:noWrap/>
            <w:vAlign w:val="center"/>
            <w:hideMark/>
          </w:tcPr>
          <w:p w14:paraId="5B55A96D" w14:textId="77777777" w:rsidR="00EA2B5F" w:rsidRPr="00F25EBD" w:rsidRDefault="00EA2B5F" w:rsidP="005D522F">
            <w:pPr>
              <w:spacing w:after="0" w:line="240" w:lineRule="auto"/>
              <w:jc w:val="center"/>
              <w:rPr>
                <w:rFonts w:asciiTheme="majorHAnsi" w:eastAsia="Times New Roman" w:hAnsiTheme="majorHAnsi" w:cstheme="majorHAnsi"/>
                <w:sz w:val="20"/>
                <w:szCs w:val="20"/>
                <w:lang w:eastAsia="pl-PL"/>
              </w:rPr>
            </w:pPr>
            <w:r w:rsidRPr="00F25EBD">
              <w:rPr>
                <w:rFonts w:asciiTheme="majorHAnsi" w:eastAsia="Times New Roman" w:hAnsiTheme="majorHAnsi" w:cstheme="majorHAnsi"/>
                <w:sz w:val="20"/>
                <w:szCs w:val="20"/>
                <w:lang w:eastAsia="pl-PL"/>
              </w:rPr>
              <w:t>-</w:t>
            </w:r>
          </w:p>
        </w:tc>
        <w:tc>
          <w:tcPr>
            <w:tcW w:w="832" w:type="dxa"/>
            <w:tcBorders>
              <w:top w:val="single" w:sz="4" w:space="0" w:color="808080" w:themeColor="background1" w:themeShade="80"/>
              <w:left w:val="nil"/>
              <w:bottom w:val="single" w:sz="4" w:space="0" w:color="808080" w:themeColor="background1" w:themeShade="80"/>
              <w:right w:val="nil"/>
            </w:tcBorders>
            <w:shd w:val="clear" w:color="auto" w:fill="auto"/>
            <w:noWrap/>
            <w:vAlign w:val="center"/>
            <w:hideMark/>
          </w:tcPr>
          <w:p w14:paraId="0051B423" w14:textId="77777777" w:rsidR="00EA2B5F" w:rsidRPr="00F25EBD" w:rsidRDefault="00EA2B5F" w:rsidP="005D522F">
            <w:pPr>
              <w:spacing w:after="0" w:line="240" w:lineRule="auto"/>
              <w:jc w:val="center"/>
              <w:rPr>
                <w:rFonts w:asciiTheme="majorHAnsi" w:eastAsia="Times New Roman" w:hAnsiTheme="majorHAnsi" w:cstheme="majorHAnsi"/>
                <w:sz w:val="20"/>
                <w:szCs w:val="20"/>
                <w:lang w:eastAsia="pl-PL"/>
              </w:rPr>
            </w:pPr>
            <w:r w:rsidRPr="00F25EBD">
              <w:rPr>
                <w:rFonts w:asciiTheme="majorHAnsi" w:eastAsia="Times New Roman" w:hAnsiTheme="majorHAnsi" w:cstheme="majorHAnsi"/>
                <w:sz w:val="20"/>
                <w:szCs w:val="20"/>
                <w:lang w:eastAsia="pl-PL"/>
              </w:rPr>
              <w:t>-</w:t>
            </w:r>
          </w:p>
        </w:tc>
        <w:tc>
          <w:tcPr>
            <w:tcW w:w="833" w:type="dxa"/>
            <w:tcBorders>
              <w:top w:val="single" w:sz="4" w:space="0" w:color="808080" w:themeColor="background1" w:themeShade="80"/>
              <w:left w:val="nil"/>
              <w:bottom w:val="single" w:sz="4" w:space="0" w:color="808080" w:themeColor="background1" w:themeShade="80"/>
              <w:right w:val="nil"/>
            </w:tcBorders>
            <w:shd w:val="clear" w:color="auto" w:fill="auto"/>
            <w:noWrap/>
            <w:vAlign w:val="center"/>
            <w:hideMark/>
          </w:tcPr>
          <w:p w14:paraId="597847A7" w14:textId="77777777" w:rsidR="00EA2B5F" w:rsidRPr="00F25EBD" w:rsidRDefault="00EA2B5F" w:rsidP="005D522F">
            <w:pPr>
              <w:spacing w:after="0" w:line="240" w:lineRule="auto"/>
              <w:jc w:val="center"/>
              <w:rPr>
                <w:rFonts w:asciiTheme="majorHAnsi" w:eastAsia="Times New Roman" w:hAnsiTheme="majorHAnsi" w:cstheme="majorHAnsi"/>
                <w:sz w:val="20"/>
                <w:szCs w:val="20"/>
                <w:lang w:eastAsia="pl-PL"/>
              </w:rPr>
            </w:pPr>
            <w:r w:rsidRPr="00F25EBD">
              <w:rPr>
                <w:rFonts w:asciiTheme="majorHAnsi" w:eastAsia="Times New Roman" w:hAnsiTheme="majorHAnsi" w:cstheme="majorHAnsi"/>
                <w:sz w:val="20"/>
                <w:szCs w:val="20"/>
                <w:lang w:eastAsia="pl-PL"/>
              </w:rPr>
              <w:t>200,0</w:t>
            </w:r>
          </w:p>
        </w:tc>
      </w:tr>
      <w:tr w:rsidR="00EA2B5F" w:rsidRPr="00F25EBD" w14:paraId="49A42D6E" w14:textId="77777777" w:rsidTr="005D522F">
        <w:trPr>
          <w:trHeight w:val="288"/>
        </w:trPr>
        <w:tc>
          <w:tcPr>
            <w:tcW w:w="4039" w:type="dxa"/>
            <w:vMerge w:val="restart"/>
            <w:tcBorders>
              <w:top w:val="single" w:sz="4" w:space="0" w:color="808080" w:themeColor="background1" w:themeShade="80"/>
              <w:left w:val="nil"/>
              <w:bottom w:val="single" w:sz="4" w:space="0" w:color="808080" w:themeColor="background1" w:themeShade="80"/>
              <w:right w:val="nil"/>
            </w:tcBorders>
            <w:shd w:val="clear" w:color="auto" w:fill="auto"/>
            <w:noWrap/>
            <w:vAlign w:val="center"/>
            <w:hideMark/>
          </w:tcPr>
          <w:p w14:paraId="1F2535F2" w14:textId="77777777" w:rsidR="00EA2B5F" w:rsidRPr="00F25EBD" w:rsidRDefault="00EA2B5F" w:rsidP="005D522F">
            <w:pPr>
              <w:spacing w:after="0" w:line="240" w:lineRule="auto"/>
              <w:rPr>
                <w:rFonts w:asciiTheme="majorHAnsi" w:eastAsia="Times New Roman" w:hAnsiTheme="majorHAnsi" w:cstheme="majorHAnsi"/>
                <w:sz w:val="20"/>
                <w:szCs w:val="20"/>
                <w:lang w:eastAsia="pl-PL"/>
              </w:rPr>
            </w:pPr>
            <w:r w:rsidRPr="00F25EBD">
              <w:rPr>
                <w:rFonts w:asciiTheme="majorHAnsi" w:eastAsia="Times New Roman" w:hAnsiTheme="majorHAnsi" w:cstheme="majorHAnsi"/>
                <w:sz w:val="20"/>
                <w:szCs w:val="20"/>
                <w:lang w:eastAsia="pl-PL"/>
              </w:rPr>
              <w:t>Pływalnie kryte</w:t>
            </w:r>
          </w:p>
        </w:tc>
        <w:tc>
          <w:tcPr>
            <w:tcW w:w="1843" w:type="dxa"/>
            <w:tcBorders>
              <w:top w:val="single" w:sz="4" w:space="0" w:color="808080" w:themeColor="background1" w:themeShade="80"/>
              <w:left w:val="nil"/>
              <w:bottom w:val="single" w:sz="4" w:space="0" w:color="808080" w:themeColor="background1" w:themeShade="80"/>
              <w:right w:val="nil"/>
            </w:tcBorders>
            <w:shd w:val="clear" w:color="auto" w:fill="auto"/>
            <w:vAlign w:val="center"/>
          </w:tcPr>
          <w:p w14:paraId="71935276" w14:textId="77777777" w:rsidR="00EA2B5F" w:rsidRPr="00F25EBD" w:rsidRDefault="00EA2B5F" w:rsidP="005D522F">
            <w:pPr>
              <w:spacing w:after="0" w:line="240" w:lineRule="auto"/>
              <w:jc w:val="center"/>
              <w:rPr>
                <w:rFonts w:asciiTheme="majorHAnsi" w:eastAsia="Times New Roman" w:hAnsiTheme="majorHAnsi" w:cstheme="majorHAnsi"/>
                <w:sz w:val="20"/>
                <w:szCs w:val="20"/>
                <w:lang w:eastAsia="pl-PL"/>
              </w:rPr>
            </w:pPr>
            <w:r w:rsidRPr="00F25EBD">
              <w:rPr>
                <w:rFonts w:asciiTheme="majorHAnsi" w:eastAsia="Times New Roman" w:hAnsiTheme="majorHAnsi" w:cstheme="majorHAnsi"/>
                <w:sz w:val="18"/>
                <w:szCs w:val="18"/>
                <w:lang w:eastAsia="pl-PL"/>
              </w:rPr>
              <w:t>2018</w:t>
            </w:r>
          </w:p>
        </w:tc>
        <w:tc>
          <w:tcPr>
            <w:tcW w:w="832" w:type="dxa"/>
            <w:tcBorders>
              <w:top w:val="single" w:sz="4" w:space="0" w:color="808080" w:themeColor="background1" w:themeShade="80"/>
              <w:left w:val="nil"/>
              <w:bottom w:val="single" w:sz="4" w:space="0" w:color="808080" w:themeColor="background1" w:themeShade="80"/>
              <w:right w:val="nil"/>
            </w:tcBorders>
            <w:shd w:val="clear" w:color="auto" w:fill="auto"/>
            <w:noWrap/>
            <w:vAlign w:val="center"/>
            <w:hideMark/>
          </w:tcPr>
          <w:p w14:paraId="3BCF78FF" w14:textId="77777777" w:rsidR="00EA2B5F" w:rsidRPr="00F25EBD" w:rsidRDefault="00EA2B5F" w:rsidP="005D522F">
            <w:pPr>
              <w:spacing w:after="0" w:line="240" w:lineRule="auto"/>
              <w:jc w:val="center"/>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0</w:t>
            </w:r>
          </w:p>
        </w:tc>
        <w:tc>
          <w:tcPr>
            <w:tcW w:w="833" w:type="dxa"/>
            <w:tcBorders>
              <w:top w:val="single" w:sz="4" w:space="0" w:color="808080" w:themeColor="background1" w:themeShade="80"/>
              <w:left w:val="nil"/>
              <w:bottom w:val="single" w:sz="4" w:space="0" w:color="808080" w:themeColor="background1" w:themeShade="80"/>
              <w:right w:val="nil"/>
            </w:tcBorders>
            <w:shd w:val="clear" w:color="auto" w:fill="auto"/>
            <w:noWrap/>
            <w:vAlign w:val="center"/>
            <w:hideMark/>
          </w:tcPr>
          <w:p w14:paraId="2161997E" w14:textId="77777777" w:rsidR="00EA2B5F" w:rsidRPr="00F25EBD" w:rsidRDefault="00EA2B5F" w:rsidP="005D522F">
            <w:pPr>
              <w:spacing w:after="0" w:line="240" w:lineRule="auto"/>
              <w:jc w:val="center"/>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0</w:t>
            </w:r>
          </w:p>
        </w:tc>
        <w:tc>
          <w:tcPr>
            <w:tcW w:w="832" w:type="dxa"/>
            <w:tcBorders>
              <w:top w:val="single" w:sz="4" w:space="0" w:color="808080" w:themeColor="background1" w:themeShade="80"/>
              <w:left w:val="nil"/>
              <w:bottom w:val="single" w:sz="4" w:space="0" w:color="808080" w:themeColor="background1" w:themeShade="80"/>
              <w:right w:val="nil"/>
            </w:tcBorders>
            <w:shd w:val="clear" w:color="auto" w:fill="auto"/>
            <w:noWrap/>
            <w:vAlign w:val="center"/>
            <w:hideMark/>
          </w:tcPr>
          <w:p w14:paraId="384A3BDC" w14:textId="77777777" w:rsidR="00EA2B5F" w:rsidRPr="00F25EBD" w:rsidRDefault="00EA2B5F" w:rsidP="005D522F">
            <w:pPr>
              <w:spacing w:after="0" w:line="240" w:lineRule="auto"/>
              <w:jc w:val="center"/>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1</w:t>
            </w:r>
          </w:p>
        </w:tc>
        <w:tc>
          <w:tcPr>
            <w:tcW w:w="833" w:type="dxa"/>
            <w:tcBorders>
              <w:top w:val="single" w:sz="4" w:space="0" w:color="808080" w:themeColor="background1" w:themeShade="80"/>
              <w:left w:val="nil"/>
              <w:bottom w:val="single" w:sz="4" w:space="0" w:color="808080" w:themeColor="background1" w:themeShade="80"/>
              <w:right w:val="nil"/>
            </w:tcBorders>
            <w:shd w:val="clear" w:color="auto" w:fill="auto"/>
            <w:noWrap/>
            <w:vAlign w:val="center"/>
            <w:hideMark/>
          </w:tcPr>
          <w:p w14:paraId="12E72C89" w14:textId="77777777" w:rsidR="00EA2B5F" w:rsidRPr="00F25EBD" w:rsidRDefault="00EA2B5F" w:rsidP="005D522F">
            <w:pPr>
              <w:spacing w:after="0" w:line="240" w:lineRule="auto"/>
              <w:jc w:val="center"/>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3</w:t>
            </w:r>
          </w:p>
        </w:tc>
      </w:tr>
      <w:tr w:rsidR="00EA2B5F" w:rsidRPr="00F25EBD" w14:paraId="5EEFA9A5" w14:textId="77777777" w:rsidTr="005D522F">
        <w:trPr>
          <w:trHeight w:val="288"/>
        </w:trPr>
        <w:tc>
          <w:tcPr>
            <w:tcW w:w="4039" w:type="dxa"/>
            <w:vMerge/>
            <w:tcBorders>
              <w:top w:val="single" w:sz="4" w:space="0" w:color="808080" w:themeColor="background1" w:themeShade="80"/>
              <w:left w:val="nil"/>
              <w:bottom w:val="single" w:sz="4" w:space="0" w:color="808080" w:themeColor="background1" w:themeShade="80"/>
              <w:right w:val="nil"/>
            </w:tcBorders>
            <w:shd w:val="clear" w:color="auto" w:fill="auto"/>
            <w:noWrap/>
            <w:vAlign w:val="center"/>
            <w:hideMark/>
          </w:tcPr>
          <w:p w14:paraId="3A6FAE80" w14:textId="77777777" w:rsidR="00EA2B5F" w:rsidRPr="00F25EBD" w:rsidRDefault="00EA2B5F" w:rsidP="005D522F">
            <w:pPr>
              <w:spacing w:after="0" w:line="240" w:lineRule="auto"/>
              <w:rPr>
                <w:rFonts w:asciiTheme="majorHAnsi" w:eastAsia="Times New Roman" w:hAnsiTheme="majorHAnsi" w:cstheme="majorHAnsi"/>
                <w:color w:val="000000"/>
                <w:sz w:val="20"/>
                <w:szCs w:val="20"/>
                <w:lang w:eastAsia="pl-PL"/>
              </w:rPr>
            </w:pPr>
          </w:p>
        </w:tc>
        <w:tc>
          <w:tcPr>
            <w:tcW w:w="1843" w:type="dxa"/>
            <w:tcBorders>
              <w:top w:val="single" w:sz="4" w:space="0" w:color="808080" w:themeColor="background1" w:themeShade="80"/>
              <w:left w:val="nil"/>
              <w:bottom w:val="single" w:sz="4" w:space="0" w:color="808080" w:themeColor="background1" w:themeShade="80"/>
              <w:right w:val="nil"/>
            </w:tcBorders>
            <w:shd w:val="clear" w:color="auto" w:fill="auto"/>
            <w:vAlign w:val="center"/>
          </w:tcPr>
          <w:p w14:paraId="698640A9" w14:textId="77777777" w:rsidR="00EA2B5F" w:rsidRPr="00F25EBD" w:rsidRDefault="00EA2B5F" w:rsidP="005D522F">
            <w:pPr>
              <w:spacing w:after="0" w:line="240" w:lineRule="auto"/>
              <w:jc w:val="center"/>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sz w:val="18"/>
                <w:szCs w:val="18"/>
                <w:lang w:eastAsia="pl-PL"/>
              </w:rPr>
              <w:t>zmiana 2010=100%</w:t>
            </w:r>
          </w:p>
        </w:tc>
        <w:tc>
          <w:tcPr>
            <w:tcW w:w="832" w:type="dxa"/>
            <w:tcBorders>
              <w:top w:val="single" w:sz="4" w:space="0" w:color="808080" w:themeColor="background1" w:themeShade="80"/>
              <w:left w:val="nil"/>
              <w:bottom w:val="single" w:sz="4" w:space="0" w:color="808080" w:themeColor="background1" w:themeShade="80"/>
              <w:right w:val="nil"/>
            </w:tcBorders>
            <w:shd w:val="clear" w:color="auto" w:fill="auto"/>
            <w:noWrap/>
            <w:vAlign w:val="center"/>
            <w:hideMark/>
          </w:tcPr>
          <w:p w14:paraId="5E6B7D44" w14:textId="77777777" w:rsidR="00EA2B5F" w:rsidRPr="00F25EBD" w:rsidRDefault="00EA2B5F" w:rsidP="005D522F">
            <w:pPr>
              <w:spacing w:after="0" w:line="240" w:lineRule="auto"/>
              <w:jc w:val="center"/>
              <w:rPr>
                <w:rFonts w:asciiTheme="majorHAnsi" w:eastAsia="Times New Roman" w:hAnsiTheme="majorHAnsi" w:cstheme="majorHAnsi"/>
                <w:sz w:val="20"/>
                <w:szCs w:val="20"/>
                <w:lang w:eastAsia="pl-PL"/>
              </w:rPr>
            </w:pPr>
            <w:r w:rsidRPr="00F25EBD">
              <w:rPr>
                <w:rFonts w:asciiTheme="majorHAnsi" w:eastAsia="Times New Roman" w:hAnsiTheme="majorHAnsi" w:cstheme="majorHAnsi"/>
                <w:sz w:val="20"/>
                <w:szCs w:val="20"/>
                <w:lang w:eastAsia="pl-PL"/>
              </w:rPr>
              <w:t>-</w:t>
            </w:r>
          </w:p>
        </w:tc>
        <w:tc>
          <w:tcPr>
            <w:tcW w:w="833" w:type="dxa"/>
            <w:tcBorders>
              <w:top w:val="single" w:sz="4" w:space="0" w:color="808080" w:themeColor="background1" w:themeShade="80"/>
              <w:left w:val="nil"/>
              <w:bottom w:val="single" w:sz="4" w:space="0" w:color="808080" w:themeColor="background1" w:themeShade="80"/>
              <w:right w:val="nil"/>
            </w:tcBorders>
            <w:shd w:val="clear" w:color="auto" w:fill="auto"/>
            <w:noWrap/>
            <w:vAlign w:val="center"/>
            <w:hideMark/>
          </w:tcPr>
          <w:p w14:paraId="5CB18CCB" w14:textId="77777777" w:rsidR="00EA2B5F" w:rsidRPr="00F25EBD" w:rsidRDefault="00EA2B5F" w:rsidP="005D522F">
            <w:pPr>
              <w:spacing w:after="0" w:line="240" w:lineRule="auto"/>
              <w:jc w:val="center"/>
              <w:rPr>
                <w:rFonts w:asciiTheme="majorHAnsi" w:eastAsia="Times New Roman" w:hAnsiTheme="majorHAnsi" w:cstheme="majorHAnsi"/>
                <w:sz w:val="20"/>
                <w:szCs w:val="20"/>
                <w:lang w:eastAsia="pl-PL"/>
              </w:rPr>
            </w:pPr>
            <w:r w:rsidRPr="00F25EBD">
              <w:rPr>
                <w:rFonts w:asciiTheme="majorHAnsi" w:eastAsia="Times New Roman" w:hAnsiTheme="majorHAnsi" w:cstheme="majorHAnsi"/>
                <w:sz w:val="20"/>
                <w:szCs w:val="20"/>
                <w:lang w:eastAsia="pl-PL"/>
              </w:rPr>
              <w:t>-</w:t>
            </w:r>
          </w:p>
        </w:tc>
        <w:tc>
          <w:tcPr>
            <w:tcW w:w="832" w:type="dxa"/>
            <w:tcBorders>
              <w:top w:val="single" w:sz="4" w:space="0" w:color="808080" w:themeColor="background1" w:themeShade="80"/>
              <w:left w:val="nil"/>
              <w:bottom w:val="single" w:sz="4" w:space="0" w:color="808080" w:themeColor="background1" w:themeShade="80"/>
              <w:right w:val="nil"/>
            </w:tcBorders>
            <w:shd w:val="clear" w:color="auto" w:fill="auto"/>
            <w:noWrap/>
            <w:vAlign w:val="center"/>
            <w:hideMark/>
          </w:tcPr>
          <w:p w14:paraId="22732196" w14:textId="77777777" w:rsidR="00EA2B5F" w:rsidRPr="00F25EBD" w:rsidRDefault="00EA2B5F" w:rsidP="005D522F">
            <w:pPr>
              <w:spacing w:after="0" w:line="240" w:lineRule="auto"/>
              <w:jc w:val="center"/>
              <w:rPr>
                <w:rFonts w:asciiTheme="majorHAnsi" w:eastAsia="Times New Roman" w:hAnsiTheme="majorHAnsi" w:cstheme="majorHAnsi"/>
                <w:sz w:val="20"/>
                <w:szCs w:val="20"/>
                <w:lang w:eastAsia="pl-PL"/>
              </w:rPr>
            </w:pPr>
            <w:r w:rsidRPr="00F25EBD">
              <w:rPr>
                <w:rFonts w:asciiTheme="majorHAnsi" w:eastAsia="Times New Roman" w:hAnsiTheme="majorHAnsi" w:cstheme="majorHAnsi"/>
                <w:sz w:val="20"/>
                <w:szCs w:val="20"/>
                <w:lang w:eastAsia="pl-PL"/>
              </w:rPr>
              <w:t>0,0</w:t>
            </w:r>
          </w:p>
        </w:tc>
        <w:tc>
          <w:tcPr>
            <w:tcW w:w="833" w:type="dxa"/>
            <w:tcBorders>
              <w:top w:val="single" w:sz="4" w:space="0" w:color="808080" w:themeColor="background1" w:themeShade="80"/>
              <w:left w:val="nil"/>
              <w:bottom w:val="single" w:sz="4" w:space="0" w:color="808080" w:themeColor="background1" w:themeShade="80"/>
              <w:right w:val="nil"/>
            </w:tcBorders>
            <w:shd w:val="clear" w:color="auto" w:fill="auto"/>
            <w:noWrap/>
            <w:vAlign w:val="center"/>
            <w:hideMark/>
          </w:tcPr>
          <w:p w14:paraId="35DC492A" w14:textId="77777777" w:rsidR="00EA2B5F" w:rsidRPr="00F25EBD" w:rsidRDefault="00EA2B5F" w:rsidP="005D522F">
            <w:pPr>
              <w:spacing w:after="0" w:line="240" w:lineRule="auto"/>
              <w:jc w:val="center"/>
              <w:rPr>
                <w:rFonts w:asciiTheme="majorHAnsi" w:eastAsia="Times New Roman" w:hAnsiTheme="majorHAnsi" w:cstheme="majorHAnsi"/>
                <w:sz w:val="20"/>
                <w:szCs w:val="20"/>
                <w:lang w:eastAsia="pl-PL"/>
              </w:rPr>
            </w:pPr>
            <w:r w:rsidRPr="00F25EBD">
              <w:rPr>
                <w:rFonts w:asciiTheme="majorHAnsi" w:eastAsia="Times New Roman" w:hAnsiTheme="majorHAnsi" w:cstheme="majorHAnsi"/>
                <w:sz w:val="20"/>
                <w:szCs w:val="20"/>
                <w:lang w:eastAsia="pl-PL"/>
              </w:rPr>
              <w:t>200,0</w:t>
            </w:r>
          </w:p>
        </w:tc>
      </w:tr>
      <w:tr w:rsidR="00EA2B5F" w:rsidRPr="00F25EBD" w14:paraId="6438CAEB" w14:textId="77777777" w:rsidTr="005D522F">
        <w:trPr>
          <w:trHeight w:val="288"/>
        </w:trPr>
        <w:tc>
          <w:tcPr>
            <w:tcW w:w="4039" w:type="dxa"/>
            <w:vMerge w:val="restart"/>
            <w:tcBorders>
              <w:top w:val="single" w:sz="4" w:space="0" w:color="808080" w:themeColor="background1" w:themeShade="80"/>
              <w:left w:val="nil"/>
              <w:bottom w:val="single" w:sz="4" w:space="0" w:color="808080" w:themeColor="background1" w:themeShade="80"/>
              <w:right w:val="nil"/>
            </w:tcBorders>
            <w:shd w:val="clear" w:color="auto" w:fill="auto"/>
            <w:noWrap/>
            <w:vAlign w:val="center"/>
            <w:hideMark/>
          </w:tcPr>
          <w:p w14:paraId="2B4C1388" w14:textId="77777777" w:rsidR="00EA2B5F" w:rsidRPr="00F25EBD" w:rsidRDefault="00EA2B5F" w:rsidP="005D522F">
            <w:pPr>
              <w:spacing w:after="0" w:line="240" w:lineRule="auto"/>
              <w:rPr>
                <w:rFonts w:asciiTheme="majorHAnsi" w:eastAsia="Times New Roman" w:hAnsiTheme="majorHAnsi" w:cstheme="majorHAnsi"/>
                <w:sz w:val="20"/>
                <w:szCs w:val="20"/>
                <w:lang w:eastAsia="pl-PL"/>
              </w:rPr>
            </w:pPr>
            <w:r w:rsidRPr="00F25EBD">
              <w:rPr>
                <w:rFonts w:asciiTheme="majorHAnsi" w:eastAsia="Times New Roman" w:hAnsiTheme="majorHAnsi" w:cstheme="majorHAnsi"/>
                <w:sz w:val="20"/>
                <w:szCs w:val="20"/>
                <w:lang w:eastAsia="pl-PL"/>
              </w:rPr>
              <w:t>Strzelnice</w:t>
            </w:r>
          </w:p>
        </w:tc>
        <w:tc>
          <w:tcPr>
            <w:tcW w:w="1843" w:type="dxa"/>
            <w:tcBorders>
              <w:top w:val="single" w:sz="4" w:space="0" w:color="808080" w:themeColor="background1" w:themeShade="80"/>
              <w:left w:val="nil"/>
              <w:bottom w:val="single" w:sz="4" w:space="0" w:color="808080" w:themeColor="background1" w:themeShade="80"/>
              <w:right w:val="nil"/>
            </w:tcBorders>
            <w:shd w:val="clear" w:color="auto" w:fill="auto"/>
            <w:vAlign w:val="center"/>
          </w:tcPr>
          <w:p w14:paraId="20961429" w14:textId="77777777" w:rsidR="00EA2B5F" w:rsidRPr="00F25EBD" w:rsidRDefault="00EA2B5F" w:rsidP="005D522F">
            <w:pPr>
              <w:spacing w:after="0" w:line="240" w:lineRule="auto"/>
              <w:jc w:val="center"/>
              <w:rPr>
                <w:rFonts w:asciiTheme="majorHAnsi" w:eastAsia="Times New Roman" w:hAnsiTheme="majorHAnsi" w:cstheme="majorHAnsi"/>
                <w:sz w:val="20"/>
                <w:szCs w:val="20"/>
                <w:lang w:eastAsia="pl-PL"/>
              </w:rPr>
            </w:pPr>
            <w:r w:rsidRPr="00F25EBD">
              <w:rPr>
                <w:rFonts w:asciiTheme="majorHAnsi" w:eastAsia="Times New Roman" w:hAnsiTheme="majorHAnsi" w:cstheme="majorHAnsi"/>
                <w:sz w:val="18"/>
                <w:szCs w:val="18"/>
                <w:lang w:eastAsia="pl-PL"/>
              </w:rPr>
              <w:t>2018</w:t>
            </w:r>
          </w:p>
        </w:tc>
        <w:tc>
          <w:tcPr>
            <w:tcW w:w="832" w:type="dxa"/>
            <w:tcBorders>
              <w:top w:val="single" w:sz="4" w:space="0" w:color="808080" w:themeColor="background1" w:themeShade="80"/>
              <w:left w:val="nil"/>
              <w:bottom w:val="single" w:sz="4" w:space="0" w:color="808080" w:themeColor="background1" w:themeShade="80"/>
              <w:right w:val="nil"/>
            </w:tcBorders>
            <w:shd w:val="clear" w:color="auto" w:fill="auto"/>
            <w:noWrap/>
            <w:vAlign w:val="center"/>
            <w:hideMark/>
          </w:tcPr>
          <w:p w14:paraId="389034DF" w14:textId="77777777" w:rsidR="00EA2B5F" w:rsidRPr="00F25EBD" w:rsidRDefault="00EA2B5F" w:rsidP="005D522F">
            <w:pPr>
              <w:spacing w:after="0" w:line="240" w:lineRule="auto"/>
              <w:jc w:val="center"/>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0</w:t>
            </w:r>
          </w:p>
        </w:tc>
        <w:tc>
          <w:tcPr>
            <w:tcW w:w="833" w:type="dxa"/>
            <w:tcBorders>
              <w:top w:val="single" w:sz="4" w:space="0" w:color="808080" w:themeColor="background1" w:themeShade="80"/>
              <w:left w:val="nil"/>
              <w:bottom w:val="single" w:sz="4" w:space="0" w:color="808080" w:themeColor="background1" w:themeShade="80"/>
              <w:right w:val="nil"/>
            </w:tcBorders>
            <w:shd w:val="clear" w:color="auto" w:fill="auto"/>
            <w:noWrap/>
            <w:vAlign w:val="center"/>
            <w:hideMark/>
          </w:tcPr>
          <w:p w14:paraId="0F492FE6" w14:textId="77777777" w:rsidR="00EA2B5F" w:rsidRPr="00F25EBD" w:rsidRDefault="00EA2B5F" w:rsidP="005D522F">
            <w:pPr>
              <w:spacing w:after="0" w:line="240" w:lineRule="auto"/>
              <w:jc w:val="center"/>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0</w:t>
            </w:r>
          </w:p>
        </w:tc>
        <w:tc>
          <w:tcPr>
            <w:tcW w:w="832" w:type="dxa"/>
            <w:tcBorders>
              <w:top w:val="single" w:sz="4" w:space="0" w:color="808080" w:themeColor="background1" w:themeShade="80"/>
              <w:left w:val="nil"/>
              <w:bottom w:val="single" w:sz="4" w:space="0" w:color="808080" w:themeColor="background1" w:themeShade="80"/>
              <w:right w:val="nil"/>
            </w:tcBorders>
            <w:shd w:val="clear" w:color="auto" w:fill="auto"/>
            <w:noWrap/>
            <w:vAlign w:val="center"/>
            <w:hideMark/>
          </w:tcPr>
          <w:p w14:paraId="05BF38B7" w14:textId="77777777" w:rsidR="00EA2B5F" w:rsidRPr="00F25EBD" w:rsidRDefault="00EA2B5F" w:rsidP="005D522F">
            <w:pPr>
              <w:spacing w:after="0" w:line="240" w:lineRule="auto"/>
              <w:jc w:val="center"/>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0</w:t>
            </w:r>
          </w:p>
        </w:tc>
        <w:tc>
          <w:tcPr>
            <w:tcW w:w="833" w:type="dxa"/>
            <w:tcBorders>
              <w:top w:val="single" w:sz="4" w:space="0" w:color="808080" w:themeColor="background1" w:themeShade="80"/>
              <w:left w:val="nil"/>
              <w:bottom w:val="single" w:sz="4" w:space="0" w:color="808080" w:themeColor="background1" w:themeShade="80"/>
              <w:right w:val="nil"/>
            </w:tcBorders>
            <w:shd w:val="clear" w:color="auto" w:fill="auto"/>
            <w:noWrap/>
            <w:vAlign w:val="center"/>
            <w:hideMark/>
          </w:tcPr>
          <w:p w14:paraId="13EF73C3" w14:textId="77777777" w:rsidR="00EA2B5F" w:rsidRPr="00F25EBD" w:rsidRDefault="00EA2B5F" w:rsidP="005D522F">
            <w:pPr>
              <w:spacing w:after="0" w:line="240" w:lineRule="auto"/>
              <w:jc w:val="center"/>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1</w:t>
            </w:r>
          </w:p>
        </w:tc>
      </w:tr>
      <w:tr w:rsidR="00EA2B5F" w:rsidRPr="00F25EBD" w14:paraId="1302F909" w14:textId="77777777" w:rsidTr="005D522F">
        <w:trPr>
          <w:trHeight w:val="288"/>
        </w:trPr>
        <w:tc>
          <w:tcPr>
            <w:tcW w:w="4039" w:type="dxa"/>
            <w:vMerge/>
            <w:tcBorders>
              <w:top w:val="single" w:sz="4" w:space="0" w:color="808080" w:themeColor="background1" w:themeShade="80"/>
              <w:left w:val="nil"/>
              <w:bottom w:val="single" w:sz="4" w:space="0" w:color="808080" w:themeColor="background1" w:themeShade="80"/>
              <w:right w:val="nil"/>
            </w:tcBorders>
            <w:shd w:val="clear" w:color="auto" w:fill="auto"/>
            <w:noWrap/>
            <w:vAlign w:val="center"/>
            <w:hideMark/>
          </w:tcPr>
          <w:p w14:paraId="71CD735B" w14:textId="77777777" w:rsidR="00EA2B5F" w:rsidRPr="00F25EBD" w:rsidRDefault="00EA2B5F" w:rsidP="005D522F">
            <w:pPr>
              <w:spacing w:after="0" w:line="240" w:lineRule="auto"/>
              <w:rPr>
                <w:rFonts w:asciiTheme="majorHAnsi" w:eastAsia="Times New Roman" w:hAnsiTheme="majorHAnsi" w:cstheme="majorHAnsi"/>
                <w:color w:val="000000"/>
                <w:sz w:val="20"/>
                <w:szCs w:val="20"/>
                <w:lang w:eastAsia="pl-PL"/>
              </w:rPr>
            </w:pPr>
          </w:p>
        </w:tc>
        <w:tc>
          <w:tcPr>
            <w:tcW w:w="1843" w:type="dxa"/>
            <w:tcBorders>
              <w:top w:val="single" w:sz="4" w:space="0" w:color="808080" w:themeColor="background1" w:themeShade="80"/>
              <w:left w:val="nil"/>
              <w:bottom w:val="single" w:sz="4" w:space="0" w:color="808080" w:themeColor="background1" w:themeShade="80"/>
              <w:right w:val="nil"/>
            </w:tcBorders>
            <w:shd w:val="clear" w:color="auto" w:fill="auto"/>
            <w:vAlign w:val="center"/>
          </w:tcPr>
          <w:p w14:paraId="71CF7007" w14:textId="77777777" w:rsidR="00EA2B5F" w:rsidRPr="00F25EBD" w:rsidRDefault="00EA2B5F" w:rsidP="005D522F">
            <w:pPr>
              <w:spacing w:after="0" w:line="240" w:lineRule="auto"/>
              <w:jc w:val="center"/>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sz w:val="18"/>
                <w:szCs w:val="18"/>
                <w:lang w:eastAsia="pl-PL"/>
              </w:rPr>
              <w:t>zmiana 2010=100%</w:t>
            </w:r>
          </w:p>
        </w:tc>
        <w:tc>
          <w:tcPr>
            <w:tcW w:w="832" w:type="dxa"/>
            <w:tcBorders>
              <w:top w:val="single" w:sz="4" w:space="0" w:color="808080" w:themeColor="background1" w:themeShade="80"/>
              <w:left w:val="nil"/>
              <w:bottom w:val="single" w:sz="4" w:space="0" w:color="808080" w:themeColor="background1" w:themeShade="80"/>
              <w:right w:val="nil"/>
            </w:tcBorders>
            <w:shd w:val="clear" w:color="auto" w:fill="auto"/>
            <w:noWrap/>
            <w:vAlign w:val="center"/>
            <w:hideMark/>
          </w:tcPr>
          <w:p w14:paraId="3E09B40E" w14:textId="77777777" w:rsidR="00EA2B5F" w:rsidRPr="00F25EBD" w:rsidRDefault="00EA2B5F" w:rsidP="005D522F">
            <w:pPr>
              <w:spacing w:after="0" w:line="240" w:lineRule="auto"/>
              <w:jc w:val="center"/>
              <w:rPr>
                <w:rFonts w:asciiTheme="majorHAnsi" w:eastAsia="Times New Roman" w:hAnsiTheme="majorHAnsi" w:cstheme="majorHAnsi"/>
                <w:sz w:val="20"/>
                <w:szCs w:val="20"/>
                <w:lang w:eastAsia="pl-PL"/>
              </w:rPr>
            </w:pPr>
            <w:r w:rsidRPr="00F25EBD">
              <w:rPr>
                <w:rFonts w:asciiTheme="majorHAnsi" w:eastAsia="Times New Roman" w:hAnsiTheme="majorHAnsi" w:cstheme="majorHAnsi"/>
                <w:sz w:val="20"/>
                <w:szCs w:val="20"/>
                <w:lang w:eastAsia="pl-PL"/>
              </w:rPr>
              <w:t>-</w:t>
            </w:r>
          </w:p>
        </w:tc>
        <w:tc>
          <w:tcPr>
            <w:tcW w:w="833" w:type="dxa"/>
            <w:tcBorders>
              <w:top w:val="single" w:sz="4" w:space="0" w:color="808080" w:themeColor="background1" w:themeShade="80"/>
              <w:left w:val="nil"/>
              <w:bottom w:val="single" w:sz="4" w:space="0" w:color="808080" w:themeColor="background1" w:themeShade="80"/>
              <w:right w:val="nil"/>
            </w:tcBorders>
            <w:shd w:val="clear" w:color="auto" w:fill="auto"/>
            <w:noWrap/>
            <w:vAlign w:val="center"/>
            <w:hideMark/>
          </w:tcPr>
          <w:p w14:paraId="154D4C23" w14:textId="77777777" w:rsidR="00EA2B5F" w:rsidRPr="00F25EBD" w:rsidRDefault="00EA2B5F" w:rsidP="005D522F">
            <w:pPr>
              <w:spacing w:after="0" w:line="240" w:lineRule="auto"/>
              <w:jc w:val="center"/>
              <w:rPr>
                <w:rFonts w:asciiTheme="majorHAnsi" w:eastAsia="Times New Roman" w:hAnsiTheme="majorHAnsi" w:cstheme="majorHAnsi"/>
                <w:sz w:val="20"/>
                <w:szCs w:val="20"/>
                <w:lang w:eastAsia="pl-PL"/>
              </w:rPr>
            </w:pPr>
            <w:r w:rsidRPr="00F25EBD">
              <w:rPr>
                <w:rFonts w:asciiTheme="majorHAnsi" w:eastAsia="Times New Roman" w:hAnsiTheme="majorHAnsi" w:cstheme="majorHAnsi"/>
                <w:sz w:val="20"/>
                <w:szCs w:val="20"/>
                <w:lang w:eastAsia="pl-PL"/>
              </w:rPr>
              <w:t>-</w:t>
            </w:r>
          </w:p>
        </w:tc>
        <w:tc>
          <w:tcPr>
            <w:tcW w:w="832" w:type="dxa"/>
            <w:tcBorders>
              <w:top w:val="single" w:sz="4" w:space="0" w:color="808080" w:themeColor="background1" w:themeShade="80"/>
              <w:left w:val="nil"/>
              <w:bottom w:val="single" w:sz="4" w:space="0" w:color="808080" w:themeColor="background1" w:themeShade="80"/>
              <w:right w:val="nil"/>
            </w:tcBorders>
            <w:shd w:val="clear" w:color="auto" w:fill="auto"/>
            <w:noWrap/>
            <w:vAlign w:val="center"/>
            <w:hideMark/>
          </w:tcPr>
          <w:p w14:paraId="516EA664" w14:textId="77777777" w:rsidR="00EA2B5F" w:rsidRPr="00F25EBD" w:rsidRDefault="00EA2B5F" w:rsidP="005D522F">
            <w:pPr>
              <w:spacing w:after="0" w:line="240" w:lineRule="auto"/>
              <w:jc w:val="center"/>
              <w:rPr>
                <w:rFonts w:asciiTheme="majorHAnsi" w:eastAsia="Times New Roman" w:hAnsiTheme="majorHAnsi" w:cstheme="majorHAnsi"/>
                <w:sz w:val="20"/>
                <w:szCs w:val="20"/>
                <w:lang w:eastAsia="pl-PL"/>
              </w:rPr>
            </w:pPr>
            <w:r w:rsidRPr="00F25EBD">
              <w:rPr>
                <w:rFonts w:asciiTheme="majorHAnsi" w:eastAsia="Times New Roman" w:hAnsiTheme="majorHAnsi" w:cstheme="majorHAnsi"/>
                <w:sz w:val="20"/>
                <w:szCs w:val="20"/>
                <w:lang w:eastAsia="pl-PL"/>
              </w:rPr>
              <w:t>-</w:t>
            </w:r>
          </w:p>
        </w:tc>
        <w:tc>
          <w:tcPr>
            <w:tcW w:w="833" w:type="dxa"/>
            <w:tcBorders>
              <w:top w:val="single" w:sz="4" w:space="0" w:color="808080" w:themeColor="background1" w:themeShade="80"/>
              <w:left w:val="nil"/>
              <w:bottom w:val="single" w:sz="4" w:space="0" w:color="808080" w:themeColor="background1" w:themeShade="80"/>
              <w:right w:val="nil"/>
            </w:tcBorders>
            <w:shd w:val="clear" w:color="auto" w:fill="auto"/>
            <w:noWrap/>
            <w:vAlign w:val="center"/>
            <w:hideMark/>
          </w:tcPr>
          <w:p w14:paraId="1CF235B4" w14:textId="77777777" w:rsidR="00EA2B5F" w:rsidRPr="00F25EBD" w:rsidRDefault="00EA2B5F" w:rsidP="005D522F">
            <w:pPr>
              <w:spacing w:after="0" w:line="240" w:lineRule="auto"/>
              <w:jc w:val="center"/>
              <w:rPr>
                <w:rFonts w:asciiTheme="majorHAnsi" w:eastAsia="Times New Roman" w:hAnsiTheme="majorHAnsi" w:cstheme="majorHAnsi"/>
                <w:sz w:val="20"/>
                <w:szCs w:val="20"/>
                <w:lang w:eastAsia="pl-PL"/>
              </w:rPr>
            </w:pPr>
            <w:r w:rsidRPr="00F25EBD">
              <w:rPr>
                <w:rFonts w:asciiTheme="majorHAnsi" w:eastAsia="Times New Roman" w:hAnsiTheme="majorHAnsi" w:cstheme="majorHAnsi"/>
                <w:sz w:val="20"/>
                <w:szCs w:val="20"/>
                <w:lang w:eastAsia="pl-PL"/>
              </w:rPr>
              <w:t>0,0</w:t>
            </w:r>
          </w:p>
        </w:tc>
      </w:tr>
      <w:tr w:rsidR="00EA2B5F" w:rsidRPr="00F25EBD" w14:paraId="0AF686E7" w14:textId="77777777" w:rsidTr="005D522F">
        <w:trPr>
          <w:trHeight w:val="288"/>
        </w:trPr>
        <w:tc>
          <w:tcPr>
            <w:tcW w:w="4039" w:type="dxa"/>
            <w:vMerge w:val="restart"/>
            <w:tcBorders>
              <w:top w:val="single" w:sz="4" w:space="0" w:color="808080" w:themeColor="background1" w:themeShade="80"/>
              <w:left w:val="nil"/>
              <w:bottom w:val="single" w:sz="4" w:space="0" w:color="808080" w:themeColor="background1" w:themeShade="80"/>
              <w:right w:val="nil"/>
            </w:tcBorders>
            <w:shd w:val="clear" w:color="auto" w:fill="auto"/>
            <w:noWrap/>
            <w:vAlign w:val="center"/>
            <w:hideMark/>
          </w:tcPr>
          <w:p w14:paraId="74187C0C" w14:textId="77777777" w:rsidR="00EA2B5F" w:rsidRPr="00F25EBD" w:rsidRDefault="00EA2B5F" w:rsidP="005D522F">
            <w:pPr>
              <w:spacing w:after="0" w:line="240" w:lineRule="auto"/>
              <w:rPr>
                <w:rFonts w:asciiTheme="majorHAnsi" w:eastAsia="Times New Roman" w:hAnsiTheme="majorHAnsi" w:cstheme="majorHAnsi"/>
                <w:sz w:val="20"/>
                <w:szCs w:val="20"/>
                <w:lang w:eastAsia="pl-PL"/>
              </w:rPr>
            </w:pPr>
            <w:r w:rsidRPr="00F25EBD">
              <w:rPr>
                <w:rFonts w:asciiTheme="majorHAnsi" w:eastAsia="Times New Roman" w:hAnsiTheme="majorHAnsi" w:cstheme="majorHAnsi"/>
                <w:sz w:val="20"/>
                <w:szCs w:val="20"/>
                <w:lang w:eastAsia="pl-PL"/>
              </w:rPr>
              <w:t>Lodowiska sztuczne</w:t>
            </w:r>
          </w:p>
        </w:tc>
        <w:tc>
          <w:tcPr>
            <w:tcW w:w="1843" w:type="dxa"/>
            <w:tcBorders>
              <w:top w:val="single" w:sz="4" w:space="0" w:color="808080" w:themeColor="background1" w:themeShade="80"/>
              <w:left w:val="nil"/>
              <w:bottom w:val="single" w:sz="4" w:space="0" w:color="808080" w:themeColor="background1" w:themeShade="80"/>
              <w:right w:val="nil"/>
            </w:tcBorders>
            <w:shd w:val="clear" w:color="auto" w:fill="auto"/>
            <w:vAlign w:val="center"/>
          </w:tcPr>
          <w:p w14:paraId="6A5BD7E3" w14:textId="77777777" w:rsidR="00EA2B5F" w:rsidRPr="00F25EBD" w:rsidRDefault="00EA2B5F" w:rsidP="005D522F">
            <w:pPr>
              <w:spacing w:after="0" w:line="240" w:lineRule="auto"/>
              <w:jc w:val="center"/>
              <w:rPr>
                <w:rFonts w:asciiTheme="majorHAnsi" w:eastAsia="Times New Roman" w:hAnsiTheme="majorHAnsi" w:cstheme="majorHAnsi"/>
                <w:sz w:val="20"/>
                <w:szCs w:val="20"/>
                <w:lang w:eastAsia="pl-PL"/>
              </w:rPr>
            </w:pPr>
            <w:r w:rsidRPr="00F25EBD">
              <w:rPr>
                <w:rFonts w:asciiTheme="majorHAnsi" w:eastAsia="Times New Roman" w:hAnsiTheme="majorHAnsi" w:cstheme="majorHAnsi"/>
                <w:sz w:val="18"/>
                <w:szCs w:val="18"/>
                <w:lang w:eastAsia="pl-PL"/>
              </w:rPr>
              <w:t>2018</w:t>
            </w:r>
          </w:p>
        </w:tc>
        <w:tc>
          <w:tcPr>
            <w:tcW w:w="832" w:type="dxa"/>
            <w:tcBorders>
              <w:top w:val="single" w:sz="4" w:space="0" w:color="808080" w:themeColor="background1" w:themeShade="80"/>
              <w:left w:val="nil"/>
              <w:bottom w:val="single" w:sz="4" w:space="0" w:color="808080" w:themeColor="background1" w:themeShade="80"/>
              <w:right w:val="nil"/>
            </w:tcBorders>
            <w:shd w:val="clear" w:color="auto" w:fill="auto"/>
            <w:noWrap/>
            <w:vAlign w:val="center"/>
            <w:hideMark/>
          </w:tcPr>
          <w:p w14:paraId="6075FF4C" w14:textId="77777777" w:rsidR="00EA2B5F" w:rsidRPr="00F25EBD" w:rsidRDefault="00EA2B5F" w:rsidP="005D522F">
            <w:pPr>
              <w:spacing w:after="0" w:line="240" w:lineRule="auto"/>
              <w:jc w:val="center"/>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1</w:t>
            </w:r>
          </w:p>
        </w:tc>
        <w:tc>
          <w:tcPr>
            <w:tcW w:w="833" w:type="dxa"/>
            <w:tcBorders>
              <w:top w:val="single" w:sz="4" w:space="0" w:color="808080" w:themeColor="background1" w:themeShade="80"/>
              <w:left w:val="nil"/>
              <w:bottom w:val="single" w:sz="4" w:space="0" w:color="808080" w:themeColor="background1" w:themeShade="80"/>
              <w:right w:val="nil"/>
            </w:tcBorders>
            <w:shd w:val="clear" w:color="auto" w:fill="auto"/>
            <w:noWrap/>
            <w:vAlign w:val="center"/>
            <w:hideMark/>
          </w:tcPr>
          <w:p w14:paraId="29CFECAA" w14:textId="77777777" w:rsidR="00EA2B5F" w:rsidRPr="00F25EBD" w:rsidRDefault="00EA2B5F" w:rsidP="005D522F">
            <w:pPr>
              <w:spacing w:after="0" w:line="240" w:lineRule="auto"/>
              <w:jc w:val="center"/>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0</w:t>
            </w:r>
          </w:p>
        </w:tc>
        <w:tc>
          <w:tcPr>
            <w:tcW w:w="832" w:type="dxa"/>
            <w:tcBorders>
              <w:top w:val="single" w:sz="4" w:space="0" w:color="808080" w:themeColor="background1" w:themeShade="80"/>
              <w:left w:val="nil"/>
              <w:bottom w:val="single" w:sz="4" w:space="0" w:color="808080" w:themeColor="background1" w:themeShade="80"/>
              <w:right w:val="nil"/>
            </w:tcBorders>
            <w:shd w:val="clear" w:color="auto" w:fill="auto"/>
            <w:noWrap/>
            <w:vAlign w:val="center"/>
            <w:hideMark/>
          </w:tcPr>
          <w:p w14:paraId="28B6F85F" w14:textId="77777777" w:rsidR="00EA2B5F" w:rsidRPr="00F25EBD" w:rsidRDefault="00EA2B5F" w:rsidP="005D522F">
            <w:pPr>
              <w:spacing w:after="0" w:line="240" w:lineRule="auto"/>
              <w:jc w:val="center"/>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0</w:t>
            </w:r>
          </w:p>
        </w:tc>
        <w:tc>
          <w:tcPr>
            <w:tcW w:w="833" w:type="dxa"/>
            <w:tcBorders>
              <w:top w:val="single" w:sz="4" w:space="0" w:color="808080" w:themeColor="background1" w:themeShade="80"/>
              <w:left w:val="nil"/>
              <w:bottom w:val="single" w:sz="4" w:space="0" w:color="808080" w:themeColor="background1" w:themeShade="80"/>
              <w:right w:val="nil"/>
            </w:tcBorders>
            <w:shd w:val="clear" w:color="auto" w:fill="auto"/>
            <w:noWrap/>
            <w:vAlign w:val="center"/>
            <w:hideMark/>
          </w:tcPr>
          <w:p w14:paraId="0E631A59" w14:textId="77777777" w:rsidR="00EA2B5F" w:rsidRPr="00F25EBD" w:rsidRDefault="00EA2B5F" w:rsidP="005D522F">
            <w:pPr>
              <w:spacing w:after="0" w:line="240" w:lineRule="auto"/>
              <w:jc w:val="center"/>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0</w:t>
            </w:r>
          </w:p>
        </w:tc>
      </w:tr>
      <w:tr w:rsidR="00EA2B5F" w:rsidRPr="00F25EBD" w14:paraId="43ED2F01" w14:textId="77777777" w:rsidTr="005D522F">
        <w:trPr>
          <w:trHeight w:val="288"/>
        </w:trPr>
        <w:tc>
          <w:tcPr>
            <w:tcW w:w="4039" w:type="dxa"/>
            <w:vMerge/>
            <w:tcBorders>
              <w:top w:val="single" w:sz="4" w:space="0" w:color="808080" w:themeColor="background1" w:themeShade="80"/>
              <w:left w:val="nil"/>
              <w:bottom w:val="single" w:sz="4" w:space="0" w:color="808080" w:themeColor="background1" w:themeShade="80"/>
              <w:right w:val="nil"/>
            </w:tcBorders>
            <w:shd w:val="clear" w:color="auto" w:fill="auto"/>
            <w:noWrap/>
            <w:vAlign w:val="center"/>
            <w:hideMark/>
          </w:tcPr>
          <w:p w14:paraId="2EA1F2BB" w14:textId="77777777" w:rsidR="00EA2B5F" w:rsidRPr="00F25EBD" w:rsidRDefault="00EA2B5F" w:rsidP="005D522F">
            <w:pPr>
              <w:spacing w:after="0" w:line="240" w:lineRule="auto"/>
              <w:rPr>
                <w:rFonts w:asciiTheme="majorHAnsi" w:eastAsia="Times New Roman" w:hAnsiTheme="majorHAnsi" w:cstheme="majorHAnsi"/>
                <w:color w:val="000000"/>
                <w:sz w:val="20"/>
                <w:szCs w:val="20"/>
                <w:lang w:eastAsia="pl-PL"/>
              </w:rPr>
            </w:pPr>
          </w:p>
        </w:tc>
        <w:tc>
          <w:tcPr>
            <w:tcW w:w="1843" w:type="dxa"/>
            <w:tcBorders>
              <w:top w:val="single" w:sz="4" w:space="0" w:color="808080" w:themeColor="background1" w:themeShade="80"/>
              <w:left w:val="nil"/>
              <w:bottom w:val="single" w:sz="4" w:space="0" w:color="808080" w:themeColor="background1" w:themeShade="80"/>
              <w:right w:val="nil"/>
            </w:tcBorders>
            <w:shd w:val="clear" w:color="auto" w:fill="auto"/>
            <w:vAlign w:val="center"/>
          </w:tcPr>
          <w:p w14:paraId="15E9CD39" w14:textId="77777777" w:rsidR="00EA2B5F" w:rsidRPr="00F25EBD" w:rsidRDefault="00EA2B5F" w:rsidP="005D522F">
            <w:pPr>
              <w:spacing w:after="0" w:line="240" w:lineRule="auto"/>
              <w:jc w:val="center"/>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sz w:val="18"/>
                <w:szCs w:val="18"/>
                <w:lang w:eastAsia="pl-PL"/>
              </w:rPr>
              <w:t>zmiana 2010=100%</w:t>
            </w:r>
          </w:p>
        </w:tc>
        <w:tc>
          <w:tcPr>
            <w:tcW w:w="832" w:type="dxa"/>
            <w:tcBorders>
              <w:top w:val="single" w:sz="4" w:space="0" w:color="808080" w:themeColor="background1" w:themeShade="80"/>
              <w:left w:val="nil"/>
              <w:bottom w:val="single" w:sz="4" w:space="0" w:color="808080" w:themeColor="background1" w:themeShade="80"/>
              <w:right w:val="nil"/>
            </w:tcBorders>
            <w:shd w:val="clear" w:color="auto" w:fill="auto"/>
            <w:noWrap/>
            <w:vAlign w:val="center"/>
            <w:hideMark/>
          </w:tcPr>
          <w:p w14:paraId="4572BCA7" w14:textId="77777777" w:rsidR="00EA2B5F" w:rsidRPr="00F25EBD" w:rsidRDefault="00EA2B5F" w:rsidP="005D522F">
            <w:pPr>
              <w:spacing w:after="0" w:line="240" w:lineRule="auto"/>
              <w:jc w:val="center"/>
              <w:rPr>
                <w:rFonts w:asciiTheme="majorHAnsi" w:eastAsia="Times New Roman" w:hAnsiTheme="majorHAnsi" w:cstheme="majorHAnsi"/>
                <w:sz w:val="20"/>
                <w:szCs w:val="20"/>
                <w:lang w:eastAsia="pl-PL"/>
              </w:rPr>
            </w:pPr>
            <w:r w:rsidRPr="00F25EBD">
              <w:rPr>
                <w:rFonts w:asciiTheme="majorHAnsi" w:eastAsia="Times New Roman" w:hAnsiTheme="majorHAnsi" w:cstheme="majorHAnsi"/>
                <w:sz w:val="20"/>
                <w:szCs w:val="20"/>
                <w:lang w:eastAsia="pl-PL"/>
              </w:rPr>
              <w:t>0,0</w:t>
            </w:r>
          </w:p>
        </w:tc>
        <w:tc>
          <w:tcPr>
            <w:tcW w:w="833" w:type="dxa"/>
            <w:tcBorders>
              <w:top w:val="single" w:sz="4" w:space="0" w:color="808080" w:themeColor="background1" w:themeShade="80"/>
              <w:left w:val="nil"/>
              <w:bottom w:val="single" w:sz="4" w:space="0" w:color="808080" w:themeColor="background1" w:themeShade="80"/>
              <w:right w:val="nil"/>
            </w:tcBorders>
            <w:shd w:val="clear" w:color="auto" w:fill="auto"/>
            <w:noWrap/>
            <w:vAlign w:val="center"/>
            <w:hideMark/>
          </w:tcPr>
          <w:p w14:paraId="5DBC2E4E" w14:textId="77777777" w:rsidR="00EA2B5F" w:rsidRPr="00F25EBD" w:rsidRDefault="00EA2B5F" w:rsidP="005D522F">
            <w:pPr>
              <w:spacing w:after="0" w:line="240" w:lineRule="auto"/>
              <w:jc w:val="center"/>
              <w:rPr>
                <w:rFonts w:asciiTheme="majorHAnsi" w:eastAsia="Times New Roman" w:hAnsiTheme="majorHAnsi" w:cstheme="majorHAnsi"/>
                <w:sz w:val="20"/>
                <w:szCs w:val="20"/>
                <w:lang w:eastAsia="pl-PL"/>
              </w:rPr>
            </w:pPr>
            <w:r w:rsidRPr="00F25EBD">
              <w:rPr>
                <w:rFonts w:asciiTheme="majorHAnsi" w:eastAsia="Times New Roman" w:hAnsiTheme="majorHAnsi" w:cstheme="majorHAnsi"/>
                <w:sz w:val="20"/>
                <w:szCs w:val="20"/>
                <w:lang w:eastAsia="pl-PL"/>
              </w:rPr>
              <w:t>-</w:t>
            </w:r>
          </w:p>
        </w:tc>
        <w:tc>
          <w:tcPr>
            <w:tcW w:w="832" w:type="dxa"/>
            <w:tcBorders>
              <w:top w:val="single" w:sz="4" w:space="0" w:color="808080" w:themeColor="background1" w:themeShade="80"/>
              <w:left w:val="nil"/>
              <w:bottom w:val="single" w:sz="4" w:space="0" w:color="808080" w:themeColor="background1" w:themeShade="80"/>
              <w:right w:val="nil"/>
            </w:tcBorders>
            <w:shd w:val="clear" w:color="auto" w:fill="auto"/>
            <w:noWrap/>
            <w:vAlign w:val="center"/>
            <w:hideMark/>
          </w:tcPr>
          <w:p w14:paraId="174945CC" w14:textId="77777777" w:rsidR="00EA2B5F" w:rsidRPr="00F25EBD" w:rsidRDefault="00EA2B5F" w:rsidP="005D522F">
            <w:pPr>
              <w:spacing w:after="0" w:line="240" w:lineRule="auto"/>
              <w:jc w:val="center"/>
              <w:rPr>
                <w:rFonts w:asciiTheme="majorHAnsi" w:eastAsia="Times New Roman" w:hAnsiTheme="majorHAnsi" w:cstheme="majorHAnsi"/>
                <w:sz w:val="20"/>
                <w:szCs w:val="20"/>
                <w:lang w:eastAsia="pl-PL"/>
              </w:rPr>
            </w:pPr>
            <w:r w:rsidRPr="00F25EBD">
              <w:rPr>
                <w:rFonts w:asciiTheme="majorHAnsi" w:eastAsia="Times New Roman" w:hAnsiTheme="majorHAnsi" w:cstheme="majorHAnsi"/>
                <w:sz w:val="20"/>
                <w:szCs w:val="20"/>
                <w:lang w:eastAsia="pl-PL"/>
              </w:rPr>
              <w:t>-</w:t>
            </w:r>
          </w:p>
        </w:tc>
        <w:tc>
          <w:tcPr>
            <w:tcW w:w="833" w:type="dxa"/>
            <w:tcBorders>
              <w:top w:val="single" w:sz="4" w:space="0" w:color="808080" w:themeColor="background1" w:themeShade="80"/>
              <w:left w:val="nil"/>
              <w:bottom w:val="single" w:sz="4" w:space="0" w:color="808080" w:themeColor="background1" w:themeShade="80"/>
              <w:right w:val="nil"/>
            </w:tcBorders>
            <w:shd w:val="clear" w:color="auto" w:fill="auto"/>
            <w:noWrap/>
            <w:vAlign w:val="center"/>
            <w:hideMark/>
          </w:tcPr>
          <w:p w14:paraId="71076651" w14:textId="77777777" w:rsidR="00EA2B5F" w:rsidRPr="00F25EBD" w:rsidRDefault="00EA2B5F" w:rsidP="005D522F">
            <w:pPr>
              <w:spacing w:after="0" w:line="240" w:lineRule="auto"/>
              <w:jc w:val="center"/>
              <w:rPr>
                <w:rFonts w:asciiTheme="majorHAnsi" w:eastAsia="Times New Roman" w:hAnsiTheme="majorHAnsi" w:cstheme="majorHAnsi"/>
                <w:sz w:val="20"/>
                <w:szCs w:val="20"/>
                <w:lang w:eastAsia="pl-PL"/>
              </w:rPr>
            </w:pPr>
            <w:r w:rsidRPr="00F25EBD">
              <w:rPr>
                <w:rFonts w:asciiTheme="majorHAnsi" w:eastAsia="Times New Roman" w:hAnsiTheme="majorHAnsi" w:cstheme="majorHAnsi"/>
                <w:sz w:val="20"/>
                <w:szCs w:val="20"/>
                <w:lang w:eastAsia="pl-PL"/>
              </w:rPr>
              <w:t>-</w:t>
            </w:r>
          </w:p>
        </w:tc>
      </w:tr>
      <w:tr w:rsidR="00EA2B5F" w:rsidRPr="00F25EBD" w14:paraId="5EDFCCD2" w14:textId="77777777" w:rsidTr="005D522F">
        <w:trPr>
          <w:trHeight w:val="288"/>
        </w:trPr>
        <w:tc>
          <w:tcPr>
            <w:tcW w:w="4039" w:type="dxa"/>
            <w:vMerge w:val="restart"/>
            <w:tcBorders>
              <w:top w:val="single" w:sz="4" w:space="0" w:color="808080" w:themeColor="background1" w:themeShade="80"/>
              <w:left w:val="nil"/>
              <w:bottom w:val="single" w:sz="4" w:space="0" w:color="808080" w:themeColor="background1" w:themeShade="80"/>
              <w:right w:val="nil"/>
            </w:tcBorders>
            <w:shd w:val="clear" w:color="auto" w:fill="auto"/>
            <w:noWrap/>
            <w:vAlign w:val="center"/>
            <w:hideMark/>
          </w:tcPr>
          <w:p w14:paraId="7D3123AF" w14:textId="77777777" w:rsidR="00EA2B5F" w:rsidRPr="00F25EBD" w:rsidRDefault="00EA2B5F" w:rsidP="005D522F">
            <w:pPr>
              <w:spacing w:after="0" w:line="240" w:lineRule="auto"/>
              <w:rPr>
                <w:rFonts w:asciiTheme="majorHAnsi" w:eastAsia="Times New Roman" w:hAnsiTheme="majorHAnsi" w:cstheme="majorHAnsi"/>
                <w:sz w:val="20"/>
                <w:szCs w:val="20"/>
                <w:lang w:eastAsia="pl-PL"/>
              </w:rPr>
            </w:pPr>
            <w:proofErr w:type="spellStart"/>
            <w:r w:rsidRPr="00F25EBD">
              <w:rPr>
                <w:rFonts w:asciiTheme="majorHAnsi" w:eastAsia="Times New Roman" w:hAnsiTheme="majorHAnsi" w:cstheme="majorHAnsi"/>
                <w:sz w:val="20"/>
                <w:szCs w:val="20"/>
                <w:lang w:eastAsia="pl-PL"/>
              </w:rPr>
              <w:t>Skateparki</w:t>
            </w:r>
            <w:proofErr w:type="spellEnd"/>
          </w:p>
        </w:tc>
        <w:tc>
          <w:tcPr>
            <w:tcW w:w="1843" w:type="dxa"/>
            <w:tcBorders>
              <w:top w:val="single" w:sz="4" w:space="0" w:color="808080" w:themeColor="background1" w:themeShade="80"/>
              <w:left w:val="nil"/>
              <w:bottom w:val="single" w:sz="4" w:space="0" w:color="808080" w:themeColor="background1" w:themeShade="80"/>
              <w:right w:val="nil"/>
            </w:tcBorders>
            <w:shd w:val="clear" w:color="auto" w:fill="auto"/>
            <w:vAlign w:val="center"/>
          </w:tcPr>
          <w:p w14:paraId="6132E71C" w14:textId="77777777" w:rsidR="00EA2B5F" w:rsidRPr="00F25EBD" w:rsidRDefault="00EA2B5F" w:rsidP="005D522F">
            <w:pPr>
              <w:spacing w:after="0" w:line="240" w:lineRule="auto"/>
              <w:jc w:val="center"/>
              <w:rPr>
                <w:rFonts w:asciiTheme="majorHAnsi" w:eastAsia="Times New Roman" w:hAnsiTheme="majorHAnsi" w:cstheme="majorHAnsi"/>
                <w:sz w:val="20"/>
                <w:szCs w:val="20"/>
                <w:lang w:eastAsia="pl-PL"/>
              </w:rPr>
            </w:pPr>
            <w:r w:rsidRPr="00F25EBD">
              <w:rPr>
                <w:rFonts w:asciiTheme="majorHAnsi" w:eastAsia="Times New Roman" w:hAnsiTheme="majorHAnsi" w:cstheme="majorHAnsi"/>
                <w:sz w:val="18"/>
                <w:szCs w:val="18"/>
                <w:lang w:eastAsia="pl-PL"/>
              </w:rPr>
              <w:t>2018</w:t>
            </w:r>
          </w:p>
        </w:tc>
        <w:tc>
          <w:tcPr>
            <w:tcW w:w="832" w:type="dxa"/>
            <w:tcBorders>
              <w:top w:val="single" w:sz="4" w:space="0" w:color="808080" w:themeColor="background1" w:themeShade="80"/>
              <w:left w:val="nil"/>
              <w:bottom w:val="single" w:sz="4" w:space="0" w:color="808080" w:themeColor="background1" w:themeShade="80"/>
              <w:right w:val="nil"/>
            </w:tcBorders>
            <w:shd w:val="clear" w:color="auto" w:fill="auto"/>
            <w:noWrap/>
            <w:vAlign w:val="center"/>
            <w:hideMark/>
          </w:tcPr>
          <w:p w14:paraId="78D904CB" w14:textId="77777777" w:rsidR="00EA2B5F" w:rsidRPr="00F25EBD" w:rsidRDefault="00EA2B5F" w:rsidP="005D522F">
            <w:pPr>
              <w:spacing w:after="0" w:line="240" w:lineRule="auto"/>
              <w:jc w:val="center"/>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1</w:t>
            </w:r>
          </w:p>
        </w:tc>
        <w:tc>
          <w:tcPr>
            <w:tcW w:w="833" w:type="dxa"/>
            <w:tcBorders>
              <w:top w:val="single" w:sz="4" w:space="0" w:color="808080" w:themeColor="background1" w:themeShade="80"/>
              <w:left w:val="nil"/>
              <w:bottom w:val="single" w:sz="4" w:space="0" w:color="808080" w:themeColor="background1" w:themeShade="80"/>
              <w:right w:val="nil"/>
            </w:tcBorders>
            <w:shd w:val="clear" w:color="auto" w:fill="auto"/>
            <w:noWrap/>
            <w:vAlign w:val="center"/>
            <w:hideMark/>
          </w:tcPr>
          <w:p w14:paraId="3899E7F7" w14:textId="77777777" w:rsidR="00EA2B5F" w:rsidRPr="00F25EBD" w:rsidRDefault="00EA2B5F" w:rsidP="005D522F">
            <w:pPr>
              <w:spacing w:after="0" w:line="240" w:lineRule="auto"/>
              <w:jc w:val="center"/>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1</w:t>
            </w:r>
          </w:p>
        </w:tc>
        <w:tc>
          <w:tcPr>
            <w:tcW w:w="832" w:type="dxa"/>
            <w:tcBorders>
              <w:top w:val="single" w:sz="4" w:space="0" w:color="808080" w:themeColor="background1" w:themeShade="80"/>
              <w:left w:val="nil"/>
              <w:bottom w:val="single" w:sz="4" w:space="0" w:color="808080" w:themeColor="background1" w:themeShade="80"/>
              <w:right w:val="nil"/>
            </w:tcBorders>
            <w:shd w:val="clear" w:color="auto" w:fill="auto"/>
            <w:noWrap/>
            <w:vAlign w:val="center"/>
            <w:hideMark/>
          </w:tcPr>
          <w:p w14:paraId="0364D144" w14:textId="77777777" w:rsidR="00EA2B5F" w:rsidRPr="00F25EBD" w:rsidRDefault="00EA2B5F" w:rsidP="005D522F">
            <w:pPr>
              <w:spacing w:after="0" w:line="240" w:lineRule="auto"/>
              <w:jc w:val="center"/>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1</w:t>
            </w:r>
          </w:p>
        </w:tc>
        <w:tc>
          <w:tcPr>
            <w:tcW w:w="833" w:type="dxa"/>
            <w:tcBorders>
              <w:top w:val="single" w:sz="4" w:space="0" w:color="808080" w:themeColor="background1" w:themeShade="80"/>
              <w:left w:val="nil"/>
              <w:bottom w:val="single" w:sz="4" w:space="0" w:color="808080" w:themeColor="background1" w:themeShade="80"/>
              <w:right w:val="nil"/>
            </w:tcBorders>
            <w:shd w:val="clear" w:color="auto" w:fill="auto"/>
            <w:noWrap/>
            <w:vAlign w:val="center"/>
            <w:hideMark/>
          </w:tcPr>
          <w:p w14:paraId="4DBCCBB5" w14:textId="77777777" w:rsidR="00EA2B5F" w:rsidRPr="00F25EBD" w:rsidRDefault="00EA2B5F" w:rsidP="005D522F">
            <w:pPr>
              <w:spacing w:after="0" w:line="240" w:lineRule="auto"/>
              <w:jc w:val="center"/>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2</w:t>
            </w:r>
          </w:p>
        </w:tc>
      </w:tr>
      <w:tr w:rsidR="00EA2B5F" w:rsidRPr="00F25EBD" w14:paraId="01623B86" w14:textId="77777777" w:rsidTr="005D522F">
        <w:trPr>
          <w:trHeight w:val="288"/>
        </w:trPr>
        <w:tc>
          <w:tcPr>
            <w:tcW w:w="4039" w:type="dxa"/>
            <w:vMerge/>
            <w:tcBorders>
              <w:top w:val="single" w:sz="4" w:space="0" w:color="808080" w:themeColor="background1" w:themeShade="80"/>
              <w:left w:val="nil"/>
              <w:bottom w:val="single" w:sz="4" w:space="0" w:color="808080" w:themeColor="background1" w:themeShade="80"/>
              <w:right w:val="nil"/>
            </w:tcBorders>
            <w:shd w:val="clear" w:color="auto" w:fill="auto"/>
            <w:noWrap/>
            <w:vAlign w:val="center"/>
            <w:hideMark/>
          </w:tcPr>
          <w:p w14:paraId="4AC18DF9" w14:textId="77777777" w:rsidR="00EA2B5F" w:rsidRPr="00F25EBD" w:rsidRDefault="00EA2B5F" w:rsidP="005D522F">
            <w:pPr>
              <w:spacing w:after="0" w:line="240" w:lineRule="auto"/>
              <w:rPr>
                <w:rFonts w:asciiTheme="majorHAnsi" w:eastAsia="Times New Roman" w:hAnsiTheme="majorHAnsi" w:cstheme="majorHAnsi"/>
                <w:color w:val="000000"/>
                <w:sz w:val="20"/>
                <w:szCs w:val="20"/>
                <w:lang w:eastAsia="pl-PL"/>
              </w:rPr>
            </w:pPr>
          </w:p>
        </w:tc>
        <w:tc>
          <w:tcPr>
            <w:tcW w:w="1843" w:type="dxa"/>
            <w:tcBorders>
              <w:top w:val="single" w:sz="4" w:space="0" w:color="808080" w:themeColor="background1" w:themeShade="80"/>
              <w:left w:val="nil"/>
              <w:bottom w:val="single" w:sz="4" w:space="0" w:color="808080" w:themeColor="background1" w:themeShade="80"/>
              <w:right w:val="nil"/>
            </w:tcBorders>
            <w:shd w:val="clear" w:color="auto" w:fill="auto"/>
            <w:vAlign w:val="center"/>
          </w:tcPr>
          <w:p w14:paraId="7E7062B1" w14:textId="77777777" w:rsidR="00EA2B5F" w:rsidRPr="00F25EBD" w:rsidRDefault="00EA2B5F" w:rsidP="005D522F">
            <w:pPr>
              <w:spacing w:after="0" w:line="240" w:lineRule="auto"/>
              <w:jc w:val="center"/>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sz w:val="18"/>
                <w:szCs w:val="18"/>
                <w:lang w:eastAsia="pl-PL"/>
              </w:rPr>
              <w:t>zmiana 2010=100%</w:t>
            </w:r>
          </w:p>
        </w:tc>
        <w:tc>
          <w:tcPr>
            <w:tcW w:w="832" w:type="dxa"/>
            <w:tcBorders>
              <w:top w:val="single" w:sz="4" w:space="0" w:color="808080" w:themeColor="background1" w:themeShade="80"/>
              <w:left w:val="nil"/>
              <w:bottom w:val="single" w:sz="4" w:space="0" w:color="808080" w:themeColor="background1" w:themeShade="80"/>
              <w:right w:val="nil"/>
            </w:tcBorders>
            <w:shd w:val="clear" w:color="auto" w:fill="auto"/>
            <w:noWrap/>
            <w:vAlign w:val="center"/>
            <w:hideMark/>
          </w:tcPr>
          <w:p w14:paraId="38872D51" w14:textId="77777777" w:rsidR="00EA2B5F" w:rsidRPr="00F25EBD" w:rsidRDefault="00EA2B5F" w:rsidP="005D522F">
            <w:pPr>
              <w:spacing w:after="0" w:line="240" w:lineRule="auto"/>
              <w:jc w:val="center"/>
              <w:rPr>
                <w:rFonts w:asciiTheme="majorHAnsi" w:eastAsia="Times New Roman" w:hAnsiTheme="majorHAnsi" w:cstheme="majorHAnsi"/>
                <w:sz w:val="20"/>
                <w:szCs w:val="20"/>
                <w:lang w:eastAsia="pl-PL"/>
              </w:rPr>
            </w:pPr>
            <w:r w:rsidRPr="00F25EBD">
              <w:rPr>
                <w:rFonts w:asciiTheme="majorHAnsi" w:eastAsia="Times New Roman" w:hAnsiTheme="majorHAnsi" w:cstheme="majorHAnsi"/>
                <w:sz w:val="20"/>
                <w:szCs w:val="20"/>
                <w:lang w:eastAsia="pl-PL"/>
              </w:rPr>
              <w:t>0,0</w:t>
            </w:r>
          </w:p>
        </w:tc>
        <w:tc>
          <w:tcPr>
            <w:tcW w:w="833" w:type="dxa"/>
            <w:tcBorders>
              <w:top w:val="single" w:sz="4" w:space="0" w:color="808080" w:themeColor="background1" w:themeShade="80"/>
              <w:left w:val="nil"/>
              <w:bottom w:val="single" w:sz="4" w:space="0" w:color="808080" w:themeColor="background1" w:themeShade="80"/>
              <w:right w:val="nil"/>
            </w:tcBorders>
            <w:shd w:val="clear" w:color="auto" w:fill="auto"/>
            <w:noWrap/>
            <w:vAlign w:val="center"/>
            <w:hideMark/>
          </w:tcPr>
          <w:p w14:paraId="34E25092" w14:textId="77777777" w:rsidR="00EA2B5F" w:rsidRPr="00F25EBD" w:rsidRDefault="00EA2B5F" w:rsidP="005D522F">
            <w:pPr>
              <w:spacing w:after="0" w:line="240" w:lineRule="auto"/>
              <w:jc w:val="center"/>
              <w:rPr>
                <w:rFonts w:asciiTheme="majorHAnsi" w:eastAsia="Times New Roman" w:hAnsiTheme="majorHAnsi" w:cstheme="majorHAnsi"/>
                <w:sz w:val="20"/>
                <w:szCs w:val="20"/>
                <w:lang w:eastAsia="pl-PL"/>
              </w:rPr>
            </w:pPr>
            <w:r w:rsidRPr="00F25EBD">
              <w:rPr>
                <w:rFonts w:asciiTheme="majorHAnsi" w:eastAsia="Times New Roman" w:hAnsiTheme="majorHAnsi" w:cstheme="majorHAnsi"/>
                <w:sz w:val="20"/>
                <w:szCs w:val="20"/>
                <w:lang w:eastAsia="pl-PL"/>
              </w:rPr>
              <w:t>0,0</w:t>
            </w:r>
          </w:p>
        </w:tc>
        <w:tc>
          <w:tcPr>
            <w:tcW w:w="832" w:type="dxa"/>
            <w:tcBorders>
              <w:top w:val="single" w:sz="4" w:space="0" w:color="808080" w:themeColor="background1" w:themeShade="80"/>
              <w:left w:val="nil"/>
              <w:bottom w:val="single" w:sz="4" w:space="0" w:color="808080" w:themeColor="background1" w:themeShade="80"/>
              <w:right w:val="nil"/>
            </w:tcBorders>
            <w:shd w:val="clear" w:color="auto" w:fill="auto"/>
            <w:noWrap/>
            <w:vAlign w:val="center"/>
            <w:hideMark/>
          </w:tcPr>
          <w:p w14:paraId="6939CA34" w14:textId="77777777" w:rsidR="00EA2B5F" w:rsidRPr="00F25EBD" w:rsidRDefault="00EA2B5F" w:rsidP="005D522F">
            <w:pPr>
              <w:spacing w:after="0" w:line="240" w:lineRule="auto"/>
              <w:jc w:val="center"/>
              <w:rPr>
                <w:rFonts w:asciiTheme="majorHAnsi" w:eastAsia="Times New Roman" w:hAnsiTheme="majorHAnsi" w:cstheme="majorHAnsi"/>
                <w:sz w:val="20"/>
                <w:szCs w:val="20"/>
                <w:lang w:eastAsia="pl-PL"/>
              </w:rPr>
            </w:pPr>
            <w:r w:rsidRPr="00F25EBD">
              <w:rPr>
                <w:rFonts w:asciiTheme="majorHAnsi" w:eastAsia="Times New Roman" w:hAnsiTheme="majorHAnsi" w:cstheme="majorHAnsi"/>
                <w:sz w:val="20"/>
                <w:szCs w:val="20"/>
                <w:lang w:eastAsia="pl-PL"/>
              </w:rPr>
              <w:t>100,0</w:t>
            </w:r>
          </w:p>
        </w:tc>
        <w:tc>
          <w:tcPr>
            <w:tcW w:w="833" w:type="dxa"/>
            <w:tcBorders>
              <w:top w:val="single" w:sz="4" w:space="0" w:color="808080" w:themeColor="background1" w:themeShade="80"/>
              <w:left w:val="nil"/>
              <w:bottom w:val="single" w:sz="4" w:space="0" w:color="808080" w:themeColor="background1" w:themeShade="80"/>
              <w:right w:val="nil"/>
            </w:tcBorders>
            <w:shd w:val="clear" w:color="auto" w:fill="auto"/>
            <w:noWrap/>
            <w:vAlign w:val="center"/>
            <w:hideMark/>
          </w:tcPr>
          <w:p w14:paraId="690F0C92" w14:textId="77777777" w:rsidR="00EA2B5F" w:rsidRPr="00F25EBD" w:rsidRDefault="00EA2B5F" w:rsidP="005D522F">
            <w:pPr>
              <w:spacing w:after="0" w:line="240" w:lineRule="auto"/>
              <w:jc w:val="center"/>
              <w:rPr>
                <w:rFonts w:asciiTheme="majorHAnsi" w:eastAsia="Times New Roman" w:hAnsiTheme="majorHAnsi" w:cstheme="majorHAnsi"/>
                <w:sz w:val="20"/>
                <w:szCs w:val="20"/>
                <w:lang w:eastAsia="pl-PL"/>
              </w:rPr>
            </w:pPr>
            <w:r w:rsidRPr="00F25EBD">
              <w:rPr>
                <w:rFonts w:asciiTheme="majorHAnsi" w:eastAsia="Times New Roman" w:hAnsiTheme="majorHAnsi" w:cstheme="majorHAnsi"/>
                <w:sz w:val="20"/>
                <w:szCs w:val="20"/>
                <w:lang w:eastAsia="pl-PL"/>
              </w:rPr>
              <w:t>100,0</w:t>
            </w:r>
          </w:p>
        </w:tc>
      </w:tr>
      <w:tr w:rsidR="00EA2B5F" w:rsidRPr="00F25EBD" w14:paraId="54E067B4" w14:textId="77777777" w:rsidTr="005D522F">
        <w:trPr>
          <w:trHeight w:val="288"/>
        </w:trPr>
        <w:tc>
          <w:tcPr>
            <w:tcW w:w="4039" w:type="dxa"/>
            <w:vMerge w:val="restart"/>
            <w:tcBorders>
              <w:top w:val="single" w:sz="4" w:space="0" w:color="808080" w:themeColor="background1" w:themeShade="80"/>
              <w:left w:val="nil"/>
              <w:bottom w:val="single" w:sz="4" w:space="0" w:color="808080" w:themeColor="background1" w:themeShade="80"/>
              <w:right w:val="nil"/>
            </w:tcBorders>
            <w:shd w:val="clear" w:color="auto" w:fill="auto"/>
            <w:noWrap/>
            <w:vAlign w:val="center"/>
            <w:hideMark/>
          </w:tcPr>
          <w:p w14:paraId="3092282C" w14:textId="77777777" w:rsidR="00EA2B5F" w:rsidRPr="00F25EBD" w:rsidRDefault="00EA2B5F" w:rsidP="005D522F">
            <w:pPr>
              <w:spacing w:after="0" w:line="240" w:lineRule="auto"/>
              <w:rPr>
                <w:rFonts w:asciiTheme="majorHAnsi" w:eastAsia="Times New Roman" w:hAnsiTheme="majorHAnsi" w:cstheme="majorHAnsi"/>
                <w:sz w:val="20"/>
                <w:szCs w:val="20"/>
                <w:lang w:eastAsia="pl-PL"/>
              </w:rPr>
            </w:pPr>
            <w:r w:rsidRPr="00F25EBD">
              <w:rPr>
                <w:rFonts w:asciiTheme="majorHAnsi" w:eastAsia="Times New Roman" w:hAnsiTheme="majorHAnsi" w:cstheme="majorHAnsi"/>
                <w:sz w:val="20"/>
                <w:szCs w:val="20"/>
                <w:lang w:eastAsia="pl-PL"/>
              </w:rPr>
              <w:t>Siłownie zewnętrzne</w:t>
            </w:r>
          </w:p>
        </w:tc>
        <w:tc>
          <w:tcPr>
            <w:tcW w:w="1843" w:type="dxa"/>
            <w:tcBorders>
              <w:top w:val="single" w:sz="4" w:space="0" w:color="808080" w:themeColor="background1" w:themeShade="80"/>
              <w:left w:val="nil"/>
              <w:bottom w:val="single" w:sz="4" w:space="0" w:color="808080" w:themeColor="background1" w:themeShade="80"/>
              <w:right w:val="nil"/>
            </w:tcBorders>
            <w:shd w:val="clear" w:color="auto" w:fill="auto"/>
            <w:vAlign w:val="center"/>
          </w:tcPr>
          <w:p w14:paraId="721BE511" w14:textId="77777777" w:rsidR="00EA2B5F" w:rsidRPr="00F25EBD" w:rsidRDefault="00EA2B5F" w:rsidP="005D522F">
            <w:pPr>
              <w:spacing w:after="0" w:line="240" w:lineRule="auto"/>
              <w:jc w:val="center"/>
              <w:rPr>
                <w:rFonts w:asciiTheme="majorHAnsi" w:eastAsia="Times New Roman" w:hAnsiTheme="majorHAnsi" w:cstheme="majorHAnsi"/>
                <w:sz w:val="20"/>
                <w:szCs w:val="20"/>
                <w:lang w:eastAsia="pl-PL"/>
              </w:rPr>
            </w:pPr>
            <w:r w:rsidRPr="00F25EBD">
              <w:rPr>
                <w:rFonts w:asciiTheme="majorHAnsi" w:eastAsia="Times New Roman" w:hAnsiTheme="majorHAnsi" w:cstheme="majorHAnsi"/>
                <w:sz w:val="18"/>
                <w:szCs w:val="18"/>
                <w:lang w:eastAsia="pl-PL"/>
              </w:rPr>
              <w:t>2018</w:t>
            </w:r>
          </w:p>
        </w:tc>
        <w:tc>
          <w:tcPr>
            <w:tcW w:w="832" w:type="dxa"/>
            <w:tcBorders>
              <w:top w:val="single" w:sz="4" w:space="0" w:color="808080" w:themeColor="background1" w:themeShade="80"/>
              <w:left w:val="nil"/>
              <w:bottom w:val="single" w:sz="4" w:space="0" w:color="808080" w:themeColor="background1" w:themeShade="80"/>
              <w:right w:val="nil"/>
            </w:tcBorders>
            <w:shd w:val="clear" w:color="auto" w:fill="auto"/>
            <w:noWrap/>
            <w:vAlign w:val="center"/>
            <w:hideMark/>
          </w:tcPr>
          <w:p w14:paraId="332FB4A6" w14:textId="77777777" w:rsidR="00EA2B5F" w:rsidRPr="00F25EBD" w:rsidRDefault="00EA2B5F" w:rsidP="005D522F">
            <w:pPr>
              <w:spacing w:after="0" w:line="240" w:lineRule="auto"/>
              <w:jc w:val="center"/>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31</w:t>
            </w:r>
          </w:p>
        </w:tc>
        <w:tc>
          <w:tcPr>
            <w:tcW w:w="833" w:type="dxa"/>
            <w:tcBorders>
              <w:top w:val="single" w:sz="4" w:space="0" w:color="808080" w:themeColor="background1" w:themeShade="80"/>
              <w:left w:val="nil"/>
              <w:bottom w:val="single" w:sz="4" w:space="0" w:color="808080" w:themeColor="background1" w:themeShade="80"/>
              <w:right w:val="nil"/>
            </w:tcBorders>
            <w:shd w:val="clear" w:color="auto" w:fill="auto"/>
            <w:noWrap/>
            <w:vAlign w:val="center"/>
            <w:hideMark/>
          </w:tcPr>
          <w:p w14:paraId="48322317" w14:textId="77777777" w:rsidR="00EA2B5F" w:rsidRPr="00F25EBD" w:rsidRDefault="00EA2B5F" w:rsidP="005D522F">
            <w:pPr>
              <w:spacing w:after="0" w:line="240" w:lineRule="auto"/>
              <w:jc w:val="center"/>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2</w:t>
            </w:r>
          </w:p>
        </w:tc>
        <w:tc>
          <w:tcPr>
            <w:tcW w:w="832" w:type="dxa"/>
            <w:tcBorders>
              <w:top w:val="single" w:sz="4" w:space="0" w:color="808080" w:themeColor="background1" w:themeShade="80"/>
              <w:left w:val="nil"/>
              <w:bottom w:val="single" w:sz="4" w:space="0" w:color="808080" w:themeColor="background1" w:themeShade="80"/>
              <w:right w:val="nil"/>
            </w:tcBorders>
            <w:shd w:val="clear" w:color="auto" w:fill="auto"/>
            <w:noWrap/>
            <w:vAlign w:val="center"/>
            <w:hideMark/>
          </w:tcPr>
          <w:p w14:paraId="4678FA94" w14:textId="77777777" w:rsidR="00EA2B5F" w:rsidRPr="00F25EBD" w:rsidRDefault="00EA2B5F" w:rsidP="005D522F">
            <w:pPr>
              <w:spacing w:after="0" w:line="240" w:lineRule="auto"/>
              <w:jc w:val="center"/>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12</w:t>
            </w:r>
          </w:p>
        </w:tc>
        <w:tc>
          <w:tcPr>
            <w:tcW w:w="833" w:type="dxa"/>
            <w:tcBorders>
              <w:top w:val="single" w:sz="4" w:space="0" w:color="808080" w:themeColor="background1" w:themeShade="80"/>
              <w:left w:val="nil"/>
              <w:bottom w:val="single" w:sz="4" w:space="0" w:color="808080" w:themeColor="background1" w:themeShade="80"/>
              <w:right w:val="nil"/>
            </w:tcBorders>
            <w:shd w:val="clear" w:color="auto" w:fill="auto"/>
            <w:noWrap/>
            <w:vAlign w:val="center"/>
            <w:hideMark/>
          </w:tcPr>
          <w:p w14:paraId="2A31D5B6" w14:textId="77777777" w:rsidR="00EA2B5F" w:rsidRPr="00F25EBD" w:rsidRDefault="00EA2B5F" w:rsidP="005D522F">
            <w:pPr>
              <w:spacing w:after="0" w:line="240" w:lineRule="auto"/>
              <w:jc w:val="center"/>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15</w:t>
            </w:r>
          </w:p>
        </w:tc>
      </w:tr>
      <w:tr w:rsidR="00EA2B5F" w:rsidRPr="00F25EBD" w14:paraId="0003B96C" w14:textId="77777777" w:rsidTr="005D522F">
        <w:trPr>
          <w:trHeight w:val="288"/>
        </w:trPr>
        <w:tc>
          <w:tcPr>
            <w:tcW w:w="4039" w:type="dxa"/>
            <w:vMerge/>
            <w:tcBorders>
              <w:top w:val="single" w:sz="4" w:space="0" w:color="808080" w:themeColor="background1" w:themeShade="80"/>
              <w:left w:val="nil"/>
              <w:bottom w:val="single" w:sz="4" w:space="0" w:color="808080" w:themeColor="background1" w:themeShade="80"/>
              <w:right w:val="nil"/>
            </w:tcBorders>
            <w:shd w:val="clear" w:color="auto" w:fill="auto"/>
            <w:noWrap/>
            <w:vAlign w:val="center"/>
            <w:hideMark/>
          </w:tcPr>
          <w:p w14:paraId="3FF75442" w14:textId="77777777" w:rsidR="00EA2B5F" w:rsidRPr="00F25EBD" w:rsidRDefault="00EA2B5F" w:rsidP="005D522F">
            <w:pPr>
              <w:spacing w:after="0" w:line="240" w:lineRule="auto"/>
              <w:rPr>
                <w:rFonts w:asciiTheme="majorHAnsi" w:eastAsia="Times New Roman" w:hAnsiTheme="majorHAnsi" w:cstheme="majorHAnsi"/>
                <w:color w:val="000000"/>
                <w:sz w:val="20"/>
                <w:szCs w:val="20"/>
                <w:lang w:eastAsia="pl-PL"/>
              </w:rPr>
            </w:pPr>
          </w:p>
        </w:tc>
        <w:tc>
          <w:tcPr>
            <w:tcW w:w="1843" w:type="dxa"/>
            <w:tcBorders>
              <w:top w:val="single" w:sz="4" w:space="0" w:color="808080" w:themeColor="background1" w:themeShade="80"/>
              <w:left w:val="nil"/>
              <w:bottom w:val="single" w:sz="4" w:space="0" w:color="808080" w:themeColor="background1" w:themeShade="80"/>
              <w:right w:val="nil"/>
            </w:tcBorders>
            <w:shd w:val="clear" w:color="auto" w:fill="auto"/>
            <w:vAlign w:val="center"/>
          </w:tcPr>
          <w:p w14:paraId="0E684916" w14:textId="77777777" w:rsidR="00EA2B5F" w:rsidRPr="00F25EBD" w:rsidRDefault="00EA2B5F" w:rsidP="005D522F">
            <w:pPr>
              <w:spacing w:after="0" w:line="240" w:lineRule="auto"/>
              <w:jc w:val="center"/>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sz w:val="18"/>
                <w:szCs w:val="18"/>
                <w:lang w:eastAsia="pl-PL"/>
              </w:rPr>
              <w:t>zmiana 2010=100%</w:t>
            </w:r>
          </w:p>
        </w:tc>
        <w:tc>
          <w:tcPr>
            <w:tcW w:w="832" w:type="dxa"/>
            <w:tcBorders>
              <w:top w:val="single" w:sz="4" w:space="0" w:color="808080" w:themeColor="background1" w:themeShade="80"/>
              <w:left w:val="nil"/>
              <w:bottom w:val="single" w:sz="4" w:space="0" w:color="808080" w:themeColor="background1" w:themeShade="80"/>
              <w:right w:val="nil"/>
            </w:tcBorders>
            <w:shd w:val="clear" w:color="auto" w:fill="auto"/>
            <w:noWrap/>
            <w:vAlign w:val="center"/>
            <w:hideMark/>
          </w:tcPr>
          <w:p w14:paraId="51C8940D" w14:textId="77777777" w:rsidR="00EA2B5F" w:rsidRPr="00F25EBD" w:rsidRDefault="00EA2B5F" w:rsidP="005D522F">
            <w:pPr>
              <w:spacing w:after="0" w:line="240" w:lineRule="auto"/>
              <w:jc w:val="center"/>
              <w:rPr>
                <w:rFonts w:asciiTheme="majorHAnsi" w:eastAsia="Times New Roman" w:hAnsiTheme="majorHAnsi" w:cstheme="majorHAnsi"/>
                <w:sz w:val="20"/>
                <w:szCs w:val="20"/>
                <w:lang w:eastAsia="pl-PL"/>
              </w:rPr>
            </w:pPr>
            <w:r w:rsidRPr="00F25EBD">
              <w:rPr>
                <w:rFonts w:asciiTheme="majorHAnsi" w:eastAsia="Times New Roman" w:hAnsiTheme="majorHAnsi" w:cstheme="majorHAnsi"/>
                <w:sz w:val="20"/>
                <w:szCs w:val="20"/>
                <w:lang w:eastAsia="pl-PL"/>
              </w:rPr>
              <w:t>100,0</w:t>
            </w:r>
          </w:p>
        </w:tc>
        <w:tc>
          <w:tcPr>
            <w:tcW w:w="833" w:type="dxa"/>
            <w:tcBorders>
              <w:top w:val="single" w:sz="4" w:space="0" w:color="808080" w:themeColor="background1" w:themeShade="80"/>
              <w:left w:val="nil"/>
              <w:bottom w:val="single" w:sz="4" w:space="0" w:color="808080" w:themeColor="background1" w:themeShade="80"/>
              <w:right w:val="nil"/>
            </w:tcBorders>
            <w:shd w:val="clear" w:color="auto" w:fill="auto"/>
            <w:noWrap/>
            <w:vAlign w:val="center"/>
            <w:hideMark/>
          </w:tcPr>
          <w:p w14:paraId="16E4A65E" w14:textId="77777777" w:rsidR="00EA2B5F" w:rsidRPr="00F25EBD" w:rsidRDefault="00EA2B5F" w:rsidP="005D522F">
            <w:pPr>
              <w:spacing w:after="0" w:line="240" w:lineRule="auto"/>
              <w:jc w:val="center"/>
              <w:rPr>
                <w:rFonts w:asciiTheme="majorHAnsi" w:eastAsia="Times New Roman" w:hAnsiTheme="majorHAnsi" w:cstheme="majorHAnsi"/>
                <w:sz w:val="20"/>
                <w:szCs w:val="20"/>
                <w:lang w:eastAsia="pl-PL"/>
              </w:rPr>
            </w:pPr>
            <w:r w:rsidRPr="00F25EBD">
              <w:rPr>
                <w:rFonts w:asciiTheme="majorHAnsi" w:eastAsia="Times New Roman" w:hAnsiTheme="majorHAnsi" w:cstheme="majorHAnsi"/>
                <w:sz w:val="20"/>
                <w:szCs w:val="20"/>
                <w:lang w:eastAsia="pl-PL"/>
              </w:rPr>
              <w:t>100,0</w:t>
            </w:r>
          </w:p>
        </w:tc>
        <w:tc>
          <w:tcPr>
            <w:tcW w:w="832" w:type="dxa"/>
            <w:tcBorders>
              <w:top w:val="single" w:sz="4" w:space="0" w:color="808080" w:themeColor="background1" w:themeShade="80"/>
              <w:left w:val="nil"/>
              <w:bottom w:val="single" w:sz="4" w:space="0" w:color="808080" w:themeColor="background1" w:themeShade="80"/>
              <w:right w:val="nil"/>
            </w:tcBorders>
            <w:shd w:val="clear" w:color="auto" w:fill="auto"/>
            <w:noWrap/>
            <w:vAlign w:val="center"/>
            <w:hideMark/>
          </w:tcPr>
          <w:p w14:paraId="5CCF3059" w14:textId="77777777" w:rsidR="00EA2B5F" w:rsidRPr="00F25EBD" w:rsidRDefault="00EA2B5F" w:rsidP="005D522F">
            <w:pPr>
              <w:spacing w:after="0" w:line="240" w:lineRule="auto"/>
              <w:jc w:val="center"/>
              <w:rPr>
                <w:rFonts w:asciiTheme="majorHAnsi" w:eastAsia="Times New Roman" w:hAnsiTheme="majorHAnsi" w:cstheme="majorHAnsi"/>
                <w:sz w:val="20"/>
                <w:szCs w:val="20"/>
                <w:lang w:eastAsia="pl-PL"/>
              </w:rPr>
            </w:pPr>
            <w:r w:rsidRPr="00F25EBD">
              <w:rPr>
                <w:rFonts w:asciiTheme="majorHAnsi" w:eastAsia="Times New Roman" w:hAnsiTheme="majorHAnsi" w:cstheme="majorHAnsi"/>
                <w:sz w:val="20"/>
                <w:szCs w:val="20"/>
                <w:lang w:eastAsia="pl-PL"/>
              </w:rPr>
              <w:t>100,0</w:t>
            </w:r>
          </w:p>
        </w:tc>
        <w:tc>
          <w:tcPr>
            <w:tcW w:w="833" w:type="dxa"/>
            <w:tcBorders>
              <w:top w:val="single" w:sz="4" w:space="0" w:color="808080" w:themeColor="background1" w:themeShade="80"/>
              <w:left w:val="nil"/>
              <w:bottom w:val="single" w:sz="4" w:space="0" w:color="808080" w:themeColor="background1" w:themeShade="80"/>
              <w:right w:val="nil"/>
            </w:tcBorders>
            <w:shd w:val="clear" w:color="auto" w:fill="auto"/>
            <w:noWrap/>
            <w:vAlign w:val="center"/>
            <w:hideMark/>
          </w:tcPr>
          <w:p w14:paraId="137EBC1F" w14:textId="77777777" w:rsidR="00EA2B5F" w:rsidRPr="00F25EBD" w:rsidRDefault="00EA2B5F" w:rsidP="005D522F">
            <w:pPr>
              <w:spacing w:after="0" w:line="240" w:lineRule="auto"/>
              <w:jc w:val="center"/>
              <w:rPr>
                <w:rFonts w:asciiTheme="majorHAnsi" w:eastAsia="Times New Roman" w:hAnsiTheme="majorHAnsi" w:cstheme="majorHAnsi"/>
                <w:sz w:val="20"/>
                <w:szCs w:val="20"/>
                <w:lang w:eastAsia="pl-PL"/>
              </w:rPr>
            </w:pPr>
            <w:r w:rsidRPr="00F25EBD">
              <w:rPr>
                <w:rFonts w:asciiTheme="majorHAnsi" w:eastAsia="Times New Roman" w:hAnsiTheme="majorHAnsi" w:cstheme="majorHAnsi"/>
                <w:sz w:val="20"/>
                <w:szCs w:val="20"/>
                <w:lang w:eastAsia="pl-PL"/>
              </w:rPr>
              <w:t>100,0</w:t>
            </w:r>
          </w:p>
        </w:tc>
      </w:tr>
    </w:tbl>
    <w:p w14:paraId="29ED14A4" w14:textId="77777777" w:rsidR="00EA2B5F" w:rsidRPr="00F25EBD" w:rsidRDefault="00EA2B5F" w:rsidP="00FC7062">
      <w:pPr>
        <w:spacing w:before="120" w:after="120" w:line="276" w:lineRule="auto"/>
        <w:jc w:val="both"/>
        <w:rPr>
          <w:rFonts w:asciiTheme="majorHAnsi" w:hAnsiTheme="majorHAnsi" w:cstheme="majorHAnsi"/>
          <w:sz w:val="18"/>
          <w:szCs w:val="18"/>
        </w:rPr>
      </w:pPr>
      <w:r w:rsidRPr="00F25EBD">
        <w:rPr>
          <w:rFonts w:asciiTheme="majorHAnsi" w:hAnsiTheme="majorHAnsi" w:cstheme="majorHAnsi"/>
          <w:sz w:val="18"/>
          <w:szCs w:val="18"/>
        </w:rPr>
        <w:t>D</w:t>
      </w:r>
      <w:r w:rsidR="00336D76" w:rsidRPr="00F25EBD">
        <w:rPr>
          <w:rFonts w:asciiTheme="majorHAnsi" w:hAnsiTheme="majorHAnsi" w:cstheme="majorHAnsi"/>
          <w:sz w:val="18"/>
          <w:szCs w:val="18"/>
        </w:rPr>
        <w:t xml:space="preserve"> - </w:t>
      </w:r>
      <w:r w:rsidRPr="00F25EBD">
        <w:rPr>
          <w:rFonts w:asciiTheme="majorHAnsi" w:hAnsiTheme="majorHAnsi" w:cstheme="majorHAnsi"/>
          <w:sz w:val="18"/>
          <w:szCs w:val="18"/>
        </w:rPr>
        <w:t>powiat działdowski, N</w:t>
      </w:r>
      <w:r w:rsidR="00336D76" w:rsidRPr="00F25EBD">
        <w:rPr>
          <w:rFonts w:asciiTheme="majorHAnsi" w:hAnsiTheme="majorHAnsi" w:cstheme="majorHAnsi"/>
          <w:sz w:val="18"/>
          <w:szCs w:val="18"/>
        </w:rPr>
        <w:t xml:space="preserve"> - </w:t>
      </w:r>
      <w:r w:rsidRPr="00F25EBD">
        <w:rPr>
          <w:rFonts w:asciiTheme="majorHAnsi" w:hAnsiTheme="majorHAnsi" w:cstheme="majorHAnsi"/>
          <w:sz w:val="18"/>
          <w:szCs w:val="18"/>
        </w:rPr>
        <w:t>powiat nidzicki, P</w:t>
      </w:r>
      <w:r w:rsidR="00336D76" w:rsidRPr="00F25EBD">
        <w:rPr>
          <w:rFonts w:asciiTheme="majorHAnsi" w:hAnsiTheme="majorHAnsi" w:cstheme="majorHAnsi"/>
          <w:sz w:val="18"/>
          <w:szCs w:val="18"/>
        </w:rPr>
        <w:t xml:space="preserve"> - </w:t>
      </w:r>
      <w:r w:rsidRPr="00F25EBD">
        <w:rPr>
          <w:rFonts w:asciiTheme="majorHAnsi" w:hAnsiTheme="majorHAnsi" w:cstheme="majorHAnsi"/>
          <w:sz w:val="18"/>
          <w:szCs w:val="18"/>
        </w:rPr>
        <w:t>powiat piski, S</w:t>
      </w:r>
      <w:r w:rsidR="00336D76" w:rsidRPr="00F25EBD">
        <w:rPr>
          <w:rFonts w:asciiTheme="majorHAnsi" w:hAnsiTheme="majorHAnsi" w:cstheme="majorHAnsi"/>
          <w:sz w:val="18"/>
          <w:szCs w:val="18"/>
        </w:rPr>
        <w:t xml:space="preserve"> - </w:t>
      </w:r>
      <w:r w:rsidRPr="00F25EBD">
        <w:rPr>
          <w:rFonts w:asciiTheme="majorHAnsi" w:hAnsiTheme="majorHAnsi" w:cstheme="majorHAnsi"/>
          <w:sz w:val="18"/>
          <w:szCs w:val="18"/>
        </w:rPr>
        <w:t>powiat szczycieński</w:t>
      </w:r>
    </w:p>
    <w:p w14:paraId="073D9819" w14:textId="77777777" w:rsidR="00EA2B5F" w:rsidRPr="00F25EBD" w:rsidRDefault="00EA2B5F" w:rsidP="00FC7062">
      <w:pPr>
        <w:spacing w:after="0" w:line="276" w:lineRule="auto"/>
        <w:jc w:val="both"/>
        <w:rPr>
          <w:rFonts w:asciiTheme="majorHAnsi" w:hAnsiTheme="majorHAnsi" w:cstheme="majorHAnsi"/>
          <w:sz w:val="18"/>
          <w:szCs w:val="18"/>
        </w:rPr>
      </w:pPr>
      <w:r w:rsidRPr="00F25EBD">
        <w:rPr>
          <w:rFonts w:asciiTheme="majorHAnsi" w:hAnsiTheme="majorHAnsi" w:cstheme="majorHAnsi"/>
          <w:sz w:val="18"/>
          <w:szCs w:val="18"/>
        </w:rPr>
        <w:t>Źródło: opracowanie własne na podstawie danych BDL.</w:t>
      </w:r>
    </w:p>
    <w:p w14:paraId="6100A114" w14:textId="77777777" w:rsidR="00EA2B5F" w:rsidRPr="00F25EBD" w:rsidRDefault="00EA2B5F" w:rsidP="00FC7062">
      <w:pPr>
        <w:spacing w:after="0" w:line="276" w:lineRule="auto"/>
        <w:jc w:val="both"/>
        <w:rPr>
          <w:rFonts w:asciiTheme="majorHAnsi" w:hAnsiTheme="majorHAnsi" w:cstheme="majorHAnsi"/>
        </w:rPr>
      </w:pPr>
    </w:p>
    <w:p w14:paraId="703061FA" w14:textId="77777777" w:rsidR="00EA2B5F" w:rsidRPr="00F25EBD" w:rsidRDefault="00EA2B5F" w:rsidP="00FC7062">
      <w:pPr>
        <w:spacing w:after="0" w:line="276" w:lineRule="auto"/>
        <w:jc w:val="both"/>
        <w:rPr>
          <w:rFonts w:asciiTheme="majorHAnsi" w:hAnsiTheme="majorHAnsi" w:cstheme="majorHAnsi"/>
        </w:rPr>
      </w:pPr>
      <w:r w:rsidRPr="00F25EBD">
        <w:rPr>
          <w:rFonts w:asciiTheme="majorHAnsi" w:hAnsiTheme="majorHAnsi" w:cstheme="majorHAnsi"/>
        </w:rPr>
        <w:t>Z analizy danych wynika, że Południowe Mazury wpisują się w ogólnopolski trend podejmowania aktywności fizycznej. Widoczne jest to szczególnie w zwiększającej się w latach 2012-2018 liczbie klubów sportowych (+2,5%) i ich członków (+11,8%), trenerów (+98,1%) i osób ćwiczących (+14,8%).</w:t>
      </w:r>
    </w:p>
    <w:p w14:paraId="0B2BB6F3" w14:textId="77777777" w:rsidR="00EA2B5F" w:rsidRPr="00F25EBD" w:rsidRDefault="00EA2B5F" w:rsidP="00FC7062">
      <w:pPr>
        <w:spacing w:after="0" w:line="276" w:lineRule="auto"/>
        <w:jc w:val="both"/>
        <w:rPr>
          <w:rFonts w:asciiTheme="majorHAnsi" w:hAnsiTheme="majorHAnsi" w:cstheme="majorHAnsi"/>
        </w:rPr>
      </w:pPr>
    </w:p>
    <w:p w14:paraId="271636F6" w14:textId="5F6D8FEB" w:rsidR="00EA2B5F" w:rsidRPr="00F25EBD" w:rsidRDefault="002C7D64" w:rsidP="002C7D64">
      <w:pPr>
        <w:pStyle w:val="Nagwek2"/>
        <w:spacing w:before="0"/>
        <w:jc w:val="both"/>
        <w:rPr>
          <w:rFonts w:cstheme="majorHAnsi"/>
        </w:rPr>
      </w:pPr>
      <w:bookmarkStart w:id="64" w:name="_Toc77070616"/>
      <w:r>
        <w:rPr>
          <w:rFonts w:cstheme="majorHAnsi"/>
        </w:rPr>
        <w:t xml:space="preserve">6.3 </w:t>
      </w:r>
      <w:r w:rsidR="00EA2B5F" w:rsidRPr="00F25EBD">
        <w:rPr>
          <w:rFonts w:cstheme="majorHAnsi"/>
        </w:rPr>
        <w:t>Kultura</w:t>
      </w:r>
      <w:bookmarkEnd w:id="64"/>
    </w:p>
    <w:p w14:paraId="38CB7B68" w14:textId="17BC01B3" w:rsidR="00EA2B5F" w:rsidRPr="00F25EBD" w:rsidRDefault="00EA2B5F" w:rsidP="00FC7062">
      <w:pPr>
        <w:spacing w:after="0" w:line="276" w:lineRule="auto"/>
        <w:jc w:val="both"/>
        <w:rPr>
          <w:rFonts w:asciiTheme="majorHAnsi" w:eastAsia="Times New Roman" w:hAnsiTheme="majorHAnsi" w:cstheme="majorHAnsi"/>
          <w:color w:val="000000"/>
          <w:lang w:eastAsia="pl-PL"/>
        </w:rPr>
      </w:pPr>
      <w:r w:rsidRPr="00F25EBD">
        <w:rPr>
          <w:rFonts w:asciiTheme="majorHAnsi" w:hAnsiTheme="majorHAnsi" w:cstheme="majorHAnsi"/>
        </w:rPr>
        <w:t>Na terenie Południowych Mazur nie ma instytucji tzw. kultury wysokiej, które zlokalizowane są przede wszystkim w Olsztynie, a także w mniejszym stopniu w Elblągu. Wyłącznie w tych dwóch miastach znajdują się teatry (stałe) i instytucje muzyczne (filharmonia, orkiestra kameralna). W</w:t>
      </w:r>
      <w:r w:rsidR="007B04A7">
        <w:rPr>
          <w:rFonts w:asciiTheme="majorHAnsi" w:hAnsiTheme="majorHAnsi" w:cstheme="majorHAnsi"/>
        </w:rPr>
        <w:t xml:space="preserve"> </w:t>
      </w:r>
      <w:r w:rsidRPr="00F25EBD">
        <w:rPr>
          <w:rFonts w:asciiTheme="majorHAnsi" w:hAnsiTheme="majorHAnsi" w:cstheme="majorHAnsi"/>
        </w:rPr>
        <w:t>powiatach PM funkcjon</w:t>
      </w:r>
      <w:r w:rsidR="00A729A5">
        <w:rPr>
          <w:rFonts w:asciiTheme="majorHAnsi" w:hAnsiTheme="majorHAnsi" w:cstheme="majorHAnsi"/>
        </w:rPr>
        <w:t>ują za to instytucje muzealne (9</w:t>
      </w:r>
      <w:r w:rsidRPr="00F25EBD">
        <w:rPr>
          <w:rFonts w:asciiTheme="majorHAnsi" w:hAnsiTheme="majorHAnsi" w:cstheme="majorHAnsi"/>
        </w:rPr>
        <w:t xml:space="preserve"> jednostek), które znajdują się w powiecie działdowskim (1), </w:t>
      </w:r>
      <w:proofErr w:type="spellStart"/>
      <w:r w:rsidRPr="00F25EBD">
        <w:rPr>
          <w:rFonts w:asciiTheme="majorHAnsi" w:hAnsiTheme="majorHAnsi" w:cstheme="majorHAnsi"/>
        </w:rPr>
        <w:t>piskim</w:t>
      </w:r>
      <w:proofErr w:type="spellEnd"/>
      <w:r w:rsidRPr="00F25EBD">
        <w:rPr>
          <w:rFonts w:asciiTheme="majorHAnsi" w:hAnsiTheme="majorHAnsi" w:cstheme="majorHAnsi"/>
        </w:rPr>
        <w:t xml:space="preserve"> (</w:t>
      </w:r>
      <w:r w:rsidR="00A729A5">
        <w:rPr>
          <w:rFonts w:asciiTheme="majorHAnsi" w:hAnsiTheme="majorHAnsi" w:cstheme="majorHAnsi"/>
        </w:rPr>
        <w:t>3</w:t>
      </w:r>
      <w:r w:rsidRPr="00F25EBD">
        <w:rPr>
          <w:rFonts w:asciiTheme="majorHAnsi" w:hAnsiTheme="majorHAnsi" w:cstheme="majorHAnsi"/>
        </w:rPr>
        <w:t>) i szczycieńskim (1). Z wyjątkiem muzeum w Szczytnie, opieka nad tymi zabytkami leży w gestii samorządu terytorialnego (powiatu lub gminy). W 2019</w:t>
      </w:r>
      <w:r w:rsidR="00F7062F">
        <w:rPr>
          <w:rFonts w:asciiTheme="majorHAnsi" w:hAnsiTheme="majorHAnsi" w:cstheme="majorHAnsi"/>
        </w:rPr>
        <w:t>r.</w:t>
      </w:r>
      <w:r w:rsidRPr="00F25EBD">
        <w:rPr>
          <w:rFonts w:asciiTheme="majorHAnsi" w:hAnsiTheme="majorHAnsi" w:cstheme="majorHAnsi"/>
        </w:rPr>
        <w:t xml:space="preserve"> wskaźnik odwiedzających te obiekty osób w</w:t>
      </w:r>
      <w:r w:rsidR="007B7167">
        <w:rPr>
          <w:rFonts w:asciiTheme="majorHAnsi" w:hAnsiTheme="majorHAnsi" w:cstheme="majorHAnsi"/>
        </w:rPr>
        <w:t> </w:t>
      </w:r>
      <w:r w:rsidRPr="00F25EBD">
        <w:rPr>
          <w:rFonts w:asciiTheme="majorHAnsi" w:hAnsiTheme="majorHAnsi" w:cstheme="majorHAnsi"/>
        </w:rPr>
        <w:t>przeliczeniu na tys. mieszkańców wyniósł średnio 315,5, co stanowiło 62% wartości wskaźnika wyznaczonego dla całego regionu (z liczbą muzeów = 32) i</w:t>
      </w:r>
      <w:r w:rsidR="007B04A7">
        <w:rPr>
          <w:rFonts w:asciiTheme="majorHAnsi" w:hAnsiTheme="majorHAnsi" w:cstheme="majorHAnsi"/>
        </w:rPr>
        <w:t xml:space="preserve"> </w:t>
      </w:r>
      <w:r w:rsidRPr="00F25EBD">
        <w:rPr>
          <w:rFonts w:asciiTheme="majorHAnsi" w:hAnsiTheme="majorHAnsi" w:cstheme="majorHAnsi"/>
        </w:rPr>
        <w:t>29,9% Polski (</w:t>
      </w:r>
      <w:r w:rsidRPr="00F25EBD">
        <w:rPr>
          <w:rFonts w:asciiTheme="majorHAnsi" w:eastAsia="Times New Roman" w:hAnsiTheme="majorHAnsi" w:cstheme="majorHAnsi"/>
          <w:color w:val="000000"/>
          <w:lang w:eastAsia="pl-PL"/>
        </w:rPr>
        <w:t>959 obiektów). Na przestrzeni lat liczba odwiedzających systematycznie rosła (z</w:t>
      </w:r>
      <w:r w:rsidR="007B04A7">
        <w:rPr>
          <w:rFonts w:asciiTheme="majorHAnsi" w:eastAsia="Times New Roman" w:hAnsiTheme="majorHAnsi" w:cstheme="majorHAnsi"/>
          <w:color w:val="000000"/>
          <w:lang w:eastAsia="pl-PL"/>
        </w:rPr>
        <w:t xml:space="preserve"> </w:t>
      </w:r>
      <w:r w:rsidRPr="00F25EBD">
        <w:rPr>
          <w:rFonts w:asciiTheme="majorHAnsi" w:eastAsia="Times New Roman" w:hAnsiTheme="majorHAnsi" w:cstheme="majorHAnsi"/>
          <w:color w:val="000000"/>
          <w:lang w:eastAsia="pl-PL"/>
        </w:rPr>
        <w:t>wyjątkiem muzeum w</w:t>
      </w:r>
      <w:r w:rsidR="007B04A7">
        <w:rPr>
          <w:rFonts w:asciiTheme="majorHAnsi" w:eastAsia="Times New Roman" w:hAnsiTheme="majorHAnsi" w:cstheme="majorHAnsi"/>
          <w:color w:val="000000"/>
          <w:lang w:eastAsia="pl-PL"/>
        </w:rPr>
        <w:t xml:space="preserve"> </w:t>
      </w:r>
      <w:r w:rsidRPr="00F25EBD">
        <w:rPr>
          <w:rFonts w:asciiTheme="majorHAnsi" w:eastAsia="Times New Roman" w:hAnsiTheme="majorHAnsi" w:cstheme="majorHAnsi"/>
          <w:color w:val="000000"/>
          <w:lang w:eastAsia="pl-PL"/>
        </w:rPr>
        <w:t>Szczytnie, które odnotowało spadek), a spektakularny wręcz przyrost wskaźnika odwiedzających (o</w:t>
      </w:r>
      <w:r w:rsidR="007B04A7">
        <w:rPr>
          <w:rFonts w:asciiTheme="majorHAnsi" w:eastAsia="Times New Roman" w:hAnsiTheme="majorHAnsi" w:cstheme="majorHAnsi"/>
          <w:color w:val="000000"/>
          <w:lang w:eastAsia="pl-PL"/>
        </w:rPr>
        <w:t xml:space="preserve"> </w:t>
      </w:r>
      <w:r w:rsidRPr="00F25EBD">
        <w:rPr>
          <w:rFonts w:asciiTheme="majorHAnsi" w:eastAsia="Times New Roman" w:hAnsiTheme="majorHAnsi" w:cstheme="majorHAnsi"/>
          <w:color w:val="000000"/>
          <w:lang w:eastAsia="pl-PL"/>
        </w:rPr>
        <w:t>248,4%</w:t>
      </w:r>
      <w:r w:rsidRPr="00F25EBD">
        <w:rPr>
          <w:rStyle w:val="Odwoanieprzypisudolnego"/>
          <w:rFonts w:asciiTheme="majorHAnsi" w:eastAsia="Times New Roman" w:hAnsiTheme="majorHAnsi" w:cstheme="majorHAnsi"/>
          <w:color w:val="000000"/>
          <w:lang w:eastAsia="pl-PL"/>
        </w:rPr>
        <w:footnoteReference w:id="41"/>
      </w:r>
      <w:r w:rsidRPr="00F25EBD">
        <w:rPr>
          <w:rFonts w:asciiTheme="majorHAnsi" w:eastAsia="Times New Roman" w:hAnsiTheme="majorHAnsi" w:cstheme="majorHAnsi"/>
          <w:color w:val="000000"/>
          <w:lang w:eastAsia="pl-PL"/>
        </w:rPr>
        <w:t>) wykazało muzeum w</w:t>
      </w:r>
      <w:r w:rsidR="007B7167">
        <w:rPr>
          <w:rFonts w:asciiTheme="majorHAnsi" w:eastAsia="Times New Roman" w:hAnsiTheme="majorHAnsi" w:cstheme="majorHAnsi"/>
          <w:color w:val="000000"/>
          <w:lang w:eastAsia="pl-PL"/>
        </w:rPr>
        <w:t> </w:t>
      </w:r>
      <w:r w:rsidRPr="00F25EBD">
        <w:rPr>
          <w:rFonts w:asciiTheme="majorHAnsi" w:eastAsia="Times New Roman" w:hAnsiTheme="majorHAnsi" w:cstheme="majorHAnsi"/>
          <w:color w:val="000000"/>
          <w:lang w:eastAsia="pl-PL"/>
        </w:rPr>
        <w:t>Działdowie.</w:t>
      </w:r>
    </w:p>
    <w:p w14:paraId="43EFE6A6" w14:textId="088AF191" w:rsidR="00EA2B5F" w:rsidRPr="00F25EBD" w:rsidRDefault="00EA2B5F" w:rsidP="008A3FED">
      <w:pPr>
        <w:spacing w:before="240" w:after="0" w:line="276" w:lineRule="auto"/>
        <w:jc w:val="both"/>
        <w:rPr>
          <w:rFonts w:asciiTheme="majorHAnsi" w:hAnsiTheme="majorHAnsi" w:cstheme="majorHAnsi"/>
        </w:rPr>
      </w:pPr>
      <w:r w:rsidRPr="00F25EBD">
        <w:rPr>
          <w:rFonts w:asciiTheme="majorHAnsi" w:hAnsiTheme="majorHAnsi" w:cstheme="majorHAnsi"/>
        </w:rPr>
        <w:t>Na analizowanym obszarze działalność kulturalna realizowana była za pomocą centrów kultury, domów kultury, ośrodków kultury oraz świetlic. W 2019</w:t>
      </w:r>
      <w:r w:rsidR="00F7062F">
        <w:rPr>
          <w:rFonts w:asciiTheme="majorHAnsi" w:hAnsiTheme="majorHAnsi" w:cstheme="majorHAnsi"/>
        </w:rPr>
        <w:t>r.</w:t>
      </w:r>
      <w:r w:rsidRPr="00F25EBD">
        <w:rPr>
          <w:rFonts w:asciiTheme="majorHAnsi" w:hAnsiTheme="majorHAnsi" w:cstheme="majorHAnsi"/>
        </w:rPr>
        <w:t xml:space="preserve"> łącznie działały 32 takie palcówki, z czego ponad połowa (17) na terenie powiatu działdowskiego. Były to głównie świetlice (13) oraz ośrodki kultury (12).</w:t>
      </w:r>
    </w:p>
    <w:p w14:paraId="1FA38415" w14:textId="48E0AC46" w:rsidR="00EA2B5F" w:rsidRPr="00F25EBD" w:rsidRDefault="00EA2B5F" w:rsidP="008A3FED">
      <w:pPr>
        <w:spacing w:before="240" w:after="0" w:line="276" w:lineRule="auto"/>
        <w:jc w:val="both"/>
        <w:rPr>
          <w:rFonts w:asciiTheme="majorHAnsi" w:hAnsiTheme="majorHAnsi" w:cstheme="majorHAnsi"/>
        </w:rPr>
      </w:pPr>
      <w:r w:rsidRPr="00F25EBD">
        <w:rPr>
          <w:rFonts w:asciiTheme="majorHAnsi" w:hAnsiTheme="majorHAnsi" w:cstheme="majorHAnsi"/>
        </w:rPr>
        <w:t>Ważną rolę w propagowaniu kultury i integracji społecznej na poziomie lokalnym pełnią biblioteki. Na</w:t>
      </w:r>
      <w:r w:rsidR="007B7167">
        <w:rPr>
          <w:rFonts w:asciiTheme="majorHAnsi" w:hAnsiTheme="majorHAnsi" w:cstheme="majorHAnsi"/>
        </w:rPr>
        <w:t> </w:t>
      </w:r>
      <w:r w:rsidRPr="00F25EBD">
        <w:rPr>
          <w:rFonts w:asciiTheme="majorHAnsi" w:hAnsiTheme="majorHAnsi" w:cstheme="majorHAnsi"/>
        </w:rPr>
        <w:t>terenie Południowych Mazur zasobność tych instytucji, wyrażona liczbą woluminów w przeliczeniu na tys. mieszkańców (2.591,8), była skromniejsza niż średnio w województwie (</w:t>
      </w:r>
      <w:r w:rsidRPr="00F25EBD">
        <w:rPr>
          <w:rFonts w:asciiTheme="majorHAnsi" w:eastAsia="Times New Roman" w:hAnsiTheme="majorHAnsi" w:cstheme="majorHAnsi"/>
          <w:color w:val="000000"/>
          <w:sz w:val="20"/>
          <w:szCs w:val="20"/>
          <w:lang w:eastAsia="pl-PL"/>
        </w:rPr>
        <w:t>2.872,2</w:t>
      </w:r>
      <w:r w:rsidRPr="00F25EBD">
        <w:rPr>
          <w:rFonts w:asciiTheme="majorHAnsi" w:hAnsiTheme="majorHAnsi" w:cstheme="majorHAnsi"/>
        </w:rPr>
        <w:t>), a także w kraju (3.309,8). Korzystniej natomiast kształtował się wskaźnik ludności przypadającej na 1 placówkę biblioteczną, który w powiatach PM wyniósł 2.387 i był niższy zarówno od wyznaczonego dla województwa (3.686), jak i kraju (4.324). Wartość wskaźnika sugerowała większą niż na obszarach referencyjnych liczbę obiektów, a przez to i dostępność. Dosyć korzystnie kształtowały się również wypożyczenia księgozbioru na czytelnika w woluminach</w:t>
      </w:r>
      <w:r w:rsidR="00336D76" w:rsidRPr="00F25EBD">
        <w:rPr>
          <w:rFonts w:asciiTheme="majorHAnsi" w:hAnsiTheme="majorHAnsi" w:cstheme="majorHAnsi"/>
        </w:rPr>
        <w:t xml:space="preserve"> - </w:t>
      </w:r>
      <w:r w:rsidRPr="00F25EBD">
        <w:rPr>
          <w:rFonts w:asciiTheme="majorHAnsi" w:hAnsiTheme="majorHAnsi" w:cstheme="majorHAnsi"/>
        </w:rPr>
        <w:t>18, podczas gdy w regionie</w:t>
      </w:r>
      <w:r w:rsidR="00336D76" w:rsidRPr="00F25EBD">
        <w:rPr>
          <w:rFonts w:asciiTheme="majorHAnsi" w:hAnsiTheme="majorHAnsi" w:cstheme="majorHAnsi"/>
        </w:rPr>
        <w:t xml:space="preserve"> - </w:t>
      </w:r>
      <w:r w:rsidRPr="00F25EBD">
        <w:rPr>
          <w:rFonts w:asciiTheme="majorHAnsi" w:hAnsiTheme="majorHAnsi" w:cstheme="majorHAnsi"/>
        </w:rPr>
        <w:t>19, a w kraju</w:t>
      </w:r>
      <w:r w:rsidR="00336D76" w:rsidRPr="00F25EBD">
        <w:rPr>
          <w:rFonts w:asciiTheme="majorHAnsi" w:hAnsiTheme="majorHAnsi" w:cstheme="majorHAnsi"/>
        </w:rPr>
        <w:t xml:space="preserve"> - </w:t>
      </w:r>
      <w:r w:rsidRPr="00F25EBD">
        <w:rPr>
          <w:rFonts w:asciiTheme="majorHAnsi" w:hAnsiTheme="majorHAnsi" w:cstheme="majorHAnsi"/>
        </w:rPr>
        <w:t>17.</w:t>
      </w:r>
    </w:p>
    <w:p w14:paraId="5F0ED20C" w14:textId="77777777" w:rsidR="00EA2B5F" w:rsidRPr="00F25EBD" w:rsidRDefault="00EA2B5F" w:rsidP="00FC7062">
      <w:pPr>
        <w:spacing w:after="0" w:line="276" w:lineRule="auto"/>
        <w:jc w:val="both"/>
        <w:rPr>
          <w:rFonts w:asciiTheme="majorHAnsi" w:hAnsiTheme="majorHAnsi" w:cstheme="majorHAnsi"/>
        </w:rPr>
      </w:pPr>
    </w:p>
    <w:p w14:paraId="569D0DF2" w14:textId="44A71AB2" w:rsidR="00EA2B5F" w:rsidRPr="00F25EBD" w:rsidRDefault="005D522F" w:rsidP="005D522F">
      <w:pPr>
        <w:pStyle w:val="Nagwek2"/>
        <w:spacing w:before="0"/>
        <w:jc w:val="both"/>
        <w:rPr>
          <w:rFonts w:cstheme="majorHAnsi"/>
        </w:rPr>
      </w:pPr>
      <w:bookmarkStart w:id="65" w:name="_Toc77070617"/>
      <w:r>
        <w:rPr>
          <w:rFonts w:cstheme="majorHAnsi"/>
        </w:rPr>
        <w:t xml:space="preserve">6.4 </w:t>
      </w:r>
      <w:r w:rsidR="00EA2B5F" w:rsidRPr="00F25EBD">
        <w:rPr>
          <w:rFonts w:cstheme="majorHAnsi"/>
        </w:rPr>
        <w:t>Ochrona zdrowia</w:t>
      </w:r>
      <w:bookmarkEnd w:id="65"/>
    </w:p>
    <w:p w14:paraId="6CA20282" w14:textId="2D98FA10" w:rsidR="00EA2B5F" w:rsidRPr="00F25EBD" w:rsidRDefault="00EA2B5F" w:rsidP="008A3FED">
      <w:pPr>
        <w:spacing w:line="276" w:lineRule="auto"/>
        <w:jc w:val="both"/>
        <w:rPr>
          <w:rFonts w:asciiTheme="majorHAnsi" w:hAnsiTheme="majorHAnsi" w:cstheme="majorHAnsi"/>
        </w:rPr>
      </w:pPr>
      <w:r w:rsidRPr="00F25EBD">
        <w:rPr>
          <w:rFonts w:asciiTheme="majorHAnsi" w:hAnsiTheme="majorHAnsi" w:cstheme="majorHAnsi"/>
        </w:rPr>
        <w:t>Pierwszym ogniwem w systemie opieki zdrowotnej jest podstawowa opieka medyczna. W 2019</w:t>
      </w:r>
      <w:r w:rsidR="00F7062F">
        <w:rPr>
          <w:rFonts w:asciiTheme="majorHAnsi" w:hAnsiTheme="majorHAnsi" w:cstheme="majorHAnsi"/>
        </w:rPr>
        <w:t>r.</w:t>
      </w:r>
      <w:r w:rsidRPr="00F25EBD">
        <w:rPr>
          <w:rFonts w:asciiTheme="majorHAnsi" w:hAnsiTheme="majorHAnsi" w:cstheme="majorHAnsi"/>
        </w:rPr>
        <w:t xml:space="preserve"> na terenie Południowych Mazur w jej ramach udzielono 1.043.448 porad, co stanowiło 16,1% konsultacji zrealizowanych w województwie warmińsko-mazurskim. Jedynie niewielka część z nich (8,8%) odbyła się w podmiotach, które podlegały samorządowi terytorialnemu. Łącznie takich jednostek było 12, z</w:t>
      </w:r>
      <w:r w:rsidR="007B04A7">
        <w:rPr>
          <w:rFonts w:asciiTheme="majorHAnsi" w:hAnsiTheme="majorHAnsi" w:cstheme="majorHAnsi"/>
        </w:rPr>
        <w:t xml:space="preserve"> </w:t>
      </w:r>
      <w:r w:rsidRPr="00F25EBD">
        <w:rPr>
          <w:rFonts w:asciiTheme="majorHAnsi" w:hAnsiTheme="majorHAnsi" w:cstheme="majorHAnsi"/>
        </w:rPr>
        <w:t>czego 2 funkcjonowały na terenie powiatu działdowskiego, 7</w:t>
      </w:r>
      <w:r w:rsidR="00336D76" w:rsidRPr="00F25EBD">
        <w:rPr>
          <w:rFonts w:asciiTheme="majorHAnsi" w:hAnsiTheme="majorHAnsi" w:cstheme="majorHAnsi"/>
        </w:rPr>
        <w:t xml:space="preserve"> - </w:t>
      </w:r>
      <w:proofErr w:type="spellStart"/>
      <w:r w:rsidRPr="00F25EBD">
        <w:rPr>
          <w:rFonts w:asciiTheme="majorHAnsi" w:hAnsiTheme="majorHAnsi" w:cstheme="majorHAnsi"/>
        </w:rPr>
        <w:t>piskiego</w:t>
      </w:r>
      <w:proofErr w:type="spellEnd"/>
      <w:r w:rsidRPr="00F25EBD">
        <w:rPr>
          <w:rFonts w:asciiTheme="majorHAnsi" w:hAnsiTheme="majorHAnsi" w:cstheme="majorHAnsi"/>
        </w:rPr>
        <w:t xml:space="preserve"> i 3 szczycieńskiego. Choć liczba udzielonych porad na przestrzeni lat 2012-2019 ulegała drobnym wahaniom (wartość rozstępu indeksów łańcuchowych</w:t>
      </w:r>
      <w:r w:rsidRPr="00F25EBD">
        <w:rPr>
          <w:rStyle w:val="Odwoanieprzypisudolnego"/>
          <w:rFonts w:asciiTheme="majorHAnsi" w:hAnsiTheme="majorHAnsi" w:cstheme="majorHAnsi"/>
        </w:rPr>
        <w:footnoteReference w:id="42"/>
      </w:r>
      <w:r w:rsidRPr="00F25EBD">
        <w:rPr>
          <w:rFonts w:asciiTheme="majorHAnsi" w:hAnsiTheme="majorHAnsi" w:cstheme="majorHAnsi"/>
        </w:rPr>
        <w:t xml:space="preserve"> wyznaczonych dla tego okresu wyniosła 7,3 pkt. proc.), to jednak porównanie sytuacji w roku końcowym (2019) i bazowym (2012) wskazywało na trend rosnący. W</w:t>
      </w:r>
      <w:r w:rsidR="007B04A7">
        <w:rPr>
          <w:rFonts w:asciiTheme="majorHAnsi" w:hAnsiTheme="majorHAnsi" w:cstheme="majorHAnsi"/>
        </w:rPr>
        <w:t xml:space="preserve"> </w:t>
      </w:r>
      <w:r w:rsidRPr="00F25EBD">
        <w:rPr>
          <w:rFonts w:asciiTheme="majorHAnsi" w:hAnsiTheme="majorHAnsi" w:cstheme="majorHAnsi"/>
        </w:rPr>
        <w:t xml:space="preserve">ciągu analizowanego okresu liczba zarejestrowanych wizyt u lekarza wzrosła o 91.381, tj. o 9,6%. </w:t>
      </w:r>
    </w:p>
    <w:p w14:paraId="2A66EAE7" w14:textId="73652B9E" w:rsidR="00EA2B5F" w:rsidRPr="00F25EBD" w:rsidRDefault="00EA2B5F" w:rsidP="008A3FED">
      <w:pPr>
        <w:spacing w:line="276" w:lineRule="auto"/>
        <w:jc w:val="both"/>
        <w:rPr>
          <w:rFonts w:asciiTheme="majorHAnsi" w:hAnsiTheme="majorHAnsi" w:cstheme="majorHAnsi"/>
        </w:rPr>
      </w:pPr>
      <w:r w:rsidRPr="00F25EBD">
        <w:rPr>
          <w:rFonts w:asciiTheme="majorHAnsi" w:hAnsiTheme="majorHAnsi" w:cstheme="majorHAnsi"/>
        </w:rPr>
        <w:t>Mając na uwadze, że na liczbę porad lekarskich ogółem (oprócz m.in. stanu zdrowia mieszkańców i</w:t>
      </w:r>
      <w:r w:rsidR="007B04A7">
        <w:rPr>
          <w:rFonts w:asciiTheme="majorHAnsi" w:hAnsiTheme="majorHAnsi" w:cstheme="majorHAnsi"/>
        </w:rPr>
        <w:t xml:space="preserve"> </w:t>
      </w:r>
      <w:r w:rsidRPr="00F25EBD">
        <w:rPr>
          <w:rFonts w:asciiTheme="majorHAnsi" w:hAnsiTheme="majorHAnsi" w:cstheme="majorHAnsi"/>
        </w:rPr>
        <w:t>ich struktury wiekowej) ma również wpływ liczba osób zamieszkujących dan</w:t>
      </w:r>
      <w:r w:rsidR="001676E7">
        <w:rPr>
          <w:rFonts w:asciiTheme="majorHAnsi" w:hAnsiTheme="majorHAnsi" w:cstheme="majorHAnsi"/>
        </w:rPr>
        <w:t>ą jednostkę administracyjną, do </w:t>
      </w:r>
      <w:r w:rsidRPr="00F25EBD">
        <w:rPr>
          <w:rFonts w:asciiTheme="majorHAnsi" w:hAnsiTheme="majorHAnsi" w:cstheme="majorHAnsi"/>
        </w:rPr>
        <w:t>oceny sytuacji panującej w poszczególnych powiatach wykorzystano wskaźnik liczby porad lekarskich w</w:t>
      </w:r>
      <w:r w:rsidR="007B04A7">
        <w:rPr>
          <w:rFonts w:asciiTheme="majorHAnsi" w:hAnsiTheme="majorHAnsi" w:cstheme="majorHAnsi"/>
        </w:rPr>
        <w:t xml:space="preserve"> </w:t>
      </w:r>
      <w:r w:rsidRPr="00F25EBD">
        <w:rPr>
          <w:rFonts w:asciiTheme="majorHAnsi" w:hAnsiTheme="majorHAnsi" w:cstheme="majorHAnsi"/>
        </w:rPr>
        <w:t>przeliczeniu na 10 tys. mieszkańców (</w:t>
      </w:r>
      <w:proofErr w:type="spellStart"/>
      <w:r w:rsidRPr="00F25EBD">
        <w:rPr>
          <w:rFonts w:asciiTheme="majorHAnsi" w:hAnsiTheme="majorHAnsi" w:cstheme="majorHAnsi"/>
        </w:rPr>
        <w:t>W</w:t>
      </w:r>
      <w:r w:rsidRPr="00F25EBD">
        <w:rPr>
          <w:rFonts w:asciiTheme="majorHAnsi" w:hAnsiTheme="majorHAnsi" w:cstheme="majorHAnsi"/>
          <w:vertAlign w:val="subscript"/>
        </w:rPr>
        <w:t>lek.por</w:t>
      </w:r>
      <w:proofErr w:type="spellEnd"/>
      <w:r w:rsidRPr="00F25EBD">
        <w:rPr>
          <w:rFonts w:asciiTheme="majorHAnsi" w:hAnsiTheme="majorHAnsi" w:cstheme="majorHAnsi"/>
          <w:vertAlign w:val="subscript"/>
        </w:rPr>
        <w:t>/10tys.miesz</w:t>
      </w:r>
      <w:r w:rsidRPr="00F25EBD">
        <w:rPr>
          <w:rFonts w:asciiTheme="majorHAnsi" w:hAnsiTheme="majorHAnsi" w:cstheme="majorHAnsi"/>
        </w:rPr>
        <w:t xml:space="preserve">). Z jednej strony wielkość ta ma charakter </w:t>
      </w:r>
      <w:proofErr w:type="spellStart"/>
      <w:r w:rsidRPr="00F25EBD">
        <w:rPr>
          <w:rFonts w:asciiTheme="majorHAnsi" w:hAnsiTheme="majorHAnsi" w:cstheme="majorHAnsi"/>
        </w:rPr>
        <w:t>destymulanty</w:t>
      </w:r>
      <w:proofErr w:type="spellEnd"/>
      <w:r w:rsidRPr="00F25EBD">
        <w:rPr>
          <w:rFonts w:asciiTheme="majorHAnsi" w:hAnsiTheme="majorHAnsi" w:cstheme="majorHAnsi"/>
        </w:rPr>
        <w:t>, a wzrost jej wartości może świadczyć o pogarszającym się stanie zdrowia ludności, ubytkach kadrowych punktów podstawowej opieki medycznej czy redukcji przychodni. Z drugiej strony, wskaźnik nosi znamiona stymulanty informującej o większej dostępności do lekarzy podstawowej opieki medycznej i szerszej możliwości korzystania z</w:t>
      </w:r>
      <w:r w:rsidR="007B04A7">
        <w:rPr>
          <w:rFonts w:asciiTheme="majorHAnsi" w:hAnsiTheme="majorHAnsi" w:cstheme="majorHAnsi"/>
        </w:rPr>
        <w:t xml:space="preserve"> </w:t>
      </w:r>
      <w:r w:rsidRPr="00F25EBD">
        <w:rPr>
          <w:rFonts w:asciiTheme="majorHAnsi" w:hAnsiTheme="majorHAnsi" w:cstheme="majorHAnsi"/>
        </w:rPr>
        <w:t>oferowanych przez nich usług. W 2019</w:t>
      </w:r>
      <w:r w:rsidR="00F7062F">
        <w:rPr>
          <w:rFonts w:asciiTheme="majorHAnsi" w:hAnsiTheme="majorHAnsi" w:cstheme="majorHAnsi"/>
        </w:rPr>
        <w:t>r.</w:t>
      </w:r>
      <w:r w:rsidRPr="00F25EBD">
        <w:rPr>
          <w:rFonts w:asciiTheme="majorHAnsi" w:hAnsiTheme="majorHAnsi" w:cstheme="majorHAnsi"/>
        </w:rPr>
        <w:t xml:space="preserve"> najwyższą wartość wskaźnika </w:t>
      </w:r>
      <w:proofErr w:type="spellStart"/>
      <w:r w:rsidRPr="00F25EBD">
        <w:rPr>
          <w:rFonts w:asciiTheme="majorHAnsi" w:hAnsiTheme="majorHAnsi" w:cstheme="majorHAnsi"/>
        </w:rPr>
        <w:t>W</w:t>
      </w:r>
      <w:r w:rsidRPr="00F25EBD">
        <w:rPr>
          <w:rFonts w:asciiTheme="majorHAnsi" w:hAnsiTheme="majorHAnsi" w:cstheme="majorHAnsi"/>
          <w:vertAlign w:val="subscript"/>
        </w:rPr>
        <w:t>lek.por</w:t>
      </w:r>
      <w:proofErr w:type="spellEnd"/>
      <w:r w:rsidRPr="00F25EBD">
        <w:rPr>
          <w:rFonts w:asciiTheme="majorHAnsi" w:hAnsiTheme="majorHAnsi" w:cstheme="majorHAnsi"/>
          <w:vertAlign w:val="subscript"/>
        </w:rPr>
        <w:t>/10tys.miesz</w:t>
      </w:r>
      <w:r w:rsidRPr="00F25EBD">
        <w:rPr>
          <w:rFonts w:asciiTheme="majorHAnsi" w:hAnsiTheme="majorHAnsi" w:cstheme="majorHAnsi"/>
        </w:rPr>
        <w:t xml:space="preserve"> (wynoszącą </w:t>
      </w:r>
      <w:r w:rsidRPr="00F25EBD">
        <w:rPr>
          <w:rFonts w:asciiTheme="majorHAnsi" w:eastAsia="Times New Roman" w:hAnsiTheme="majorHAnsi" w:cstheme="majorHAnsi"/>
          <w:lang w:eastAsia="pl-PL"/>
        </w:rPr>
        <w:t xml:space="preserve">50.846,40) oraz </w:t>
      </w:r>
      <w:r w:rsidRPr="00F25EBD">
        <w:rPr>
          <w:rFonts w:asciiTheme="majorHAnsi" w:hAnsiTheme="majorHAnsi" w:cstheme="majorHAnsi"/>
        </w:rPr>
        <w:t>najwyższy przyrost w stosunku do roku bazowego (17,4%) odnotowano w powiecie szczycieńskim, natomiast najmniejszą intensywnością kontaktów z lekarzami podstawowej opieki medycznej charakteryzował się powiat piski (43.219,38), zaś najmniejszym przyrostem (7,26%) powiat nidzicki. Zmiany wartości wskaźnika w latach 2012-2019 przedstawione są na poniższym rysunku.</w:t>
      </w:r>
    </w:p>
    <w:p w14:paraId="494E69F2" w14:textId="77777777" w:rsidR="00EA2B5F" w:rsidRPr="00F25EBD" w:rsidRDefault="00EA2B5F" w:rsidP="00FC7062">
      <w:pPr>
        <w:spacing w:after="0" w:line="276" w:lineRule="auto"/>
        <w:jc w:val="both"/>
        <w:rPr>
          <w:rFonts w:asciiTheme="majorHAnsi" w:hAnsiTheme="majorHAnsi" w:cstheme="majorHAnsi"/>
        </w:rPr>
      </w:pPr>
    </w:p>
    <w:p w14:paraId="6043546F" w14:textId="0938DB2F" w:rsidR="00EA2B5F" w:rsidRPr="00F25EBD" w:rsidRDefault="00EA2B5F" w:rsidP="005D522F">
      <w:pPr>
        <w:pStyle w:val="nad"/>
      </w:pPr>
      <w:bookmarkStart w:id="66" w:name="_Toc81301553"/>
      <w:r w:rsidRPr="00F25EBD">
        <w:t xml:space="preserve">Rysunek </w:t>
      </w:r>
      <w:r w:rsidRPr="00F25EBD">
        <w:rPr>
          <w:noProof/>
        </w:rPr>
        <w:fldChar w:fldCharType="begin"/>
      </w:r>
      <w:r w:rsidRPr="00F25EBD">
        <w:rPr>
          <w:noProof/>
        </w:rPr>
        <w:instrText xml:space="preserve"> SEQ Rysunek \* ARABIC </w:instrText>
      </w:r>
      <w:r w:rsidRPr="00F25EBD">
        <w:rPr>
          <w:noProof/>
        </w:rPr>
        <w:fldChar w:fldCharType="separate"/>
      </w:r>
      <w:r w:rsidR="006C7815">
        <w:rPr>
          <w:noProof/>
        </w:rPr>
        <w:t>25</w:t>
      </w:r>
      <w:r w:rsidRPr="00F25EBD">
        <w:rPr>
          <w:noProof/>
        </w:rPr>
        <w:fldChar w:fldCharType="end"/>
      </w:r>
      <w:r w:rsidRPr="00F25EBD">
        <w:t>. Liczba porad lekarskich podstawowej opieki medycznej na 10 tys. mieszkańców w latach 2012-2019</w:t>
      </w:r>
      <w:bookmarkEnd w:id="66"/>
    </w:p>
    <w:p w14:paraId="120B1944" w14:textId="77777777" w:rsidR="00EA2B5F" w:rsidRPr="00F25EBD" w:rsidRDefault="00EA2B5F" w:rsidP="00FC7062">
      <w:pPr>
        <w:spacing w:after="0" w:line="276" w:lineRule="auto"/>
        <w:jc w:val="center"/>
        <w:rPr>
          <w:rFonts w:asciiTheme="majorHAnsi" w:hAnsiTheme="majorHAnsi" w:cstheme="majorHAnsi"/>
        </w:rPr>
      </w:pPr>
      <w:r w:rsidRPr="00F25EBD">
        <w:rPr>
          <w:rFonts w:asciiTheme="majorHAnsi" w:hAnsiTheme="majorHAnsi" w:cstheme="majorHAnsi"/>
          <w:noProof/>
          <w:lang w:eastAsia="pl-PL"/>
        </w:rPr>
        <w:drawing>
          <wp:inline distT="0" distB="0" distL="0" distR="0" wp14:anchorId="0C66D547" wp14:editId="6125464B">
            <wp:extent cx="5760000" cy="2606400"/>
            <wp:effectExtent l="0" t="0" r="12700" b="3810"/>
            <wp:docPr id="28" name="Wykres 28">
              <a:extLst xmlns:a="http://schemas.openxmlformats.org/drawingml/2006/main">
                <a:ext uri="{FF2B5EF4-FFF2-40B4-BE49-F238E27FC236}">
                  <a16:creationId xmlns:a16="http://schemas.microsoft.com/office/drawing/2014/main" id="{B99A5AC2-E422-4354-9C01-E471D5DFE2A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4ED5119B" w14:textId="77777777" w:rsidR="00EA2B5F" w:rsidRPr="00F25EBD" w:rsidRDefault="00EA2B5F" w:rsidP="005D522F">
      <w:pPr>
        <w:pStyle w:val="rdo"/>
      </w:pPr>
      <w:r w:rsidRPr="00F25EBD">
        <w:t>Źródło: opracowanie własne na podstawie danych BDL.</w:t>
      </w:r>
    </w:p>
    <w:p w14:paraId="1738803D" w14:textId="77777777" w:rsidR="008A3FED" w:rsidRDefault="008A3FED" w:rsidP="00FC7062">
      <w:pPr>
        <w:spacing w:after="0" w:line="276" w:lineRule="auto"/>
        <w:jc w:val="both"/>
        <w:rPr>
          <w:rFonts w:asciiTheme="majorHAnsi" w:hAnsiTheme="majorHAnsi" w:cstheme="majorHAnsi"/>
        </w:rPr>
      </w:pPr>
    </w:p>
    <w:p w14:paraId="5F114139" w14:textId="48164FEB" w:rsidR="00EA2B5F" w:rsidRPr="00F25EBD" w:rsidRDefault="00EA2B5F" w:rsidP="00FC7062">
      <w:pPr>
        <w:spacing w:after="0" w:line="276" w:lineRule="auto"/>
        <w:jc w:val="both"/>
        <w:rPr>
          <w:rFonts w:asciiTheme="majorHAnsi" w:hAnsiTheme="majorHAnsi" w:cstheme="majorHAnsi"/>
        </w:rPr>
      </w:pPr>
      <w:r w:rsidRPr="00F25EBD">
        <w:rPr>
          <w:rFonts w:asciiTheme="majorHAnsi" w:hAnsiTheme="majorHAnsi" w:cstheme="majorHAnsi"/>
        </w:rPr>
        <w:t>Drugi szczebel w systemie ochrony zdrowia stanowi leczenie specjalistyczne realizowane w ramach ambulatoryjnej opieki specjalistycznej. W 2019</w:t>
      </w:r>
      <w:r w:rsidR="00F7062F">
        <w:rPr>
          <w:rFonts w:asciiTheme="majorHAnsi" w:hAnsiTheme="majorHAnsi" w:cstheme="majorHAnsi"/>
        </w:rPr>
        <w:t>r.</w:t>
      </w:r>
      <w:r w:rsidRPr="00F25EBD">
        <w:rPr>
          <w:rFonts w:asciiTheme="majorHAnsi" w:hAnsiTheme="majorHAnsi" w:cstheme="majorHAnsi"/>
        </w:rPr>
        <w:t xml:space="preserve"> na terenie Południowych Mazur funkcjonowało 139 poradni świadczących tego typu usługi, co stanowiło 16,0% jednostek zarejestrowanych w</w:t>
      </w:r>
      <w:r w:rsidR="001676E7">
        <w:rPr>
          <w:rFonts w:asciiTheme="majorHAnsi" w:hAnsiTheme="majorHAnsi" w:cstheme="majorHAnsi"/>
        </w:rPr>
        <w:t> </w:t>
      </w:r>
      <w:r w:rsidRPr="00F25EBD">
        <w:rPr>
          <w:rFonts w:asciiTheme="majorHAnsi" w:hAnsiTheme="majorHAnsi" w:cstheme="majorHAnsi"/>
        </w:rPr>
        <w:t xml:space="preserve">województwie warmińsko-mazurskim. Łącznie udzieliły one 1.401.389 porad, tj. </w:t>
      </w:r>
      <w:r w:rsidRPr="00F25EBD">
        <w:rPr>
          <w:rFonts w:asciiTheme="majorHAnsi" w:eastAsia="Times New Roman" w:hAnsiTheme="majorHAnsi" w:cstheme="majorHAnsi"/>
          <w:lang w:eastAsia="pl-PL"/>
        </w:rPr>
        <w:t xml:space="preserve">14,1% ogółu odnotowanych na terenie Warmii i Mazur. Średnio na jedną przychodnię przypadało 10.082 konsultacji, przy czym największą ich liczbę zarejestrowały przychodnie z powiatu nidzickiego (10.925), natomiast najmniejszą z </w:t>
      </w:r>
      <w:proofErr w:type="spellStart"/>
      <w:r w:rsidRPr="00F25EBD">
        <w:rPr>
          <w:rFonts w:asciiTheme="majorHAnsi" w:eastAsia="Times New Roman" w:hAnsiTheme="majorHAnsi" w:cstheme="majorHAnsi"/>
          <w:lang w:eastAsia="pl-PL"/>
        </w:rPr>
        <w:t>piskiego</w:t>
      </w:r>
      <w:proofErr w:type="spellEnd"/>
      <w:r w:rsidRPr="00F25EBD">
        <w:rPr>
          <w:rFonts w:asciiTheme="majorHAnsi" w:eastAsia="Times New Roman" w:hAnsiTheme="majorHAnsi" w:cstheme="majorHAnsi"/>
          <w:lang w:eastAsia="pl-PL"/>
        </w:rPr>
        <w:t xml:space="preserve"> (8.545). Wskaźnik liczby porad przypadających na 10 tys. mieszkańców (</w:t>
      </w:r>
      <w:proofErr w:type="spellStart"/>
      <w:r w:rsidRPr="00F25EBD">
        <w:rPr>
          <w:rFonts w:asciiTheme="majorHAnsi" w:hAnsiTheme="majorHAnsi" w:cstheme="majorHAnsi"/>
        </w:rPr>
        <w:t>W</w:t>
      </w:r>
      <w:r w:rsidRPr="00F25EBD">
        <w:rPr>
          <w:rFonts w:asciiTheme="majorHAnsi" w:hAnsiTheme="majorHAnsi" w:cstheme="majorHAnsi"/>
          <w:vertAlign w:val="subscript"/>
        </w:rPr>
        <w:t>por.amb</w:t>
      </w:r>
      <w:proofErr w:type="spellEnd"/>
      <w:r w:rsidRPr="00F25EBD">
        <w:rPr>
          <w:rFonts w:asciiTheme="majorHAnsi" w:hAnsiTheme="majorHAnsi" w:cstheme="majorHAnsi"/>
          <w:vertAlign w:val="subscript"/>
        </w:rPr>
        <w:t>/10tys.miesz</w:t>
      </w:r>
      <w:r w:rsidRPr="00F25EBD">
        <w:rPr>
          <w:rFonts w:asciiTheme="majorHAnsi" w:eastAsia="Times New Roman" w:hAnsiTheme="majorHAnsi" w:cstheme="majorHAnsi"/>
          <w:lang w:eastAsia="pl-PL"/>
        </w:rPr>
        <w:t>) wyniósł dla Południowych Mazur 62.700 i był niższy od wskaźnika wyznaczonego zarówno dla kraju (75.935), jak i dla regionu (69.686). Najwyższa wartość wskaźnika wystąpiła w</w:t>
      </w:r>
      <w:r w:rsidR="007B7167">
        <w:rPr>
          <w:rFonts w:asciiTheme="majorHAnsi" w:eastAsia="Times New Roman" w:hAnsiTheme="majorHAnsi" w:cstheme="majorHAnsi"/>
          <w:lang w:eastAsia="pl-PL"/>
        </w:rPr>
        <w:t> </w:t>
      </w:r>
      <w:r w:rsidRPr="00F25EBD">
        <w:rPr>
          <w:rFonts w:asciiTheme="majorHAnsi" w:eastAsia="Times New Roman" w:hAnsiTheme="majorHAnsi" w:cstheme="majorHAnsi"/>
          <w:lang w:eastAsia="pl-PL"/>
        </w:rPr>
        <w:t xml:space="preserve">powiecie nidzickim (66.500), najniższa w </w:t>
      </w:r>
      <w:proofErr w:type="spellStart"/>
      <w:r w:rsidRPr="00F25EBD">
        <w:rPr>
          <w:rFonts w:asciiTheme="majorHAnsi" w:eastAsia="Times New Roman" w:hAnsiTheme="majorHAnsi" w:cstheme="majorHAnsi"/>
          <w:lang w:eastAsia="pl-PL"/>
        </w:rPr>
        <w:t>piskim</w:t>
      </w:r>
      <w:proofErr w:type="spellEnd"/>
      <w:r w:rsidRPr="00F25EBD">
        <w:rPr>
          <w:rFonts w:asciiTheme="majorHAnsi" w:eastAsia="Times New Roman" w:hAnsiTheme="majorHAnsi" w:cstheme="majorHAnsi"/>
          <w:lang w:eastAsia="pl-PL"/>
        </w:rPr>
        <w:t xml:space="preserve"> (57.841). Na przestrzeni lat 2012-2019 widoczny był wzrost liczby porad przypadających na 10 tys. mieszkańców (który w skali całego obszaru PM wyniósł 11,7%) i spadek liczby porad przypadających na przychodnię (-2,5%), co było m.in. konsekwencją przyrostu liczby placówek (+14 nowych). Zmiany wartości wskaźników opisujących sytuację poszczególnych powiatów w zakresie ambulatoryjnej opieki specjalistycznej zestawione są w</w:t>
      </w:r>
      <w:r w:rsidR="007B04A7">
        <w:rPr>
          <w:rFonts w:asciiTheme="majorHAnsi" w:eastAsia="Times New Roman" w:hAnsiTheme="majorHAnsi" w:cstheme="majorHAnsi"/>
          <w:lang w:eastAsia="pl-PL"/>
        </w:rPr>
        <w:t xml:space="preserve"> </w:t>
      </w:r>
      <w:r w:rsidRPr="00F25EBD">
        <w:rPr>
          <w:rFonts w:asciiTheme="majorHAnsi" w:eastAsia="Times New Roman" w:hAnsiTheme="majorHAnsi" w:cstheme="majorHAnsi"/>
          <w:lang w:eastAsia="pl-PL"/>
        </w:rPr>
        <w:t>poniższej tabeli.</w:t>
      </w:r>
    </w:p>
    <w:p w14:paraId="34000059" w14:textId="77777777" w:rsidR="004C64BD" w:rsidRDefault="004C64BD" w:rsidP="00FC7062">
      <w:pPr>
        <w:spacing w:line="276" w:lineRule="auto"/>
        <w:rPr>
          <w:rFonts w:asciiTheme="majorHAnsi" w:hAnsiTheme="majorHAnsi" w:cstheme="majorHAnsi"/>
        </w:rPr>
      </w:pPr>
      <w:r>
        <w:rPr>
          <w:rFonts w:asciiTheme="majorHAnsi" w:hAnsiTheme="majorHAnsi" w:cstheme="majorHAnsi"/>
        </w:rPr>
        <w:br w:type="page"/>
      </w:r>
    </w:p>
    <w:p w14:paraId="2A07818C" w14:textId="77777777" w:rsidR="00EA2B5F" w:rsidRPr="00F25EBD" w:rsidRDefault="00EA2B5F" w:rsidP="005D522F">
      <w:pPr>
        <w:pStyle w:val="nad"/>
      </w:pPr>
      <w:bookmarkStart w:id="67" w:name="_Toc81300541"/>
      <w:r w:rsidRPr="00F25EBD">
        <w:t xml:space="preserve">Tabela </w:t>
      </w:r>
      <w:r w:rsidRPr="00F25EBD">
        <w:rPr>
          <w:noProof/>
        </w:rPr>
        <w:fldChar w:fldCharType="begin"/>
      </w:r>
      <w:r w:rsidRPr="00F25EBD">
        <w:rPr>
          <w:noProof/>
        </w:rPr>
        <w:instrText xml:space="preserve"> SEQ Tabela \* ARABIC </w:instrText>
      </w:r>
      <w:r w:rsidRPr="00F25EBD">
        <w:rPr>
          <w:noProof/>
        </w:rPr>
        <w:fldChar w:fldCharType="separate"/>
      </w:r>
      <w:r w:rsidR="006C7815">
        <w:rPr>
          <w:noProof/>
        </w:rPr>
        <w:t>15</w:t>
      </w:r>
      <w:r w:rsidRPr="00F25EBD">
        <w:rPr>
          <w:noProof/>
        </w:rPr>
        <w:fldChar w:fldCharType="end"/>
      </w:r>
      <w:r w:rsidRPr="00F25EBD">
        <w:t>. Ambulatoryjna opieka specjalistyczna w powiatach Południowych Mazur</w:t>
      </w:r>
      <w:bookmarkEnd w:id="67"/>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972"/>
        <w:gridCol w:w="1814"/>
        <w:gridCol w:w="821"/>
        <w:gridCol w:w="822"/>
        <w:gridCol w:w="821"/>
        <w:gridCol w:w="822"/>
      </w:tblGrid>
      <w:tr w:rsidR="005D522F" w:rsidRPr="005D522F" w14:paraId="36690E74" w14:textId="77777777" w:rsidTr="007B7167">
        <w:trPr>
          <w:trHeight w:val="454"/>
        </w:trPr>
        <w:tc>
          <w:tcPr>
            <w:tcW w:w="4039" w:type="dxa"/>
            <w:tcBorders>
              <w:top w:val="single" w:sz="4" w:space="0" w:color="FFFFFF" w:themeColor="background1"/>
              <w:left w:val="single" w:sz="4" w:space="0" w:color="FFFFFF" w:themeColor="background1"/>
              <w:bottom w:val="nil"/>
              <w:right w:val="single" w:sz="4" w:space="0" w:color="FFFFFF" w:themeColor="background1"/>
            </w:tcBorders>
            <w:shd w:val="clear" w:color="auto" w:fill="92D050"/>
            <w:noWrap/>
            <w:vAlign w:val="center"/>
            <w:hideMark/>
          </w:tcPr>
          <w:p w14:paraId="7D01A029" w14:textId="77777777" w:rsidR="00EA2B5F" w:rsidRPr="005D522F" w:rsidRDefault="00EA2B5F" w:rsidP="005D522F">
            <w:pPr>
              <w:spacing w:after="0" w:line="240" w:lineRule="auto"/>
              <w:jc w:val="center"/>
              <w:rPr>
                <w:rFonts w:asciiTheme="majorHAnsi" w:eastAsia="Times New Roman" w:hAnsiTheme="majorHAnsi" w:cstheme="majorHAnsi"/>
                <w:color w:val="FFFFFF" w:themeColor="background1"/>
                <w:sz w:val="20"/>
                <w:szCs w:val="20"/>
                <w:lang w:eastAsia="pl-PL"/>
              </w:rPr>
            </w:pPr>
            <w:r w:rsidRPr="005D522F">
              <w:rPr>
                <w:rFonts w:asciiTheme="majorHAnsi" w:eastAsia="Times New Roman" w:hAnsiTheme="majorHAnsi" w:cstheme="majorHAnsi"/>
                <w:color w:val="FFFFFF" w:themeColor="background1"/>
                <w:sz w:val="20"/>
                <w:szCs w:val="20"/>
                <w:lang w:eastAsia="pl-PL"/>
              </w:rPr>
              <w:t>Wyszczególnienie</w:t>
            </w:r>
          </w:p>
        </w:tc>
        <w:tc>
          <w:tcPr>
            <w:tcW w:w="1843" w:type="dxa"/>
            <w:tcBorders>
              <w:top w:val="single" w:sz="4" w:space="0" w:color="FFFFFF" w:themeColor="background1"/>
              <w:left w:val="single" w:sz="4" w:space="0" w:color="FFFFFF" w:themeColor="background1"/>
              <w:bottom w:val="nil"/>
              <w:right w:val="single" w:sz="4" w:space="0" w:color="FFFFFF" w:themeColor="background1"/>
            </w:tcBorders>
            <w:shd w:val="clear" w:color="auto" w:fill="92D050"/>
            <w:vAlign w:val="center"/>
          </w:tcPr>
          <w:p w14:paraId="426A4FF6" w14:textId="77777777" w:rsidR="00EA2B5F" w:rsidRPr="005D522F" w:rsidRDefault="00EA2B5F" w:rsidP="005D522F">
            <w:pPr>
              <w:spacing w:after="0" w:line="240" w:lineRule="auto"/>
              <w:jc w:val="center"/>
              <w:rPr>
                <w:rFonts w:asciiTheme="majorHAnsi" w:eastAsia="Times New Roman" w:hAnsiTheme="majorHAnsi" w:cstheme="majorHAnsi"/>
                <w:color w:val="FFFFFF" w:themeColor="background1"/>
                <w:sz w:val="20"/>
                <w:szCs w:val="20"/>
                <w:lang w:eastAsia="pl-PL"/>
              </w:rPr>
            </w:pPr>
            <w:r w:rsidRPr="005D522F">
              <w:rPr>
                <w:rFonts w:asciiTheme="majorHAnsi" w:eastAsia="Times New Roman" w:hAnsiTheme="majorHAnsi" w:cstheme="majorHAnsi"/>
                <w:color w:val="FFFFFF" w:themeColor="background1"/>
                <w:sz w:val="20"/>
                <w:szCs w:val="20"/>
                <w:lang w:eastAsia="pl-PL"/>
              </w:rPr>
              <w:t>Rok</w:t>
            </w:r>
          </w:p>
        </w:tc>
        <w:tc>
          <w:tcPr>
            <w:tcW w:w="832" w:type="dxa"/>
            <w:tcBorders>
              <w:top w:val="single" w:sz="4" w:space="0" w:color="FFFFFF" w:themeColor="background1"/>
              <w:left w:val="single" w:sz="4" w:space="0" w:color="FFFFFF" w:themeColor="background1"/>
              <w:bottom w:val="nil"/>
              <w:right w:val="single" w:sz="4" w:space="0" w:color="FFFFFF" w:themeColor="background1"/>
            </w:tcBorders>
            <w:shd w:val="clear" w:color="auto" w:fill="92D050"/>
            <w:noWrap/>
            <w:vAlign w:val="center"/>
            <w:hideMark/>
          </w:tcPr>
          <w:p w14:paraId="038A6F01" w14:textId="77777777" w:rsidR="00EA2B5F" w:rsidRPr="005D522F" w:rsidRDefault="00EA2B5F" w:rsidP="005D522F">
            <w:pPr>
              <w:spacing w:after="0" w:line="240" w:lineRule="auto"/>
              <w:jc w:val="center"/>
              <w:rPr>
                <w:rFonts w:asciiTheme="majorHAnsi" w:eastAsia="Times New Roman" w:hAnsiTheme="majorHAnsi" w:cstheme="majorHAnsi"/>
                <w:color w:val="FFFFFF" w:themeColor="background1"/>
                <w:sz w:val="20"/>
                <w:szCs w:val="20"/>
                <w:lang w:eastAsia="pl-PL"/>
              </w:rPr>
            </w:pPr>
            <w:r w:rsidRPr="005D522F">
              <w:rPr>
                <w:rFonts w:asciiTheme="majorHAnsi" w:eastAsia="Times New Roman" w:hAnsiTheme="majorHAnsi" w:cstheme="majorHAnsi"/>
                <w:color w:val="FFFFFF" w:themeColor="background1"/>
                <w:sz w:val="20"/>
                <w:szCs w:val="20"/>
                <w:lang w:eastAsia="pl-PL"/>
              </w:rPr>
              <w:t>D</w:t>
            </w:r>
          </w:p>
        </w:tc>
        <w:tc>
          <w:tcPr>
            <w:tcW w:w="833" w:type="dxa"/>
            <w:tcBorders>
              <w:top w:val="single" w:sz="4" w:space="0" w:color="FFFFFF" w:themeColor="background1"/>
              <w:left w:val="single" w:sz="4" w:space="0" w:color="FFFFFF" w:themeColor="background1"/>
              <w:bottom w:val="nil"/>
              <w:right w:val="single" w:sz="4" w:space="0" w:color="FFFFFF" w:themeColor="background1"/>
            </w:tcBorders>
            <w:shd w:val="clear" w:color="auto" w:fill="92D050"/>
            <w:noWrap/>
            <w:vAlign w:val="center"/>
            <w:hideMark/>
          </w:tcPr>
          <w:p w14:paraId="70D13CA5" w14:textId="77777777" w:rsidR="00EA2B5F" w:rsidRPr="005D522F" w:rsidRDefault="00EA2B5F" w:rsidP="005D522F">
            <w:pPr>
              <w:spacing w:after="0" w:line="240" w:lineRule="auto"/>
              <w:jc w:val="center"/>
              <w:rPr>
                <w:rFonts w:asciiTheme="majorHAnsi" w:eastAsia="Times New Roman" w:hAnsiTheme="majorHAnsi" w:cstheme="majorHAnsi"/>
                <w:color w:val="FFFFFF" w:themeColor="background1"/>
                <w:sz w:val="20"/>
                <w:szCs w:val="20"/>
                <w:lang w:eastAsia="pl-PL"/>
              </w:rPr>
            </w:pPr>
            <w:r w:rsidRPr="005D522F">
              <w:rPr>
                <w:rFonts w:asciiTheme="majorHAnsi" w:eastAsia="Times New Roman" w:hAnsiTheme="majorHAnsi" w:cstheme="majorHAnsi"/>
                <w:color w:val="FFFFFF" w:themeColor="background1"/>
                <w:sz w:val="20"/>
                <w:szCs w:val="20"/>
                <w:lang w:eastAsia="pl-PL"/>
              </w:rPr>
              <w:t>N</w:t>
            </w:r>
          </w:p>
        </w:tc>
        <w:tc>
          <w:tcPr>
            <w:tcW w:w="832" w:type="dxa"/>
            <w:tcBorders>
              <w:top w:val="single" w:sz="4" w:space="0" w:color="FFFFFF" w:themeColor="background1"/>
              <w:left w:val="single" w:sz="4" w:space="0" w:color="FFFFFF" w:themeColor="background1"/>
              <w:bottom w:val="nil"/>
              <w:right w:val="single" w:sz="4" w:space="0" w:color="FFFFFF" w:themeColor="background1"/>
            </w:tcBorders>
            <w:shd w:val="clear" w:color="auto" w:fill="92D050"/>
            <w:noWrap/>
            <w:vAlign w:val="center"/>
            <w:hideMark/>
          </w:tcPr>
          <w:p w14:paraId="26108A7E" w14:textId="77777777" w:rsidR="00EA2B5F" w:rsidRPr="005D522F" w:rsidRDefault="00EA2B5F" w:rsidP="005D522F">
            <w:pPr>
              <w:spacing w:after="0" w:line="240" w:lineRule="auto"/>
              <w:jc w:val="center"/>
              <w:rPr>
                <w:rFonts w:asciiTheme="majorHAnsi" w:eastAsia="Times New Roman" w:hAnsiTheme="majorHAnsi" w:cstheme="majorHAnsi"/>
                <w:color w:val="FFFFFF" w:themeColor="background1"/>
                <w:sz w:val="20"/>
                <w:szCs w:val="20"/>
                <w:lang w:eastAsia="pl-PL"/>
              </w:rPr>
            </w:pPr>
            <w:r w:rsidRPr="005D522F">
              <w:rPr>
                <w:rFonts w:asciiTheme="majorHAnsi" w:eastAsia="Times New Roman" w:hAnsiTheme="majorHAnsi" w:cstheme="majorHAnsi"/>
                <w:color w:val="FFFFFF" w:themeColor="background1"/>
                <w:sz w:val="20"/>
                <w:szCs w:val="20"/>
                <w:lang w:eastAsia="pl-PL"/>
              </w:rPr>
              <w:t>P</w:t>
            </w:r>
          </w:p>
        </w:tc>
        <w:tc>
          <w:tcPr>
            <w:tcW w:w="833" w:type="dxa"/>
            <w:tcBorders>
              <w:top w:val="single" w:sz="4" w:space="0" w:color="FFFFFF" w:themeColor="background1"/>
              <w:left w:val="single" w:sz="4" w:space="0" w:color="FFFFFF" w:themeColor="background1"/>
              <w:bottom w:val="nil"/>
              <w:right w:val="single" w:sz="4" w:space="0" w:color="FFFFFF" w:themeColor="background1"/>
            </w:tcBorders>
            <w:shd w:val="clear" w:color="auto" w:fill="92D050"/>
            <w:noWrap/>
            <w:vAlign w:val="center"/>
            <w:hideMark/>
          </w:tcPr>
          <w:p w14:paraId="639DC3AF" w14:textId="77777777" w:rsidR="00EA2B5F" w:rsidRPr="005D522F" w:rsidRDefault="00EA2B5F" w:rsidP="005D522F">
            <w:pPr>
              <w:spacing w:after="0" w:line="240" w:lineRule="auto"/>
              <w:jc w:val="center"/>
              <w:rPr>
                <w:rFonts w:asciiTheme="majorHAnsi" w:eastAsia="Times New Roman" w:hAnsiTheme="majorHAnsi" w:cstheme="majorHAnsi"/>
                <w:color w:val="FFFFFF" w:themeColor="background1"/>
                <w:sz w:val="20"/>
                <w:szCs w:val="20"/>
                <w:lang w:eastAsia="pl-PL"/>
              </w:rPr>
            </w:pPr>
            <w:r w:rsidRPr="005D522F">
              <w:rPr>
                <w:rFonts w:asciiTheme="majorHAnsi" w:eastAsia="Times New Roman" w:hAnsiTheme="majorHAnsi" w:cstheme="majorHAnsi"/>
                <w:color w:val="FFFFFF" w:themeColor="background1"/>
                <w:sz w:val="20"/>
                <w:szCs w:val="20"/>
                <w:lang w:eastAsia="pl-PL"/>
              </w:rPr>
              <w:t>SZ</w:t>
            </w:r>
          </w:p>
        </w:tc>
      </w:tr>
      <w:tr w:rsidR="00EA2B5F" w:rsidRPr="00F25EBD" w14:paraId="7597B4D9" w14:textId="77777777" w:rsidTr="007B7167">
        <w:trPr>
          <w:trHeight w:val="288"/>
        </w:trPr>
        <w:tc>
          <w:tcPr>
            <w:tcW w:w="4039" w:type="dxa"/>
            <w:vMerge w:val="restart"/>
            <w:tcBorders>
              <w:top w:val="nil"/>
              <w:left w:val="nil"/>
              <w:bottom w:val="single" w:sz="4" w:space="0" w:color="808080" w:themeColor="background1" w:themeShade="80"/>
              <w:right w:val="nil"/>
            </w:tcBorders>
            <w:shd w:val="clear" w:color="auto" w:fill="auto"/>
            <w:noWrap/>
            <w:vAlign w:val="center"/>
          </w:tcPr>
          <w:p w14:paraId="775C57F9" w14:textId="77777777" w:rsidR="00EA2B5F" w:rsidRPr="00F25EBD" w:rsidRDefault="00EA2B5F" w:rsidP="005D522F">
            <w:pPr>
              <w:spacing w:after="0" w:line="240" w:lineRule="auto"/>
              <w:rPr>
                <w:rFonts w:asciiTheme="majorHAnsi" w:eastAsia="Times New Roman" w:hAnsiTheme="majorHAnsi" w:cstheme="majorHAnsi"/>
                <w:sz w:val="20"/>
                <w:szCs w:val="20"/>
                <w:lang w:eastAsia="pl-PL"/>
              </w:rPr>
            </w:pPr>
            <w:r w:rsidRPr="00F25EBD">
              <w:rPr>
                <w:rFonts w:asciiTheme="majorHAnsi" w:eastAsia="Times New Roman" w:hAnsiTheme="majorHAnsi" w:cstheme="majorHAnsi"/>
                <w:sz w:val="20"/>
                <w:szCs w:val="20"/>
                <w:lang w:eastAsia="pl-PL"/>
              </w:rPr>
              <w:t>Liczba przychodni</w:t>
            </w:r>
          </w:p>
        </w:tc>
        <w:tc>
          <w:tcPr>
            <w:tcW w:w="1843" w:type="dxa"/>
            <w:tcBorders>
              <w:top w:val="nil"/>
              <w:left w:val="nil"/>
              <w:bottom w:val="single" w:sz="4" w:space="0" w:color="808080" w:themeColor="background1" w:themeShade="80"/>
              <w:right w:val="nil"/>
            </w:tcBorders>
            <w:shd w:val="clear" w:color="auto" w:fill="auto"/>
            <w:vAlign w:val="center"/>
          </w:tcPr>
          <w:p w14:paraId="2CA7D183" w14:textId="77777777" w:rsidR="00EA2B5F" w:rsidRPr="00F25EBD" w:rsidRDefault="00EA2B5F" w:rsidP="005D522F">
            <w:pPr>
              <w:spacing w:after="0" w:line="240" w:lineRule="auto"/>
              <w:jc w:val="center"/>
              <w:rPr>
                <w:rFonts w:asciiTheme="majorHAnsi" w:eastAsia="Times New Roman" w:hAnsiTheme="majorHAnsi" w:cstheme="majorHAnsi"/>
                <w:sz w:val="20"/>
                <w:szCs w:val="20"/>
                <w:lang w:eastAsia="pl-PL"/>
              </w:rPr>
            </w:pPr>
            <w:r w:rsidRPr="00F25EBD">
              <w:rPr>
                <w:rFonts w:asciiTheme="majorHAnsi" w:eastAsia="Times New Roman" w:hAnsiTheme="majorHAnsi" w:cstheme="majorHAnsi"/>
                <w:sz w:val="18"/>
                <w:szCs w:val="18"/>
                <w:lang w:eastAsia="pl-PL"/>
              </w:rPr>
              <w:t>2019</w:t>
            </w:r>
          </w:p>
        </w:tc>
        <w:tc>
          <w:tcPr>
            <w:tcW w:w="832" w:type="dxa"/>
            <w:tcBorders>
              <w:top w:val="nil"/>
              <w:left w:val="nil"/>
              <w:bottom w:val="single" w:sz="4" w:space="0" w:color="808080" w:themeColor="background1" w:themeShade="80"/>
              <w:right w:val="nil"/>
            </w:tcBorders>
            <w:shd w:val="clear" w:color="auto" w:fill="auto"/>
            <w:noWrap/>
            <w:vAlign w:val="bottom"/>
          </w:tcPr>
          <w:p w14:paraId="3D1D515A" w14:textId="77777777" w:rsidR="00EA2B5F" w:rsidRPr="00F25EBD" w:rsidRDefault="00EA2B5F" w:rsidP="005D522F">
            <w:pPr>
              <w:spacing w:after="0" w:line="240" w:lineRule="auto"/>
              <w:jc w:val="center"/>
              <w:rPr>
                <w:rFonts w:asciiTheme="majorHAnsi" w:eastAsia="Times New Roman" w:hAnsiTheme="majorHAnsi" w:cstheme="majorHAnsi"/>
                <w:color w:val="000000"/>
                <w:sz w:val="20"/>
                <w:szCs w:val="20"/>
                <w:lang w:eastAsia="pl-PL"/>
              </w:rPr>
            </w:pPr>
            <w:r w:rsidRPr="00F25EBD">
              <w:rPr>
                <w:rFonts w:asciiTheme="majorHAnsi" w:hAnsiTheme="majorHAnsi" w:cstheme="majorHAnsi"/>
                <w:color w:val="000000"/>
                <w:sz w:val="20"/>
                <w:szCs w:val="20"/>
              </w:rPr>
              <w:t>39</w:t>
            </w:r>
          </w:p>
        </w:tc>
        <w:tc>
          <w:tcPr>
            <w:tcW w:w="833" w:type="dxa"/>
            <w:tcBorders>
              <w:top w:val="nil"/>
              <w:left w:val="nil"/>
              <w:bottom w:val="single" w:sz="4" w:space="0" w:color="808080" w:themeColor="background1" w:themeShade="80"/>
              <w:right w:val="nil"/>
            </w:tcBorders>
            <w:shd w:val="clear" w:color="auto" w:fill="auto"/>
            <w:noWrap/>
            <w:vAlign w:val="bottom"/>
          </w:tcPr>
          <w:p w14:paraId="28C6BD78" w14:textId="77777777" w:rsidR="00EA2B5F" w:rsidRPr="00F25EBD" w:rsidRDefault="00EA2B5F" w:rsidP="005D522F">
            <w:pPr>
              <w:spacing w:after="0" w:line="240" w:lineRule="auto"/>
              <w:jc w:val="center"/>
              <w:rPr>
                <w:rFonts w:asciiTheme="majorHAnsi" w:eastAsia="Times New Roman" w:hAnsiTheme="majorHAnsi" w:cstheme="majorHAnsi"/>
                <w:color w:val="000000"/>
                <w:sz w:val="20"/>
                <w:szCs w:val="20"/>
                <w:lang w:eastAsia="pl-PL"/>
              </w:rPr>
            </w:pPr>
            <w:r w:rsidRPr="00F25EBD">
              <w:rPr>
                <w:rFonts w:asciiTheme="majorHAnsi" w:hAnsiTheme="majorHAnsi" w:cstheme="majorHAnsi"/>
                <w:color w:val="000000"/>
                <w:sz w:val="20"/>
                <w:szCs w:val="20"/>
              </w:rPr>
              <w:t>20</w:t>
            </w:r>
          </w:p>
        </w:tc>
        <w:tc>
          <w:tcPr>
            <w:tcW w:w="832" w:type="dxa"/>
            <w:tcBorders>
              <w:top w:val="nil"/>
              <w:left w:val="nil"/>
              <w:bottom w:val="single" w:sz="4" w:space="0" w:color="808080" w:themeColor="background1" w:themeShade="80"/>
              <w:right w:val="nil"/>
            </w:tcBorders>
            <w:shd w:val="clear" w:color="auto" w:fill="auto"/>
            <w:noWrap/>
            <w:vAlign w:val="bottom"/>
          </w:tcPr>
          <w:p w14:paraId="6B5F5AEA" w14:textId="77777777" w:rsidR="00EA2B5F" w:rsidRPr="00F25EBD" w:rsidRDefault="00EA2B5F" w:rsidP="005D522F">
            <w:pPr>
              <w:spacing w:after="0" w:line="240" w:lineRule="auto"/>
              <w:jc w:val="center"/>
              <w:rPr>
                <w:rFonts w:asciiTheme="majorHAnsi" w:eastAsia="Times New Roman" w:hAnsiTheme="majorHAnsi" w:cstheme="majorHAnsi"/>
                <w:color w:val="000000"/>
                <w:sz w:val="20"/>
                <w:szCs w:val="20"/>
                <w:lang w:eastAsia="pl-PL"/>
              </w:rPr>
            </w:pPr>
            <w:r w:rsidRPr="00F25EBD">
              <w:rPr>
                <w:rFonts w:asciiTheme="majorHAnsi" w:hAnsiTheme="majorHAnsi" w:cstheme="majorHAnsi"/>
                <w:color w:val="000000"/>
                <w:sz w:val="20"/>
                <w:szCs w:val="20"/>
              </w:rPr>
              <w:t>38</w:t>
            </w:r>
          </w:p>
        </w:tc>
        <w:tc>
          <w:tcPr>
            <w:tcW w:w="833" w:type="dxa"/>
            <w:tcBorders>
              <w:top w:val="nil"/>
              <w:left w:val="nil"/>
              <w:bottom w:val="single" w:sz="4" w:space="0" w:color="808080" w:themeColor="background1" w:themeShade="80"/>
              <w:right w:val="nil"/>
            </w:tcBorders>
            <w:shd w:val="clear" w:color="auto" w:fill="auto"/>
            <w:noWrap/>
            <w:vAlign w:val="bottom"/>
          </w:tcPr>
          <w:p w14:paraId="442FB74C" w14:textId="77777777" w:rsidR="00EA2B5F" w:rsidRPr="00F25EBD" w:rsidRDefault="00EA2B5F" w:rsidP="005D522F">
            <w:pPr>
              <w:spacing w:after="0" w:line="240" w:lineRule="auto"/>
              <w:jc w:val="center"/>
              <w:rPr>
                <w:rFonts w:asciiTheme="majorHAnsi" w:eastAsia="Times New Roman" w:hAnsiTheme="majorHAnsi" w:cstheme="majorHAnsi"/>
                <w:color w:val="000000"/>
                <w:sz w:val="20"/>
                <w:szCs w:val="20"/>
                <w:lang w:eastAsia="pl-PL"/>
              </w:rPr>
            </w:pPr>
            <w:r w:rsidRPr="00F25EBD">
              <w:rPr>
                <w:rFonts w:asciiTheme="majorHAnsi" w:hAnsiTheme="majorHAnsi" w:cstheme="majorHAnsi"/>
                <w:color w:val="000000"/>
                <w:sz w:val="20"/>
                <w:szCs w:val="20"/>
              </w:rPr>
              <w:t>42</w:t>
            </w:r>
          </w:p>
        </w:tc>
      </w:tr>
      <w:tr w:rsidR="00EA2B5F" w:rsidRPr="00F25EBD" w14:paraId="61F04F3B" w14:textId="77777777" w:rsidTr="007B7167">
        <w:trPr>
          <w:trHeight w:val="288"/>
        </w:trPr>
        <w:tc>
          <w:tcPr>
            <w:tcW w:w="4039" w:type="dxa"/>
            <w:vMerge/>
            <w:tcBorders>
              <w:top w:val="single" w:sz="4" w:space="0" w:color="808080" w:themeColor="background1" w:themeShade="80"/>
              <w:left w:val="nil"/>
              <w:bottom w:val="single" w:sz="4" w:space="0" w:color="808080" w:themeColor="background1" w:themeShade="80"/>
              <w:right w:val="nil"/>
            </w:tcBorders>
            <w:shd w:val="clear" w:color="auto" w:fill="auto"/>
            <w:noWrap/>
            <w:vAlign w:val="center"/>
          </w:tcPr>
          <w:p w14:paraId="5801EBA8" w14:textId="77777777" w:rsidR="00EA2B5F" w:rsidRPr="00F25EBD" w:rsidRDefault="00EA2B5F" w:rsidP="005D522F">
            <w:pPr>
              <w:spacing w:after="0" w:line="240" w:lineRule="auto"/>
              <w:rPr>
                <w:rFonts w:asciiTheme="majorHAnsi" w:eastAsia="Times New Roman" w:hAnsiTheme="majorHAnsi" w:cstheme="majorHAnsi"/>
                <w:color w:val="000000"/>
                <w:sz w:val="20"/>
                <w:szCs w:val="20"/>
                <w:lang w:eastAsia="pl-PL"/>
              </w:rPr>
            </w:pPr>
          </w:p>
        </w:tc>
        <w:tc>
          <w:tcPr>
            <w:tcW w:w="1843" w:type="dxa"/>
            <w:tcBorders>
              <w:top w:val="single" w:sz="4" w:space="0" w:color="808080" w:themeColor="background1" w:themeShade="80"/>
              <w:left w:val="nil"/>
              <w:bottom w:val="single" w:sz="4" w:space="0" w:color="808080" w:themeColor="background1" w:themeShade="80"/>
              <w:right w:val="nil"/>
            </w:tcBorders>
            <w:shd w:val="clear" w:color="auto" w:fill="auto"/>
            <w:vAlign w:val="center"/>
          </w:tcPr>
          <w:p w14:paraId="5CBA6B90" w14:textId="77777777" w:rsidR="00EA2B5F" w:rsidRPr="00F25EBD" w:rsidRDefault="00EA2B5F" w:rsidP="005D522F">
            <w:pPr>
              <w:spacing w:after="0" w:line="240" w:lineRule="auto"/>
              <w:jc w:val="center"/>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sz w:val="18"/>
                <w:szCs w:val="18"/>
                <w:lang w:eastAsia="pl-PL"/>
              </w:rPr>
              <w:t>zmiana 2012=100%</w:t>
            </w:r>
          </w:p>
        </w:tc>
        <w:tc>
          <w:tcPr>
            <w:tcW w:w="832" w:type="dxa"/>
            <w:tcBorders>
              <w:top w:val="single" w:sz="4" w:space="0" w:color="808080" w:themeColor="background1" w:themeShade="80"/>
              <w:left w:val="nil"/>
              <w:bottom w:val="single" w:sz="4" w:space="0" w:color="808080" w:themeColor="background1" w:themeShade="80"/>
              <w:right w:val="nil"/>
            </w:tcBorders>
            <w:shd w:val="clear" w:color="auto" w:fill="auto"/>
            <w:noWrap/>
            <w:vAlign w:val="bottom"/>
          </w:tcPr>
          <w:p w14:paraId="76BD63DA" w14:textId="77777777" w:rsidR="00EA2B5F" w:rsidRPr="00F25EBD" w:rsidRDefault="00EA2B5F" w:rsidP="005D522F">
            <w:pPr>
              <w:spacing w:after="0" w:line="240" w:lineRule="auto"/>
              <w:jc w:val="center"/>
              <w:rPr>
                <w:rFonts w:asciiTheme="majorHAnsi" w:eastAsia="Times New Roman" w:hAnsiTheme="majorHAnsi" w:cstheme="majorHAnsi"/>
                <w:sz w:val="20"/>
                <w:szCs w:val="20"/>
                <w:lang w:eastAsia="pl-PL"/>
              </w:rPr>
            </w:pPr>
            <w:r w:rsidRPr="00F25EBD">
              <w:rPr>
                <w:rFonts w:asciiTheme="majorHAnsi" w:hAnsiTheme="majorHAnsi" w:cstheme="majorHAnsi"/>
                <w:sz w:val="20"/>
                <w:szCs w:val="20"/>
              </w:rPr>
              <w:t>8,3</w:t>
            </w:r>
          </w:p>
        </w:tc>
        <w:tc>
          <w:tcPr>
            <w:tcW w:w="833" w:type="dxa"/>
            <w:tcBorders>
              <w:top w:val="single" w:sz="4" w:space="0" w:color="808080" w:themeColor="background1" w:themeShade="80"/>
              <w:left w:val="nil"/>
              <w:bottom w:val="single" w:sz="4" w:space="0" w:color="808080" w:themeColor="background1" w:themeShade="80"/>
              <w:right w:val="nil"/>
            </w:tcBorders>
            <w:shd w:val="clear" w:color="auto" w:fill="auto"/>
            <w:noWrap/>
            <w:vAlign w:val="bottom"/>
          </w:tcPr>
          <w:p w14:paraId="5AAC9BA7" w14:textId="77777777" w:rsidR="00EA2B5F" w:rsidRPr="00F25EBD" w:rsidRDefault="00EA2B5F" w:rsidP="005D522F">
            <w:pPr>
              <w:spacing w:after="0" w:line="240" w:lineRule="auto"/>
              <w:jc w:val="center"/>
              <w:rPr>
                <w:rFonts w:asciiTheme="majorHAnsi" w:eastAsia="Times New Roman" w:hAnsiTheme="majorHAnsi" w:cstheme="majorHAnsi"/>
                <w:sz w:val="20"/>
                <w:szCs w:val="20"/>
                <w:lang w:eastAsia="pl-PL"/>
              </w:rPr>
            </w:pPr>
            <w:r w:rsidRPr="00F25EBD">
              <w:rPr>
                <w:rFonts w:asciiTheme="majorHAnsi" w:hAnsiTheme="majorHAnsi" w:cstheme="majorHAnsi"/>
                <w:sz w:val="20"/>
                <w:szCs w:val="20"/>
              </w:rPr>
              <w:t>11,1</w:t>
            </w:r>
          </w:p>
        </w:tc>
        <w:tc>
          <w:tcPr>
            <w:tcW w:w="832" w:type="dxa"/>
            <w:tcBorders>
              <w:top w:val="single" w:sz="4" w:space="0" w:color="808080" w:themeColor="background1" w:themeShade="80"/>
              <w:left w:val="nil"/>
              <w:bottom w:val="single" w:sz="4" w:space="0" w:color="808080" w:themeColor="background1" w:themeShade="80"/>
              <w:right w:val="nil"/>
            </w:tcBorders>
            <w:shd w:val="clear" w:color="auto" w:fill="auto"/>
            <w:noWrap/>
            <w:vAlign w:val="bottom"/>
          </w:tcPr>
          <w:p w14:paraId="2ADC4071" w14:textId="77777777" w:rsidR="00EA2B5F" w:rsidRPr="00F25EBD" w:rsidRDefault="00EA2B5F" w:rsidP="005D522F">
            <w:pPr>
              <w:spacing w:after="0" w:line="240" w:lineRule="auto"/>
              <w:jc w:val="center"/>
              <w:rPr>
                <w:rFonts w:asciiTheme="majorHAnsi" w:eastAsia="Times New Roman" w:hAnsiTheme="majorHAnsi" w:cstheme="majorHAnsi"/>
                <w:sz w:val="20"/>
                <w:szCs w:val="20"/>
                <w:lang w:eastAsia="pl-PL"/>
              </w:rPr>
            </w:pPr>
            <w:r w:rsidRPr="00F25EBD">
              <w:rPr>
                <w:rFonts w:asciiTheme="majorHAnsi" w:hAnsiTheme="majorHAnsi" w:cstheme="majorHAnsi"/>
                <w:sz w:val="20"/>
                <w:szCs w:val="20"/>
              </w:rPr>
              <w:t>11,8</w:t>
            </w:r>
          </w:p>
        </w:tc>
        <w:tc>
          <w:tcPr>
            <w:tcW w:w="833" w:type="dxa"/>
            <w:tcBorders>
              <w:top w:val="single" w:sz="4" w:space="0" w:color="808080" w:themeColor="background1" w:themeShade="80"/>
              <w:left w:val="nil"/>
              <w:bottom w:val="single" w:sz="4" w:space="0" w:color="808080" w:themeColor="background1" w:themeShade="80"/>
              <w:right w:val="nil"/>
            </w:tcBorders>
            <w:shd w:val="clear" w:color="auto" w:fill="auto"/>
            <w:noWrap/>
            <w:vAlign w:val="bottom"/>
          </w:tcPr>
          <w:p w14:paraId="5EA102AB" w14:textId="77777777" w:rsidR="00EA2B5F" w:rsidRPr="00F25EBD" w:rsidRDefault="00EA2B5F" w:rsidP="005D522F">
            <w:pPr>
              <w:spacing w:after="0" w:line="240" w:lineRule="auto"/>
              <w:jc w:val="center"/>
              <w:rPr>
                <w:rFonts w:asciiTheme="majorHAnsi" w:eastAsia="Times New Roman" w:hAnsiTheme="majorHAnsi" w:cstheme="majorHAnsi"/>
                <w:sz w:val="20"/>
                <w:szCs w:val="20"/>
                <w:lang w:eastAsia="pl-PL"/>
              </w:rPr>
            </w:pPr>
            <w:r w:rsidRPr="00F25EBD">
              <w:rPr>
                <w:rFonts w:asciiTheme="majorHAnsi" w:hAnsiTheme="majorHAnsi" w:cstheme="majorHAnsi"/>
                <w:sz w:val="20"/>
                <w:szCs w:val="20"/>
              </w:rPr>
              <w:t>13,5</w:t>
            </w:r>
          </w:p>
        </w:tc>
      </w:tr>
      <w:tr w:rsidR="00EA2B5F" w:rsidRPr="00F25EBD" w14:paraId="0C3DA47D" w14:textId="77777777" w:rsidTr="007B7167">
        <w:trPr>
          <w:trHeight w:val="288"/>
        </w:trPr>
        <w:tc>
          <w:tcPr>
            <w:tcW w:w="4039" w:type="dxa"/>
            <w:vMerge w:val="restart"/>
            <w:tcBorders>
              <w:top w:val="single" w:sz="4" w:space="0" w:color="808080" w:themeColor="background1" w:themeShade="80"/>
              <w:left w:val="nil"/>
              <w:bottom w:val="single" w:sz="4" w:space="0" w:color="808080" w:themeColor="background1" w:themeShade="80"/>
              <w:right w:val="nil"/>
            </w:tcBorders>
            <w:shd w:val="clear" w:color="auto" w:fill="auto"/>
            <w:noWrap/>
            <w:vAlign w:val="center"/>
          </w:tcPr>
          <w:p w14:paraId="5B1C86F7" w14:textId="77777777" w:rsidR="00EA2B5F" w:rsidRPr="00F25EBD" w:rsidRDefault="00EA2B5F" w:rsidP="005D522F">
            <w:pPr>
              <w:spacing w:after="0" w:line="240" w:lineRule="auto"/>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Liczba udzielonych porad ogółem</w:t>
            </w:r>
          </w:p>
        </w:tc>
        <w:tc>
          <w:tcPr>
            <w:tcW w:w="1843" w:type="dxa"/>
            <w:tcBorders>
              <w:top w:val="single" w:sz="4" w:space="0" w:color="808080" w:themeColor="background1" w:themeShade="80"/>
              <w:left w:val="nil"/>
              <w:bottom w:val="single" w:sz="4" w:space="0" w:color="808080" w:themeColor="background1" w:themeShade="80"/>
              <w:right w:val="nil"/>
            </w:tcBorders>
            <w:shd w:val="clear" w:color="auto" w:fill="auto"/>
            <w:vAlign w:val="center"/>
          </w:tcPr>
          <w:p w14:paraId="70728739" w14:textId="77777777" w:rsidR="00EA2B5F" w:rsidRPr="00F25EBD" w:rsidRDefault="00EA2B5F" w:rsidP="005D522F">
            <w:pPr>
              <w:spacing w:after="0" w:line="240" w:lineRule="auto"/>
              <w:jc w:val="center"/>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sz w:val="18"/>
                <w:szCs w:val="18"/>
                <w:lang w:eastAsia="pl-PL"/>
              </w:rPr>
              <w:t>2019</w:t>
            </w:r>
          </w:p>
        </w:tc>
        <w:tc>
          <w:tcPr>
            <w:tcW w:w="832" w:type="dxa"/>
            <w:tcBorders>
              <w:top w:val="single" w:sz="4" w:space="0" w:color="808080" w:themeColor="background1" w:themeShade="80"/>
              <w:left w:val="nil"/>
              <w:bottom w:val="single" w:sz="4" w:space="0" w:color="808080" w:themeColor="background1" w:themeShade="80"/>
              <w:right w:val="nil"/>
            </w:tcBorders>
            <w:shd w:val="clear" w:color="auto" w:fill="auto"/>
            <w:noWrap/>
            <w:vAlign w:val="bottom"/>
          </w:tcPr>
          <w:p w14:paraId="74BA7935" w14:textId="77777777" w:rsidR="00EA2B5F" w:rsidRPr="00F25EBD" w:rsidRDefault="00EA2B5F" w:rsidP="005D522F">
            <w:pPr>
              <w:spacing w:after="0" w:line="240" w:lineRule="auto"/>
              <w:jc w:val="center"/>
              <w:rPr>
                <w:rFonts w:asciiTheme="majorHAnsi" w:eastAsia="Times New Roman" w:hAnsiTheme="majorHAnsi" w:cstheme="majorHAnsi"/>
                <w:color w:val="000000"/>
                <w:sz w:val="20"/>
                <w:szCs w:val="20"/>
                <w:lang w:eastAsia="pl-PL"/>
              </w:rPr>
            </w:pPr>
            <w:r w:rsidRPr="00F25EBD">
              <w:rPr>
                <w:rFonts w:asciiTheme="majorHAnsi" w:hAnsiTheme="majorHAnsi" w:cstheme="majorHAnsi"/>
                <w:sz w:val="20"/>
                <w:szCs w:val="20"/>
              </w:rPr>
              <w:t>408.487</w:t>
            </w:r>
          </w:p>
        </w:tc>
        <w:tc>
          <w:tcPr>
            <w:tcW w:w="833" w:type="dxa"/>
            <w:tcBorders>
              <w:top w:val="single" w:sz="4" w:space="0" w:color="808080" w:themeColor="background1" w:themeShade="80"/>
              <w:left w:val="nil"/>
              <w:bottom w:val="single" w:sz="4" w:space="0" w:color="808080" w:themeColor="background1" w:themeShade="80"/>
              <w:right w:val="nil"/>
            </w:tcBorders>
            <w:shd w:val="clear" w:color="auto" w:fill="auto"/>
            <w:noWrap/>
            <w:vAlign w:val="bottom"/>
          </w:tcPr>
          <w:p w14:paraId="30C8EED9" w14:textId="77777777" w:rsidR="00EA2B5F" w:rsidRPr="00F25EBD" w:rsidRDefault="00EA2B5F" w:rsidP="005D522F">
            <w:pPr>
              <w:spacing w:after="0" w:line="240" w:lineRule="auto"/>
              <w:jc w:val="center"/>
              <w:rPr>
                <w:rFonts w:asciiTheme="majorHAnsi" w:eastAsia="Times New Roman" w:hAnsiTheme="majorHAnsi" w:cstheme="majorHAnsi"/>
                <w:color w:val="000000"/>
                <w:sz w:val="20"/>
                <w:szCs w:val="20"/>
                <w:lang w:eastAsia="pl-PL"/>
              </w:rPr>
            </w:pPr>
            <w:r w:rsidRPr="00F25EBD">
              <w:rPr>
                <w:rFonts w:asciiTheme="majorHAnsi" w:hAnsiTheme="majorHAnsi" w:cstheme="majorHAnsi"/>
                <w:sz w:val="20"/>
                <w:szCs w:val="20"/>
              </w:rPr>
              <w:t>218.498</w:t>
            </w:r>
          </w:p>
        </w:tc>
        <w:tc>
          <w:tcPr>
            <w:tcW w:w="832" w:type="dxa"/>
            <w:tcBorders>
              <w:top w:val="single" w:sz="4" w:space="0" w:color="808080" w:themeColor="background1" w:themeShade="80"/>
              <w:left w:val="nil"/>
              <w:bottom w:val="single" w:sz="4" w:space="0" w:color="808080" w:themeColor="background1" w:themeShade="80"/>
              <w:right w:val="nil"/>
            </w:tcBorders>
            <w:shd w:val="clear" w:color="auto" w:fill="auto"/>
            <w:noWrap/>
            <w:vAlign w:val="bottom"/>
          </w:tcPr>
          <w:p w14:paraId="277FD9C5" w14:textId="77777777" w:rsidR="00EA2B5F" w:rsidRPr="00F25EBD" w:rsidRDefault="00EA2B5F" w:rsidP="005D522F">
            <w:pPr>
              <w:spacing w:after="0" w:line="240" w:lineRule="auto"/>
              <w:jc w:val="center"/>
              <w:rPr>
                <w:rFonts w:asciiTheme="majorHAnsi" w:eastAsia="Times New Roman" w:hAnsiTheme="majorHAnsi" w:cstheme="majorHAnsi"/>
                <w:color w:val="000000"/>
                <w:sz w:val="20"/>
                <w:szCs w:val="20"/>
                <w:lang w:eastAsia="pl-PL"/>
              </w:rPr>
            </w:pPr>
            <w:r w:rsidRPr="00F25EBD">
              <w:rPr>
                <w:rFonts w:asciiTheme="majorHAnsi" w:hAnsiTheme="majorHAnsi" w:cstheme="majorHAnsi"/>
                <w:sz w:val="20"/>
                <w:szCs w:val="20"/>
              </w:rPr>
              <w:t>324.692</w:t>
            </w:r>
          </w:p>
        </w:tc>
        <w:tc>
          <w:tcPr>
            <w:tcW w:w="833" w:type="dxa"/>
            <w:tcBorders>
              <w:top w:val="single" w:sz="4" w:space="0" w:color="808080" w:themeColor="background1" w:themeShade="80"/>
              <w:left w:val="nil"/>
              <w:bottom w:val="single" w:sz="4" w:space="0" w:color="808080" w:themeColor="background1" w:themeShade="80"/>
              <w:right w:val="nil"/>
            </w:tcBorders>
            <w:shd w:val="clear" w:color="auto" w:fill="auto"/>
            <w:noWrap/>
            <w:vAlign w:val="bottom"/>
          </w:tcPr>
          <w:p w14:paraId="6ED2135C" w14:textId="77777777" w:rsidR="00EA2B5F" w:rsidRPr="00F25EBD" w:rsidRDefault="00EA2B5F" w:rsidP="005D522F">
            <w:pPr>
              <w:spacing w:after="0" w:line="240" w:lineRule="auto"/>
              <w:jc w:val="center"/>
              <w:rPr>
                <w:rFonts w:asciiTheme="majorHAnsi" w:eastAsia="Times New Roman" w:hAnsiTheme="majorHAnsi" w:cstheme="majorHAnsi"/>
                <w:color w:val="000000"/>
                <w:sz w:val="20"/>
                <w:szCs w:val="20"/>
                <w:lang w:eastAsia="pl-PL"/>
              </w:rPr>
            </w:pPr>
            <w:r w:rsidRPr="00F25EBD">
              <w:rPr>
                <w:rFonts w:asciiTheme="majorHAnsi" w:hAnsiTheme="majorHAnsi" w:cstheme="majorHAnsi"/>
                <w:sz w:val="20"/>
                <w:szCs w:val="20"/>
              </w:rPr>
              <w:t>449.712</w:t>
            </w:r>
          </w:p>
        </w:tc>
      </w:tr>
      <w:tr w:rsidR="00EA2B5F" w:rsidRPr="00F25EBD" w14:paraId="4FAA5D24" w14:textId="77777777" w:rsidTr="007B7167">
        <w:trPr>
          <w:trHeight w:val="288"/>
        </w:trPr>
        <w:tc>
          <w:tcPr>
            <w:tcW w:w="4039" w:type="dxa"/>
            <w:vMerge/>
            <w:tcBorders>
              <w:top w:val="single" w:sz="4" w:space="0" w:color="808080" w:themeColor="background1" w:themeShade="80"/>
              <w:left w:val="nil"/>
              <w:bottom w:val="single" w:sz="4" w:space="0" w:color="808080" w:themeColor="background1" w:themeShade="80"/>
              <w:right w:val="nil"/>
            </w:tcBorders>
            <w:shd w:val="clear" w:color="auto" w:fill="auto"/>
            <w:noWrap/>
            <w:vAlign w:val="center"/>
          </w:tcPr>
          <w:p w14:paraId="33DC10D3" w14:textId="77777777" w:rsidR="00EA2B5F" w:rsidRPr="00F25EBD" w:rsidRDefault="00EA2B5F" w:rsidP="005D522F">
            <w:pPr>
              <w:spacing w:after="0" w:line="240" w:lineRule="auto"/>
              <w:rPr>
                <w:rFonts w:asciiTheme="majorHAnsi" w:eastAsia="Times New Roman" w:hAnsiTheme="majorHAnsi" w:cstheme="majorHAnsi"/>
                <w:color w:val="000000"/>
                <w:sz w:val="20"/>
                <w:szCs w:val="20"/>
                <w:lang w:eastAsia="pl-PL"/>
              </w:rPr>
            </w:pPr>
          </w:p>
        </w:tc>
        <w:tc>
          <w:tcPr>
            <w:tcW w:w="1843" w:type="dxa"/>
            <w:tcBorders>
              <w:top w:val="single" w:sz="4" w:space="0" w:color="808080" w:themeColor="background1" w:themeShade="80"/>
              <w:left w:val="nil"/>
              <w:bottom w:val="single" w:sz="4" w:space="0" w:color="808080" w:themeColor="background1" w:themeShade="80"/>
              <w:right w:val="nil"/>
            </w:tcBorders>
            <w:shd w:val="clear" w:color="auto" w:fill="auto"/>
            <w:vAlign w:val="center"/>
          </w:tcPr>
          <w:p w14:paraId="1C7E3816" w14:textId="77777777" w:rsidR="00EA2B5F" w:rsidRPr="00F25EBD" w:rsidRDefault="00EA2B5F" w:rsidP="005D522F">
            <w:pPr>
              <w:spacing w:after="0" w:line="240" w:lineRule="auto"/>
              <w:jc w:val="center"/>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sz w:val="18"/>
                <w:szCs w:val="18"/>
                <w:lang w:eastAsia="pl-PL"/>
              </w:rPr>
              <w:t>zmiana 2012=100%</w:t>
            </w:r>
          </w:p>
        </w:tc>
        <w:tc>
          <w:tcPr>
            <w:tcW w:w="832" w:type="dxa"/>
            <w:tcBorders>
              <w:top w:val="single" w:sz="4" w:space="0" w:color="808080" w:themeColor="background1" w:themeShade="80"/>
              <w:left w:val="nil"/>
              <w:bottom w:val="single" w:sz="4" w:space="0" w:color="808080" w:themeColor="background1" w:themeShade="80"/>
              <w:right w:val="nil"/>
            </w:tcBorders>
            <w:shd w:val="clear" w:color="auto" w:fill="auto"/>
            <w:noWrap/>
            <w:vAlign w:val="bottom"/>
          </w:tcPr>
          <w:p w14:paraId="313A57C5" w14:textId="77777777" w:rsidR="00EA2B5F" w:rsidRPr="00F25EBD" w:rsidRDefault="00EA2B5F" w:rsidP="005D522F">
            <w:pPr>
              <w:spacing w:after="0" w:line="240" w:lineRule="auto"/>
              <w:jc w:val="center"/>
              <w:rPr>
                <w:rFonts w:asciiTheme="majorHAnsi" w:eastAsia="Times New Roman" w:hAnsiTheme="majorHAnsi" w:cstheme="majorHAnsi"/>
                <w:sz w:val="20"/>
                <w:szCs w:val="20"/>
                <w:lang w:eastAsia="pl-PL"/>
              </w:rPr>
            </w:pPr>
            <w:r w:rsidRPr="00F25EBD">
              <w:rPr>
                <w:rFonts w:asciiTheme="majorHAnsi" w:hAnsiTheme="majorHAnsi" w:cstheme="majorHAnsi"/>
                <w:sz w:val="20"/>
                <w:szCs w:val="20"/>
              </w:rPr>
              <w:t>1,8</w:t>
            </w:r>
          </w:p>
        </w:tc>
        <w:tc>
          <w:tcPr>
            <w:tcW w:w="833" w:type="dxa"/>
            <w:tcBorders>
              <w:top w:val="single" w:sz="4" w:space="0" w:color="808080" w:themeColor="background1" w:themeShade="80"/>
              <w:left w:val="nil"/>
              <w:bottom w:val="single" w:sz="4" w:space="0" w:color="808080" w:themeColor="background1" w:themeShade="80"/>
              <w:right w:val="nil"/>
            </w:tcBorders>
            <w:shd w:val="clear" w:color="auto" w:fill="auto"/>
            <w:noWrap/>
            <w:vAlign w:val="bottom"/>
          </w:tcPr>
          <w:p w14:paraId="2645E7C0" w14:textId="77777777" w:rsidR="00EA2B5F" w:rsidRPr="00F25EBD" w:rsidRDefault="00EA2B5F" w:rsidP="005D522F">
            <w:pPr>
              <w:spacing w:after="0" w:line="240" w:lineRule="auto"/>
              <w:jc w:val="center"/>
              <w:rPr>
                <w:rFonts w:asciiTheme="majorHAnsi" w:eastAsia="Times New Roman" w:hAnsiTheme="majorHAnsi" w:cstheme="majorHAnsi"/>
                <w:sz w:val="20"/>
                <w:szCs w:val="20"/>
                <w:lang w:eastAsia="pl-PL"/>
              </w:rPr>
            </w:pPr>
            <w:r w:rsidRPr="00F25EBD">
              <w:rPr>
                <w:rFonts w:asciiTheme="majorHAnsi" w:hAnsiTheme="majorHAnsi" w:cstheme="majorHAnsi"/>
                <w:sz w:val="20"/>
                <w:szCs w:val="20"/>
              </w:rPr>
              <w:t>-2,9</w:t>
            </w:r>
          </w:p>
        </w:tc>
        <w:tc>
          <w:tcPr>
            <w:tcW w:w="832" w:type="dxa"/>
            <w:tcBorders>
              <w:top w:val="single" w:sz="4" w:space="0" w:color="808080" w:themeColor="background1" w:themeShade="80"/>
              <w:left w:val="nil"/>
              <w:bottom w:val="single" w:sz="4" w:space="0" w:color="808080" w:themeColor="background1" w:themeShade="80"/>
              <w:right w:val="nil"/>
            </w:tcBorders>
            <w:shd w:val="clear" w:color="auto" w:fill="auto"/>
            <w:noWrap/>
            <w:vAlign w:val="bottom"/>
          </w:tcPr>
          <w:p w14:paraId="62D879A7" w14:textId="77777777" w:rsidR="00EA2B5F" w:rsidRPr="00F25EBD" w:rsidRDefault="00EA2B5F" w:rsidP="005D522F">
            <w:pPr>
              <w:spacing w:after="0" w:line="240" w:lineRule="auto"/>
              <w:jc w:val="center"/>
              <w:rPr>
                <w:rFonts w:asciiTheme="majorHAnsi" w:eastAsia="Times New Roman" w:hAnsiTheme="majorHAnsi" w:cstheme="majorHAnsi"/>
                <w:sz w:val="20"/>
                <w:szCs w:val="20"/>
                <w:lang w:eastAsia="pl-PL"/>
              </w:rPr>
            </w:pPr>
            <w:r w:rsidRPr="00F25EBD">
              <w:rPr>
                <w:rFonts w:asciiTheme="majorHAnsi" w:hAnsiTheme="majorHAnsi" w:cstheme="majorHAnsi"/>
                <w:sz w:val="20"/>
                <w:szCs w:val="20"/>
              </w:rPr>
              <w:t>24,6</w:t>
            </w:r>
          </w:p>
        </w:tc>
        <w:tc>
          <w:tcPr>
            <w:tcW w:w="833" w:type="dxa"/>
            <w:tcBorders>
              <w:top w:val="single" w:sz="4" w:space="0" w:color="808080" w:themeColor="background1" w:themeShade="80"/>
              <w:left w:val="nil"/>
              <w:bottom w:val="single" w:sz="4" w:space="0" w:color="808080" w:themeColor="background1" w:themeShade="80"/>
              <w:right w:val="nil"/>
            </w:tcBorders>
            <w:shd w:val="clear" w:color="auto" w:fill="auto"/>
            <w:noWrap/>
            <w:vAlign w:val="bottom"/>
          </w:tcPr>
          <w:p w14:paraId="25BFF1C2" w14:textId="77777777" w:rsidR="00EA2B5F" w:rsidRPr="00F25EBD" w:rsidRDefault="00EA2B5F" w:rsidP="005D522F">
            <w:pPr>
              <w:spacing w:after="0" w:line="240" w:lineRule="auto"/>
              <w:jc w:val="center"/>
              <w:rPr>
                <w:rFonts w:asciiTheme="majorHAnsi" w:eastAsia="Times New Roman" w:hAnsiTheme="majorHAnsi" w:cstheme="majorHAnsi"/>
                <w:sz w:val="20"/>
                <w:szCs w:val="20"/>
                <w:lang w:eastAsia="pl-PL"/>
              </w:rPr>
            </w:pPr>
            <w:r w:rsidRPr="00F25EBD">
              <w:rPr>
                <w:rFonts w:asciiTheme="majorHAnsi" w:hAnsiTheme="majorHAnsi" w:cstheme="majorHAnsi"/>
                <w:sz w:val="20"/>
                <w:szCs w:val="20"/>
              </w:rPr>
              <w:t>10,9</w:t>
            </w:r>
          </w:p>
        </w:tc>
      </w:tr>
      <w:tr w:rsidR="00EA2B5F" w:rsidRPr="00F25EBD" w14:paraId="60DBE4C7" w14:textId="77777777" w:rsidTr="007B7167">
        <w:trPr>
          <w:trHeight w:val="288"/>
        </w:trPr>
        <w:tc>
          <w:tcPr>
            <w:tcW w:w="4039" w:type="dxa"/>
            <w:vMerge w:val="restart"/>
            <w:tcBorders>
              <w:top w:val="single" w:sz="4" w:space="0" w:color="808080" w:themeColor="background1" w:themeShade="80"/>
              <w:left w:val="nil"/>
              <w:bottom w:val="single" w:sz="4" w:space="0" w:color="808080" w:themeColor="background1" w:themeShade="80"/>
              <w:right w:val="nil"/>
            </w:tcBorders>
            <w:shd w:val="clear" w:color="auto" w:fill="auto"/>
            <w:noWrap/>
            <w:vAlign w:val="center"/>
          </w:tcPr>
          <w:p w14:paraId="55C41AB9" w14:textId="77777777" w:rsidR="00EA2B5F" w:rsidRPr="00F25EBD" w:rsidRDefault="00EA2B5F" w:rsidP="005D522F">
            <w:pPr>
              <w:spacing w:after="0" w:line="240" w:lineRule="auto"/>
              <w:rPr>
                <w:rFonts w:asciiTheme="majorHAnsi" w:eastAsia="Times New Roman" w:hAnsiTheme="majorHAnsi" w:cstheme="majorHAnsi"/>
                <w:sz w:val="20"/>
                <w:szCs w:val="20"/>
                <w:lang w:eastAsia="pl-PL"/>
              </w:rPr>
            </w:pPr>
            <w:r w:rsidRPr="00F25EBD">
              <w:rPr>
                <w:rFonts w:asciiTheme="majorHAnsi" w:eastAsia="Times New Roman" w:hAnsiTheme="majorHAnsi" w:cstheme="majorHAnsi"/>
                <w:sz w:val="20"/>
                <w:szCs w:val="20"/>
                <w:lang w:eastAsia="pl-PL"/>
              </w:rPr>
              <w:t>Liczba udzielonych porad w przeliczeniu na przychodnię</w:t>
            </w:r>
          </w:p>
        </w:tc>
        <w:tc>
          <w:tcPr>
            <w:tcW w:w="1843" w:type="dxa"/>
            <w:tcBorders>
              <w:top w:val="single" w:sz="4" w:space="0" w:color="808080" w:themeColor="background1" w:themeShade="80"/>
              <w:left w:val="nil"/>
              <w:bottom w:val="single" w:sz="4" w:space="0" w:color="808080" w:themeColor="background1" w:themeShade="80"/>
              <w:right w:val="nil"/>
            </w:tcBorders>
            <w:shd w:val="clear" w:color="auto" w:fill="auto"/>
            <w:vAlign w:val="center"/>
          </w:tcPr>
          <w:p w14:paraId="5F421395" w14:textId="77777777" w:rsidR="00EA2B5F" w:rsidRPr="00F25EBD" w:rsidRDefault="00EA2B5F" w:rsidP="005D522F">
            <w:pPr>
              <w:spacing w:after="0" w:line="240" w:lineRule="auto"/>
              <w:jc w:val="center"/>
              <w:rPr>
                <w:rFonts w:asciiTheme="majorHAnsi" w:eastAsia="Times New Roman" w:hAnsiTheme="majorHAnsi" w:cstheme="majorHAnsi"/>
                <w:sz w:val="20"/>
                <w:szCs w:val="20"/>
                <w:lang w:eastAsia="pl-PL"/>
              </w:rPr>
            </w:pPr>
            <w:r w:rsidRPr="00F25EBD">
              <w:rPr>
                <w:rFonts w:asciiTheme="majorHAnsi" w:eastAsia="Times New Roman" w:hAnsiTheme="majorHAnsi" w:cstheme="majorHAnsi"/>
                <w:sz w:val="18"/>
                <w:szCs w:val="18"/>
                <w:lang w:eastAsia="pl-PL"/>
              </w:rPr>
              <w:t>2019</w:t>
            </w:r>
          </w:p>
        </w:tc>
        <w:tc>
          <w:tcPr>
            <w:tcW w:w="832" w:type="dxa"/>
            <w:tcBorders>
              <w:top w:val="single" w:sz="4" w:space="0" w:color="808080" w:themeColor="background1" w:themeShade="80"/>
              <w:left w:val="nil"/>
              <w:bottom w:val="single" w:sz="4" w:space="0" w:color="808080" w:themeColor="background1" w:themeShade="80"/>
              <w:right w:val="nil"/>
            </w:tcBorders>
            <w:shd w:val="clear" w:color="auto" w:fill="auto"/>
            <w:noWrap/>
            <w:vAlign w:val="bottom"/>
          </w:tcPr>
          <w:p w14:paraId="04F615F2" w14:textId="77777777" w:rsidR="00EA2B5F" w:rsidRPr="00F25EBD" w:rsidRDefault="00EA2B5F" w:rsidP="005D522F">
            <w:pPr>
              <w:spacing w:after="0" w:line="240" w:lineRule="auto"/>
              <w:jc w:val="center"/>
              <w:rPr>
                <w:rFonts w:asciiTheme="majorHAnsi" w:eastAsia="Times New Roman" w:hAnsiTheme="majorHAnsi" w:cstheme="majorHAnsi"/>
                <w:color w:val="000000"/>
                <w:sz w:val="20"/>
                <w:szCs w:val="20"/>
                <w:lang w:eastAsia="pl-PL"/>
              </w:rPr>
            </w:pPr>
            <w:r w:rsidRPr="00F25EBD">
              <w:rPr>
                <w:rFonts w:asciiTheme="majorHAnsi" w:hAnsiTheme="majorHAnsi" w:cstheme="majorHAnsi"/>
                <w:color w:val="000000"/>
                <w:sz w:val="20"/>
                <w:szCs w:val="20"/>
              </w:rPr>
              <w:t>10.474</w:t>
            </w:r>
          </w:p>
        </w:tc>
        <w:tc>
          <w:tcPr>
            <w:tcW w:w="833" w:type="dxa"/>
            <w:tcBorders>
              <w:top w:val="single" w:sz="4" w:space="0" w:color="808080" w:themeColor="background1" w:themeShade="80"/>
              <w:left w:val="nil"/>
              <w:bottom w:val="single" w:sz="4" w:space="0" w:color="808080" w:themeColor="background1" w:themeShade="80"/>
              <w:right w:val="nil"/>
            </w:tcBorders>
            <w:shd w:val="clear" w:color="auto" w:fill="auto"/>
            <w:noWrap/>
            <w:vAlign w:val="bottom"/>
          </w:tcPr>
          <w:p w14:paraId="6FB49E15" w14:textId="77777777" w:rsidR="00EA2B5F" w:rsidRPr="00F25EBD" w:rsidRDefault="00EA2B5F" w:rsidP="005D522F">
            <w:pPr>
              <w:spacing w:after="0" w:line="240" w:lineRule="auto"/>
              <w:jc w:val="center"/>
              <w:rPr>
                <w:rFonts w:asciiTheme="majorHAnsi" w:eastAsia="Times New Roman" w:hAnsiTheme="majorHAnsi" w:cstheme="majorHAnsi"/>
                <w:color w:val="000000"/>
                <w:sz w:val="20"/>
                <w:szCs w:val="20"/>
                <w:lang w:eastAsia="pl-PL"/>
              </w:rPr>
            </w:pPr>
            <w:r w:rsidRPr="00F25EBD">
              <w:rPr>
                <w:rFonts w:asciiTheme="majorHAnsi" w:hAnsiTheme="majorHAnsi" w:cstheme="majorHAnsi"/>
                <w:color w:val="000000"/>
                <w:sz w:val="20"/>
                <w:szCs w:val="20"/>
              </w:rPr>
              <w:t>10.925</w:t>
            </w:r>
          </w:p>
        </w:tc>
        <w:tc>
          <w:tcPr>
            <w:tcW w:w="832" w:type="dxa"/>
            <w:tcBorders>
              <w:top w:val="single" w:sz="4" w:space="0" w:color="808080" w:themeColor="background1" w:themeShade="80"/>
              <w:left w:val="nil"/>
              <w:bottom w:val="single" w:sz="4" w:space="0" w:color="808080" w:themeColor="background1" w:themeShade="80"/>
              <w:right w:val="nil"/>
            </w:tcBorders>
            <w:shd w:val="clear" w:color="auto" w:fill="auto"/>
            <w:noWrap/>
            <w:vAlign w:val="bottom"/>
          </w:tcPr>
          <w:p w14:paraId="7F217C2B" w14:textId="77777777" w:rsidR="00EA2B5F" w:rsidRPr="00F25EBD" w:rsidRDefault="00EA2B5F" w:rsidP="005D522F">
            <w:pPr>
              <w:spacing w:after="0" w:line="240" w:lineRule="auto"/>
              <w:jc w:val="center"/>
              <w:rPr>
                <w:rFonts w:asciiTheme="majorHAnsi" w:eastAsia="Times New Roman" w:hAnsiTheme="majorHAnsi" w:cstheme="majorHAnsi"/>
                <w:color w:val="000000"/>
                <w:sz w:val="20"/>
                <w:szCs w:val="20"/>
                <w:lang w:eastAsia="pl-PL"/>
              </w:rPr>
            </w:pPr>
            <w:r w:rsidRPr="00F25EBD">
              <w:rPr>
                <w:rFonts w:asciiTheme="majorHAnsi" w:hAnsiTheme="majorHAnsi" w:cstheme="majorHAnsi"/>
                <w:color w:val="000000"/>
                <w:sz w:val="20"/>
                <w:szCs w:val="20"/>
              </w:rPr>
              <w:t>8.545</w:t>
            </w:r>
          </w:p>
        </w:tc>
        <w:tc>
          <w:tcPr>
            <w:tcW w:w="833" w:type="dxa"/>
            <w:tcBorders>
              <w:top w:val="single" w:sz="4" w:space="0" w:color="808080" w:themeColor="background1" w:themeShade="80"/>
              <w:left w:val="nil"/>
              <w:bottom w:val="single" w:sz="4" w:space="0" w:color="808080" w:themeColor="background1" w:themeShade="80"/>
              <w:right w:val="nil"/>
            </w:tcBorders>
            <w:shd w:val="clear" w:color="auto" w:fill="auto"/>
            <w:noWrap/>
            <w:vAlign w:val="bottom"/>
          </w:tcPr>
          <w:p w14:paraId="42A5773B" w14:textId="77777777" w:rsidR="00EA2B5F" w:rsidRPr="00F25EBD" w:rsidRDefault="00EA2B5F" w:rsidP="005D522F">
            <w:pPr>
              <w:spacing w:after="0" w:line="240" w:lineRule="auto"/>
              <w:jc w:val="center"/>
              <w:rPr>
                <w:rFonts w:asciiTheme="majorHAnsi" w:eastAsia="Times New Roman" w:hAnsiTheme="majorHAnsi" w:cstheme="majorHAnsi"/>
                <w:color w:val="000000"/>
                <w:sz w:val="20"/>
                <w:szCs w:val="20"/>
                <w:lang w:eastAsia="pl-PL"/>
              </w:rPr>
            </w:pPr>
            <w:r w:rsidRPr="00F25EBD">
              <w:rPr>
                <w:rFonts w:asciiTheme="majorHAnsi" w:hAnsiTheme="majorHAnsi" w:cstheme="majorHAnsi"/>
                <w:color w:val="000000"/>
                <w:sz w:val="20"/>
                <w:szCs w:val="20"/>
              </w:rPr>
              <w:t>10.707</w:t>
            </w:r>
          </w:p>
        </w:tc>
      </w:tr>
      <w:tr w:rsidR="00EA2B5F" w:rsidRPr="00F25EBD" w14:paraId="37657435" w14:textId="77777777" w:rsidTr="007B7167">
        <w:trPr>
          <w:trHeight w:val="288"/>
        </w:trPr>
        <w:tc>
          <w:tcPr>
            <w:tcW w:w="4039" w:type="dxa"/>
            <w:vMerge/>
            <w:tcBorders>
              <w:top w:val="single" w:sz="4" w:space="0" w:color="808080" w:themeColor="background1" w:themeShade="80"/>
              <w:left w:val="nil"/>
              <w:bottom w:val="single" w:sz="4" w:space="0" w:color="808080" w:themeColor="background1" w:themeShade="80"/>
              <w:right w:val="nil"/>
            </w:tcBorders>
            <w:shd w:val="clear" w:color="auto" w:fill="auto"/>
            <w:noWrap/>
            <w:vAlign w:val="center"/>
          </w:tcPr>
          <w:p w14:paraId="6EE49808" w14:textId="77777777" w:rsidR="00EA2B5F" w:rsidRPr="00F25EBD" w:rsidRDefault="00EA2B5F" w:rsidP="005D522F">
            <w:pPr>
              <w:spacing w:after="0" w:line="240" w:lineRule="auto"/>
              <w:rPr>
                <w:rFonts w:asciiTheme="majorHAnsi" w:eastAsia="Times New Roman" w:hAnsiTheme="majorHAnsi" w:cstheme="majorHAnsi"/>
                <w:color w:val="000000"/>
                <w:sz w:val="20"/>
                <w:szCs w:val="20"/>
                <w:lang w:eastAsia="pl-PL"/>
              </w:rPr>
            </w:pPr>
          </w:p>
        </w:tc>
        <w:tc>
          <w:tcPr>
            <w:tcW w:w="1843" w:type="dxa"/>
            <w:tcBorders>
              <w:top w:val="single" w:sz="4" w:space="0" w:color="808080" w:themeColor="background1" w:themeShade="80"/>
              <w:left w:val="nil"/>
              <w:bottom w:val="single" w:sz="4" w:space="0" w:color="808080" w:themeColor="background1" w:themeShade="80"/>
              <w:right w:val="nil"/>
            </w:tcBorders>
            <w:shd w:val="clear" w:color="auto" w:fill="auto"/>
            <w:vAlign w:val="center"/>
          </w:tcPr>
          <w:p w14:paraId="52A960C5" w14:textId="77777777" w:rsidR="00EA2B5F" w:rsidRPr="00F25EBD" w:rsidRDefault="00EA2B5F" w:rsidP="005D522F">
            <w:pPr>
              <w:spacing w:after="0" w:line="240" w:lineRule="auto"/>
              <w:jc w:val="center"/>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sz w:val="18"/>
                <w:szCs w:val="18"/>
                <w:lang w:eastAsia="pl-PL"/>
              </w:rPr>
              <w:t>zmiana 2012=100%</w:t>
            </w:r>
          </w:p>
        </w:tc>
        <w:tc>
          <w:tcPr>
            <w:tcW w:w="832" w:type="dxa"/>
            <w:tcBorders>
              <w:top w:val="single" w:sz="4" w:space="0" w:color="808080" w:themeColor="background1" w:themeShade="80"/>
              <w:left w:val="nil"/>
              <w:bottom w:val="single" w:sz="4" w:space="0" w:color="808080" w:themeColor="background1" w:themeShade="80"/>
              <w:right w:val="nil"/>
            </w:tcBorders>
            <w:shd w:val="clear" w:color="auto" w:fill="auto"/>
            <w:noWrap/>
            <w:vAlign w:val="bottom"/>
          </w:tcPr>
          <w:p w14:paraId="46F234C4" w14:textId="77777777" w:rsidR="00EA2B5F" w:rsidRPr="00F25EBD" w:rsidRDefault="00EA2B5F" w:rsidP="005D522F">
            <w:pPr>
              <w:spacing w:after="0" w:line="240" w:lineRule="auto"/>
              <w:jc w:val="center"/>
              <w:rPr>
                <w:rFonts w:asciiTheme="majorHAnsi" w:eastAsia="Times New Roman" w:hAnsiTheme="majorHAnsi" w:cstheme="majorHAnsi"/>
                <w:sz w:val="20"/>
                <w:szCs w:val="20"/>
                <w:lang w:eastAsia="pl-PL"/>
              </w:rPr>
            </w:pPr>
            <w:r w:rsidRPr="00F25EBD">
              <w:rPr>
                <w:rFonts w:asciiTheme="majorHAnsi" w:hAnsiTheme="majorHAnsi" w:cstheme="majorHAnsi"/>
                <w:sz w:val="20"/>
                <w:szCs w:val="20"/>
              </w:rPr>
              <w:t>-6,0</w:t>
            </w:r>
          </w:p>
        </w:tc>
        <w:tc>
          <w:tcPr>
            <w:tcW w:w="833" w:type="dxa"/>
            <w:tcBorders>
              <w:top w:val="single" w:sz="4" w:space="0" w:color="808080" w:themeColor="background1" w:themeShade="80"/>
              <w:left w:val="nil"/>
              <w:bottom w:val="single" w:sz="4" w:space="0" w:color="808080" w:themeColor="background1" w:themeShade="80"/>
              <w:right w:val="nil"/>
            </w:tcBorders>
            <w:shd w:val="clear" w:color="auto" w:fill="auto"/>
            <w:noWrap/>
            <w:vAlign w:val="bottom"/>
          </w:tcPr>
          <w:p w14:paraId="54DF1CD1" w14:textId="77777777" w:rsidR="00EA2B5F" w:rsidRPr="00F25EBD" w:rsidRDefault="00EA2B5F" w:rsidP="005D522F">
            <w:pPr>
              <w:spacing w:after="0" w:line="240" w:lineRule="auto"/>
              <w:jc w:val="center"/>
              <w:rPr>
                <w:rFonts w:asciiTheme="majorHAnsi" w:eastAsia="Times New Roman" w:hAnsiTheme="majorHAnsi" w:cstheme="majorHAnsi"/>
                <w:sz w:val="20"/>
                <w:szCs w:val="20"/>
                <w:lang w:eastAsia="pl-PL"/>
              </w:rPr>
            </w:pPr>
            <w:r w:rsidRPr="00F25EBD">
              <w:rPr>
                <w:rFonts w:asciiTheme="majorHAnsi" w:hAnsiTheme="majorHAnsi" w:cstheme="majorHAnsi"/>
                <w:sz w:val="20"/>
                <w:szCs w:val="20"/>
              </w:rPr>
              <w:t>-12,6</w:t>
            </w:r>
          </w:p>
        </w:tc>
        <w:tc>
          <w:tcPr>
            <w:tcW w:w="832" w:type="dxa"/>
            <w:tcBorders>
              <w:top w:val="single" w:sz="4" w:space="0" w:color="808080" w:themeColor="background1" w:themeShade="80"/>
              <w:left w:val="nil"/>
              <w:bottom w:val="single" w:sz="4" w:space="0" w:color="808080" w:themeColor="background1" w:themeShade="80"/>
              <w:right w:val="nil"/>
            </w:tcBorders>
            <w:shd w:val="clear" w:color="auto" w:fill="auto"/>
            <w:noWrap/>
            <w:vAlign w:val="bottom"/>
          </w:tcPr>
          <w:p w14:paraId="0E61610F" w14:textId="77777777" w:rsidR="00EA2B5F" w:rsidRPr="00F25EBD" w:rsidRDefault="00EA2B5F" w:rsidP="005D522F">
            <w:pPr>
              <w:spacing w:after="0" w:line="240" w:lineRule="auto"/>
              <w:jc w:val="center"/>
              <w:rPr>
                <w:rFonts w:asciiTheme="majorHAnsi" w:eastAsia="Times New Roman" w:hAnsiTheme="majorHAnsi" w:cstheme="majorHAnsi"/>
                <w:sz w:val="20"/>
                <w:szCs w:val="20"/>
                <w:lang w:eastAsia="pl-PL"/>
              </w:rPr>
            </w:pPr>
            <w:r w:rsidRPr="00F25EBD">
              <w:rPr>
                <w:rFonts w:asciiTheme="majorHAnsi" w:hAnsiTheme="majorHAnsi" w:cstheme="majorHAnsi"/>
                <w:sz w:val="20"/>
                <w:szCs w:val="20"/>
              </w:rPr>
              <w:t>11,5</w:t>
            </w:r>
          </w:p>
        </w:tc>
        <w:tc>
          <w:tcPr>
            <w:tcW w:w="833" w:type="dxa"/>
            <w:tcBorders>
              <w:top w:val="single" w:sz="4" w:space="0" w:color="808080" w:themeColor="background1" w:themeShade="80"/>
              <w:left w:val="nil"/>
              <w:bottom w:val="single" w:sz="4" w:space="0" w:color="808080" w:themeColor="background1" w:themeShade="80"/>
              <w:right w:val="nil"/>
            </w:tcBorders>
            <w:shd w:val="clear" w:color="auto" w:fill="auto"/>
            <w:noWrap/>
            <w:vAlign w:val="bottom"/>
          </w:tcPr>
          <w:p w14:paraId="48D53BD7" w14:textId="77777777" w:rsidR="00EA2B5F" w:rsidRPr="00F25EBD" w:rsidRDefault="00EA2B5F" w:rsidP="005D522F">
            <w:pPr>
              <w:spacing w:after="0" w:line="240" w:lineRule="auto"/>
              <w:jc w:val="center"/>
              <w:rPr>
                <w:rFonts w:asciiTheme="majorHAnsi" w:eastAsia="Times New Roman" w:hAnsiTheme="majorHAnsi" w:cstheme="majorHAnsi"/>
                <w:sz w:val="20"/>
                <w:szCs w:val="20"/>
                <w:lang w:eastAsia="pl-PL"/>
              </w:rPr>
            </w:pPr>
            <w:r w:rsidRPr="00F25EBD">
              <w:rPr>
                <w:rFonts w:asciiTheme="majorHAnsi" w:hAnsiTheme="majorHAnsi" w:cstheme="majorHAnsi"/>
                <w:sz w:val="20"/>
                <w:szCs w:val="20"/>
              </w:rPr>
              <w:t>-2,3</w:t>
            </w:r>
          </w:p>
        </w:tc>
      </w:tr>
      <w:tr w:rsidR="00EA2B5F" w:rsidRPr="00F25EBD" w14:paraId="213E3ABD" w14:textId="77777777" w:rsidTr="007B7167">
        <w:trPr>
          <w:trHeight w:val="288"/>
        </w:trPr>
        <w:tc>
          <w:tcPr>
            <w:tcW w:w="4039" w:type="dxa"/>
            <w:vMerge w:val="restart"/>
            <w:tcBorders>
              <w:top w:val="single" w:sz="4" w:space="0" w:color="808080" w:themeColor="background1" w:themeShade="80"/>
              <w:left w:val="nil"/>
              <w:bottom w:val="single" w:sz="4" w:space="0" w:color="808080" w:themeColor="background1" w:themeShade="80"/>
              <w:right w:val="nil"/>
            </w:tcBorders>
            <w:shd w:val="clear" w:color="auto" w:fill="auto"/>
            <w:noWrap/>
            <w:vAlign w:val="center"/>
          </w:tcPr>
          <w:p w14:paraId="4A27EB92" w14:textId="77777777" w:rsidR="00EA2B5F" w:rsidRPr="00F25EBD" w:rsidRDefault="00EA2B5F" w:rsidP="005D522F">
            <w:pPr>
              <w:spacing w:after="0" w:line="240" w:lineRule="auto"/>
              <w:rPr>
                <w:rFonts w:asciiTheme="majorHAnsi" w:eastAsia="Times New Roman" w:hAnsiTheme="majorHAnsi" w:cstheme="majorHAnsi"/>
                <w:color w:val="000000"/>
                <w:sz w:val="20"/>
                <w:szCs w:val="20"/>
                <w:lang w:eastAsia="pl-PL"/>
              </w:rPr>
            </w:pPr>
            <w:r w:rsidRPr="00F25EBD">
              <w:rPr>
                <w:rFonts w:asciiTheme="majorHAnsi" w:eastAsia="Times New Roman" w:hAnsiTheme="majorHAnsi" w:cstheme="majorHAnsi"/>
                <w:color w:val="000000"/>
                <w:sz w:val="20"/>
                <w:szCs w:val="20"/>
                <w:lang w:eastAsia="pl-PL"/>
              </w:rPr>
              <w:t>Liczba udzielonych porad w przeliczeniu na 10 tys. mieszkańców</w:t>
            </w:r>
          </w:p>
        </w:tc>
        <w:tc>
          <w:tcPr>
            <w:tcW w:w="1843" w:type="dxa"/>
            <w:tcBorders>
              <w:top w:val="single" w:sz="4" w:space="0" w:color="808080" w:themeColor="background1" w:themeShade="80"/>
              <w:left w:val="nil"/>
              <w:bottom w:val="single" w:sz="4" w:space="0" w:color="808080" w:themeColor="background1" w:themeShade="80"/>
              <w:right w:val="nil"/>
            </w:tcBorders>
            <w:shd w:val="clear" w:color="auto" w:fill="auto"/>
            <w:vAlign w:val="center"/>
          </w:tcPr>
          <w:p w14:paraId="78852377" w14:textId="77777777" w:rsidR="00EA2B5F" w:rsidRPr="00F25EBD" w:rsidRDefault="00EA2B5F" w:rsidP="005D522F">
            <w:pPr>
              <w:spacing w:after="0" w:line="240" w:lineRule="auto"/>
              <w:jc w:val="center"/>
              <w:rPr>
                <w:rFonts w:asciiTheme="majorHAnsi" w:eastAsia="Times New Roman" w:hAnsiTheme="majorHAnsi" w:cstheme="majorHAnsi"/>
                <w:sz w:val="18"/>
                <w:szCs w:val="18"/>
                <w:lang w:eastAsia="pl-PL"/>
              </w:rPr>
            </w:pPr>
            <w:r w:rsidRPr="00F25EBD">
              <w:rPr>
                <w:rFonts w:asciiTheme="majorHAnsi" w:eastAsia="Times New Roman" w:hAnsiTheme="majorHAnsi" w:cstheme="majorHAnsi"/>
                <w:sz w:val="18"/>
                <w:szCs w:val="18"/>
                <w:lang w:eastAsia="pl-PL"/>
              </w:rPr>
              <w:t>2019</w:t>
            </w:r>
          </w:p>
        </w:tc>
        <w:tc>
          <w:tcPr>
            <w:tcW w:w="832" w:type="dxa"/>
            <w:tcBorders>
              <w:top w:val="single" w:sz="4" w:space="0" w:color="808080" w:themeColor="background1" w:themeShade="80"/>
              <w:left w:val="nil"/>
              <w:bottom w:val="single" w:sz="4" w:space="0" w:color="808080" w:themeColor="background1" w:themeShade="80"/>
              <w:right w:val="nil"/>
            </w:tcBorders>
            <w:shd w:val="clear" w:color="auto" w:fill="auto"/>
            <w:noWrap/>
            <w:vAlign w:val="bottom"/>
          </w:tcPr>
          <w:p w14:paraId="26AE8DDC" w14:textId="77777777" w:rsidR="00EA2B5F" w:rsidRPr="00F25EBD" w:rsidRDefault="00EA2B5F" w:rsidP="005D522F">
            <w:pPr>
              <w:spacing w:after="0" w:line="240" w:lineRule="auto"/>
              <w:jc w:val="center"/>
              <w:rPr>
                <w:rFonts w:asciiTheme="majorHAnsi" w:eastAsia="Times New Roman" w:hAnsiTheme="majorHAnsi" w:cstheme="majorHAnsi"/>
                <w:sz w:val="20"/>
                <w:szCs w:val="20"/>
                <w:lang w:eastAsia="pl-PL"/>
              </w:rPr>
            </w:pPr>
            <w:r w:rsidRPr="00F25EBD">
              <w:rPr>
                <w:rFonts w:asciiTheme="majorHAnsi" w:hAnsiTheme="majorHAnsi" w:cstheme="majorHAnsi"/>
                <w:sz w:val="20"/>
                <w:szCs w:val="20"/>
              </w:rPr>
              <w:t>62.710</w:t>
            </w:r>
          </w:p>
        </w:tc>
        <w:tc>
          <w:tcPr>
            <w:tcW w:w="833" w:type="dxa"/>
            <w:tcBorders>
              <w:top w:val="single" w:sz="4" w:space="0" w:color="808080" w:themeColor="background1" w:themeShade="80"/>
              <w:left w:val="nil"/>
              <w:bottom w:val="single" w:sz="4" w:space="0" w:color="808080" w:themeColor="background1" w:themeShade="80"/>
              <w:right w:val="nil"/>
            </w:tcBorders>
            <w:shd w:val="clear" w:color="auto" w:fill="auto"/>
            <w:noWrap/>
            <w:vAlign w:val="bottom"/>
          </w:tcPr>
          <w:p w14:paraId="1184EDB1" w14:textId="77777777" w:rsidR="00EA2B5F" w:rsidRPr="00F25EBD" w:rsidRDefault="00EA2B5F" w:rsidP="005D522F">
            <w:pPr>
              <w:spacing w:after="0" w:line="240" w:lineRule="auto"/>
              <w:jc w:val="center"/>
              <w:rPr>
                <w:rFonts w:asciiTheme="majorHAnsi" w:eastAsia="Times New Roman" w:hAnsiTheme="majorHAnsi" w:cstheme="majorHAnsi"/>
                <w:sz w:val="20"/>
                <w:szCs w:val="20"/>
                <w:lang w:eastAsia="pl-PL"/>
              </w:rPr>
            </w:pPr>
            <w:r w:rsidRPr="00F25EBD">
              <w:rPr>
                <w:rFonts w:asciiTheme="majorHAnsi" w:hAnsiTheme="majorHAnsi" w:cstheme="majorHAnsi"/>
                <w:sz w:val="20"/>
                <w:szCs w:val="20"/>
              </w:rPr>
              <w:t>66.500</w:t>
            </w:r>
          </w:p>
        </w:tc>
        <w:tc>
          <w:tcPr>
            <w:tcW w:w="832" w:type="dxa"/>
            <w:tcBorders>
              <w:top w:val="single" w:sz="4" w:space="0" w:color="808080" w:themeColor="background1" w:themeShade="80"/>
              <w:left w:val="nil"/>
              <w:bottom w:val="single" w:sz="4" w:space="0" w:color="808080" w:themeColor="background1" w:themeShade="80"/>
              <w:right w:val="nil"/>
            </w:tcBorders>
            <w:shd w:val="clear" w:color="auto" w:fill="auto"/>
            <w:noWrap/>
            <w:vAlign w:val="bottom"/>
          </w:tcPr>
          <w:p w14:paraId="339F5EB1" w14:textId="77777777" w:rsidR="00EA2B5F" w:rsidRPr="00F25EBD" w:rsidRDefault="00EA2B5F" w:rsidP="005D522F">
            <w:pPr>
              <w:spacing w:after="0" w:line="240" w:lineRule="auto"/>
              <w:jc w:val="center"/>
              <w:rPr>
                <w:rFonts w:asciiTheme="majorHAnsi" w:eastAsia="Times New Roman" w:hAnsiTheme="majorHAnsi" w:cstheme="majorHAnsi"/>
                <w:sz w:val="20"/>
                <w:szCs w:val="20"/>
                <w:lang w:eastAsia="pl-PL"/>
              </w:rPr>
            </w:pPr>
            <w:r w:rsidRPr="00F25EBD">
              <w:rPr>
                <w:rFonts w:asciiTheme="majorHAnsi" w:hAnsiTheme="majorHAnsi" w:cstheme="majorHAnsi"/>
                <w:sz w:val="20"/>
                <w:szCs w:val="20"/>
              </w:rPr>
              <w:t>57.841</w:t>
            </w:r>
          </w:p>
        </w:tc>
        <w:tc>
          <w:tcPr>
            <w:tcW w:w="833" w:type="dxa"/>
            <w:tcBorders>
              <w:top w:val="single" w:sz="4" w:space="0" w:color="808080" w:themeColor="background1" w:themeShade="80"/>
              <w:left w:val="nil"/>
              <w:bottom w:val="single" w:sz="4" w:space="0" w:color="808080" w:themeColor="background1" w:themeShade="80"/>
              <w:right w:val="nil"/>
            </w:tcBorders>
            <w:shd w:val="clear" w:color="auto" w:fill="auto"/>
            <w:noWrap/>
            <w:vAlign w:val="bottom"/>
          </w:tcPr>
          <w:p w14:paraId="04007968" w14:textId="77777777" w:rsidR="00EA2B5F" w:rsidRPr="00F25EBD" w:rsidRDefault="00EA2B5F" w:rsidP="005D522F">
            <w:pPr>
              <w:spacing w:after="0" w:line="240" w:lineRule="auto"/>
              <w:jc w:val="center"/>
              <w:rPr>
                <w:rFonts w:asciiTheme="majorHAnsi" w:eastAsia="Times New Roman" w:hAnsiTheme="majorHAnsi" w:cstheme="majorHAnsi"/>
                <w:sz w:val="20"/>
                <w:szCs w:val="20"/>
                <w:lang w:eastAsia="pl-PL"/>
              </w:rPr>
            </w:pPr>
            <w:r w:rsidRPr="00F25EBD">
              <w:rPr>
                <w:rFonts w:asciiTheme="majorHAnsi" w:hAnsiTheme="majorHAnsi" w:cstheme="majorHAnsi"/>
                <w:sz w:val="20"/>
                <w:szCs w:val="20"/>
              </w:rPr>
              <w:t>64.822</w:t>
            </w:r>
          </w:p>
        </w:tc>
      </w:tr>
      <w:tr w:rsidR="00EA2B5F" w:rsidRPr="00F25EBD" w14:paraId="41A2962C" w14:textId="77777777" w:rsidTr="007B7167">
        <w:trPr>
          <w:trHeight w:val="288"/>
        </w:trPr>
        <w:tc>
          <w:tcPr>
            <w:tcW w:w="4039" w:type="dxa"/>
            <w:vMerge/>
            <w:tcBorders>
              <w:top w:val="single" w:sz="4" w:space="0" w:color="808080" w:themeColor="background1" w:themeShade="80"/>
              <w:left w:val="nil"/>
              <w:bottom w:val="single" w:sz="4" w:space="0" w:color="808080" w:themeColor="background1" w:themeShade="80"/>
              <w:right w:val="nil"/>
            </w:tcBorders>
            <w:shd w:val="clear" w:color="auto" w:fill="auto"/>
            <w:noWrap/>
            <w:vAlign w:val="center"/>
          </w:tcPr>
          <w:p w14:paraId="6B6021B9" w14:textId="77777777" w:rsidR="00EA2B5F" w:rsidRPr="00F25EBD" w:rsidRDefault="00EA2B5F" w:rsidP="005D522F">
            <w:pPr>
              <w:spacing w:after="0" w:line="240" w:lineRule="auto"/>
              <w:rPr>
                <w:rFonts w:asciiTheme="majorHAnsi" w:eastAsia="Times New Roman" w:hAnsiTheme="majorHAnsi" w:cstheme="majorHAnsi"/>
                <w:color w:val="000000"/>
                <w:sz w:val="20"/>
                <w:szCs w:val="20"/>
                <w:lang w:eastAsia="pl-PL"/>
              </w:rPr>
            </w:pPr>
          </w:p>
        </w:tc>
        <w:tc>
          <w:tcPr>
            <w:tcW w:w="1843" w:type="dxa"/>
            <w:tcBorders>
              <w:top w:val="single" w:sz="4" w:space="0" w:color="808080" w:themeColor="background1" w:themeShade="80"/>
              <w:left w:val="nil"/>
              <w:bottom w:val="single" w:sz="4" w:space="0" w:color="808080" w:themeColor="background1" w:themeShade="80"/>
              <w:right w:val="nil"/>
            </w:tcBorders>
            <w:shd w:val="clear" w:color="auto" w:fill="auto"/>
            <w:vAlign w:val="center"/>
          </w:tcPr>
          <w:p w14:paraId="61FAB7D5" w14:textId="77777777" w:rsidR="00EA2B5F" w:rsidRPr="00F25EBD" w:rsidRDefault="00EA2B5F" w:rsidP="005D522F">
            <w:pPr>
              <w:spacing w:after="0" w:line="240" w:lineRule="auto"/>
              <w:jc w:val="center"/>
              <w:rPr>
                <w:rFonts w:asciiTheme="majorHAnsi" w:eastAsia="Times New Roman" w:hAnsiTheme="majorHAnsi" w:cstheme="majorHAnsi"/>
                <w:sz w:val="18"/>
                <w:szCs w:val="18"/>
                <w:lang w:eastAsia="pl-PL"/>
              </w:rPr>
            </w:pPr>
            <w:r w:rsidRPr="00F25EBD">
              <w:rPr>
                <w:rFonts w:asciiTheme="majorHAnsi" w:eastAsia="Times New Roman" w:hAnsiTheme="majorHAnsi" w:cstheme="majorHAnsi"/>
                <w:sz w:val="18"/>
                <w:szCs w:val="18"/>
                <w:lang w:eastAsia="pl-PL"/>
              </w:rPr>
              <w:t>zmiana 2012=100%</w:t>
            </w:r>
          </w:p>
        </w:tc>
        <w:tc>
          <w:tcPr>
            <w:tcW w:w="832" w:type="dxa"/>
            <w:tcBorders>
              <w:top w:val="single" w:sz="4" w:space="0" w:color="808080" w:themeColor="background1" w:themeShade="80"/>
              <w:left w:val="nil"/>
              <w:bottom w:val="single" w:sz="4" w:space="0" w:color="808080" w:themeColor="background1" w:themeShade="80"/>
              <w:right w:val="nil"/>
            </w:tcBorders>
            <w:shd w:val="clear" w:color="auto" w:fill="auto"/>
            <w:noWrap/>
            <w:vAlign w:val="bottom"/>
          </w:tcPr>
          <w:p w14:paraId="6A6B4982" w14:textId="77777777" w:rsidR="00EA2B5F" w:rsidRPr="00F25EBD" w:rsidRDefault="00EA2B5F" w:rsidP="005D522F">
            <w:pPr>
              <w:spacing w:after="0" w:line="240" w:lineRule="auto"/>
              <w:jc w:val="center"/>
              <w:rPr>
                <w:rFonts w:asciiTheme="majorHAnsi" w:eastAsia="Times New Roman" w:hAnsiTheme="majorHAnsi" w:cstheme="majorHAnsi"/>
                <w:sz w:val="20"/>
                <w:szCs w:val="20"/>
                <w:lang w:eastAsia="pl-PL"/>
              </w:rPr>
            </w:pPr>
            <w:r w:rsidRPr="00F25EBD">
              <w:rPr>
                <w:rFonts w:asciiTheme="majorHAnsi" w:hAnsiTheme="majorHAnsi" w:cstheme="majorHAnsi"/>
                <w:sz w:val="20"/>
                <w:szCs w:val="20"/>
              </w:rPr>
              <w:t>4,3</w:t>
            </w:r>
          </w:p>
        </w:tc>
        <w:tc>
          <w:tcPr>
            <w:tcW w:w="833" w:type="dxa"/>
            <w:tcBorders>
              <w:top w:val="single" w:sz="4" w:space="0" w:color="808080" w:themeColor="background1" w:themeShade="80"/>
              <w:left w:val="nil"/>
              <w:bottom w:val="single" w:sz="4" w:space="0" w:color="808080" w:themeColor="background1" w:themeShade="80"/>
              <w:right w:val="nil"/>
            </w:tcBorders>
            <w:shd w:val="clear" w:color="auto" w:fill="auto"/>
            <w:noWrap/>
            <w:vAlign w:val="bottom"/>
          </w:tcPr>
          <w:p w14:paraId="30EFE5FB" w14:textId="77777777" w:rsidR="00EA2B5F" w:rsidRPr="00F25EBD" w:rsidRDefault="00EA2B5F" w:rsidP="005D522F">
            <w:pPr>
              <w:spacing w:after="0" w:line="240" w:lineRule="auto"/>
              <w:jc w:val="center"/>
              <w:rPr>
                <w:rFonts w:asciiTheme="majorHAnsi" w:eastAsia="Times New Roman" w:hAnsiTheme="majorHAnsi" w:cstheme="majorHAnsi"/>
                <w:sz w:val="20"/>
                <w:szCs w:val="20"/>
                <w:lang w:eastAsia="pl-PL"/>
              </w:rPr>
            </w:pPr>
            <w:r w:rsidRPr="00F25EBD">
              <w:rPr>
                <w:rFonts w:asciiTheme="majorHAnsi" w:hAnsiTheme="majorHAnsi" w:cstheme="majorHAnsi"/>
                <w:sz w:val="20"/>
                <w:szCs w:val="20"/>
              </w:rPr>
              <w:t>0,9</w:t>
            </w:r>
          </w:p>
        </w:tc>
        <w:tc>
          <w:tcPr>
            <w:tcW w:w="832" w:type="dxa"/>
            <w:tcBorders>
              <w:top w:val="single" w:sz="4" w:space="0" w:color="808080" w:themeColor="background1" w:themeShade="80"/>
              <w:left w:val="nil"/>
              <w:bottom w:val="single" w:sz="4" w:space="0" w:color="808080" w:themeColor="background1" w:themeShade="80"/>
              <w:right w:val="nil"/>
            </w:tcBorders>
            <w:shd w:val="clear" w:color="auto" w:fill="auto"/>
            <w:noWrap/>
            <w:vAlign w:val="bottom"/>
          </w:tcPr>
          <w:p w14:paraId="7E569B48" w14:textId="77777777" w:rsidR="00EA2B5F" w:rsidRPr="00F25EBD" w:rsidRDefault="00EA2B5F" w:rsidP="005D522F">
            <w:pPr>
              <w:spacing w:after="0" w:line="240" w:lineRule="auto"/>
              <w:jc w:val="center"/>
              <w:rPr>
                <w:rFonts w:asciiTheme="majorHAnsi" w:eastAsia="Times New Roman" w:hAnsiTheme="majorHAnsi" w:cstheme="majorHAnsi"/>
                <w:sz w:val="20"/>
                <w:szCs w:val="20"/>
                <w:lang w:eastAsia="pl-PL"/>
              </w:rPr>
            </w:pPr>
            <w:r w:rsidRPr="00F25EBD">
              <w:rPr>
                <w:rFonts w:asciiTheme="majorHAnsi" w:hAnsiTheme="majorHAnsi" w:cstheme="majorHAnsi"/>
                <w:sz w:val="20"/>
                <w:szCs w:val="20"/>
              </w:rPr>
              <w:t>28,9</w:t>
            </w:r>
          </w:p>
        </w:tc>
        <w:tc>
          <w:tcPr>
            <w:tcW w:w="833" w:type="dxa"/>
            <w:tcBorders>
              <w:top w:val="single" w:sz="4" w:space="0" w:color="808080" w:themeColor="background1" w:themeShade="80"/>
              <w:left w:val="nil"/>
              <w:bottom w:val="single" w:sz="4" w:space="0" w:color="808080" w:themeColor="background1" w:themeShade="80"/>
              <w:right w:val="nil"/>
            </w:tcBorders>
            <w:shd w:val="clear" w:color="auto" w:fill="auto"/>
            <w:noWrap/>
            <w:vAlign w:val="bottom"/>
          </w:tcPr>
          <w:p w14:paraId="5B9015D6" w14:textId="77777777" w:rsidR="00EA2B5F" w:rsidRPr="00F25EBD" w:rsidRDefault="00EA2B5F" w:rsidP="005D522F">
            <w:pPr>
              <w:spacing w:after="0" w:line="240" w:lineRule="auto"/>
              <w:jc w:val="center"/>
              <w:rPr>
                <w:rFonts w:asciiTheme="majorHAnsi" w:eastAsia="Times New Roman" w:hAnsiTheme="majorHAnsi" w:cstheme="majorHAnsi"/>
                <w:sz w:val="20"/>
                <w:szCs w:val="20"/>
                <w:lang w:eastAsia="pl-PL"/>
              </w:rPr>
            </w:pPr>
            <w:r w:rsidRPr="00F25EBD">
              <w:rPr>
                <w:rFonts w:asciiTheme="majorHAnsi" w:hAnsiTheme="majorHAnsi" w:cstheme="majorHAnsi"/>
                <w:sz w:val="20"/>
                <w:szCs w:val="20"/>
              </w:rPr>
              <w:t>14,0</w:t>
            </w:r>
          </w:p>
        </w:tc>
      </w:tr>
    </w:tbl>
    <w:p w14:paraId="1567F140" w14:textId="77777777" w:rsidR="00EA2B5F" w:rsidRPr="00F25EBD" w:rsidRDefault="00EA2B5F" w:rsidP="00FC7062">
      <w:pPr>
        <w:spacing w:before="120" w:after="120" w:line="276" w:lineRule="auto"/>
        <w:jc w:val="both"/>
        <w:rPr>
          <w:rFonts w:asciiTheme="majorHAnsi" w:hAnsiTheme="majorHAnsi" w:cstheme="majorHAnsi"/>
          <w:sz w:val="18"/>
          <w:szCs w:val="18"/>
        </w:rPr>
      </w:pPr>
      <w:r w:rsidRPr="00F25EBD">
        <w:rPr>
          <w:rFonts w:asciiTheme="majorHAnsi" w:hAnsiTheme="majorHAnsi" w:cstheme="majorHAnsi"/>
          <w:sz w:val="18"/>
          <w:szCs w:val="18"/>
        </w:rPr>
        <w:t>D</w:t>
      </w:r>
      <w:r w:rsidR="00336D76" w:rsidRPr="00F25EBD">
        <w:rPr>
          <w:rFonts w:asciiTheme="majorHAnsi" w:hAnsiTheme="majorHAnsi" w:cstheme="majorHAnsi"/>
          <w:sz w:val="18"/>
          <w:szCs w:val="18"/>
        </w:rPr>
        <w:t xml:space="preserve"> - </w:t>
      </w:r>
      <w:r w:rsidRPr="00F25EBD">
        <w:rPr>
          <w:rFonts w:asciiTheme="majorHAnsi" w:hAnsiTheme="majorHAnsi" w:cstheme="majorHAnsi"/>
          <w:sz w:val="18"/>
          <w:szCs w:val="18"/>
        </w:rPr>
        <w:t>powiat działdowski, N</w:t>
      </w:r>
      <w:r w:rsidR="00336D76" w:rsidRPr="00F25EBD">
        <w:rPr>
          <w:rFonts w:asciiTheme="majorHAnsi" w:hAnsiTheme="majorHAnsi" w:cstheme="majorHAnsi"/>
          <w:sz w:val="18"/>
          <w:szCs w:val="18"/>
        </w:rPr>
        <w:t xml:space="preserve"> - </w:t>
      </w:r>
      <w:r w:rsidRPr="00F25EBD">
        <w:rPr>
          <w:rFonts w:asciiTheme="majorHAnsi" w:hAnsiTheme="majorHAnsi" w:cstheme="majorHAnsi"/>
          <w:sz w:val="18"/>
          <w:szCs w:val="18"/>
        </w:rPr>
        <w:t>powiat nidzicki, P</w:t>
      </w:r>
      <w:r w:rsidR="00336D76" w:rsidRPr="00F25EBD">
        <w:rPr>
          <w:rFonts w:asciiTheme="majorHAnsi" w:hAnsiTheme="majorHAnsi" w:cstheme="majorHAnsi"/>
          <w:sz w:val="18"/>
          <w:szCs w:val="18"/>
        </w:rPr>
        <w:t xml:space="preserve"> - </w:t>
      </w:r>
      <w:r w:rsidRPr="00F25EBD">
        <w:rPr>
          <w:rFonts w:asciiTheme="majorHAnsi" w:hAnsiTheme="majorHAnsi" w:cstheme="majorHAnsi"/>
          <w:sz w:val="18"/>
          <w:szCs w:val="18"/>
        </w:rPr>
        <w:t>powiat piski, S</w:t>
      </w:r>
      <w:r w:rsidR="00336D76" w:rsidRPr="00F25EBD">
        <w:rPr>
          <w:rFonts w:asciiTheme="majorHAnsi" w:hAnsiTheme="majorHAnsi" w:cstheme="majorHAnsi"/>
          <w:sz w:val="18"/>
          <w:szCs w:val="18"/>
        </w:rPr>
        <w:t xml:space="preserve"> - </w:t>
      </w:r>
      <w:r w:rsidRPr="00F25EBD">
        <w:rPr>
          <w:rFonts w:asciiTheme="majorHAnsi" w:hAnsiTheme="majorHAnsi" w:cstheme="majorHAnsi"/>
          <w:sz w:val="18"/>
          <w:szCs w:val="18"/>
        </w:rPr>
        <w:t>powiat szczycieński</w:t>
      </w:r>
    </w:p>
    <w:p w14:paraId="4F9EE0DE" w14:textId="77777777" w:rsidR="00EA2B5F" w:rsidRPr="00F25EBD" w:rsidRDefault="00EA2B5F" w:rsidP="005D522F">
      <w:pPr>
        <w:pStyle w:val="rdo"/>
      </w:pPr>
      <w:r w:rsidRPr="00F25EBD">
        <w:t>Źródło: opracowanie własne na podstawie danych BDL.</w:t>
      </w:r>
    </w:p>
    <w:p w14:paraId="1D257C78" w14:textId="77777777" w:rsidR="00EA2B5F" w:rsidRPr="00F25EBD" w:rsidRDefault="00EA2B5F" w:rsidP="00FC7062">
      <w:pPr>
        <w:spacing w:after="0" w:line="276" w:lineRule="auto"/>
        <w:jc w:val="both"/>
        <w:rPr>
          <w:rFonts w:asciiTheme="majorHAnsi" w:hAnsiTheme="majorHAnsi" w:cstheme="majorHAnsi"/>
        </w:rPr>
      </w:pPr>
    </w:p>
    <w:p w14:paraId="4224B693" w14:textId="20D3FE32" w:rsidR="00EA2B5F" w:rsidRPr="00F25EBD" w:rsidRDefault="00EA2B5F" w:rsidP="00DE0854">
      <w:pPr>
        <w:spacing w:line="276" w:lineRule="auto"/>
        <w:jc w:val="both"/>
        <w:rPr>
          <w:rFonts w:asciiTheme="majorHAnsi" w:hAnsiTheme="majorHAnsi" w:cstheme="majorHAnsi"/>
        </w:rPr>
      </w:pPr>
      <w:r w:rsidRPr="00F25EBD">
        <w:rPr>
          <w:rFonts w:asciiTheme="majorHAnsi" w:hAnsiTheme="majorHAnsi" w:cstheme="majorHAnsi"/>
        </w:rPr>
        <w:t>Ostatnim szczeblem infrastruktury medycznej jest stacjonarna opieka medyczna obejmująca opiekę szpitalną. Na terenie Południowych Mazur realizowana jest ona w SP ZOZ w Działdowie</w:t>
      </w:r>
      <w:r w:rsidRPr="00F25EBD">
        <w:rPr>
          <w:rStyle w:val="Odwoanieprzypisudolnego"/>
          <w:rFonts w:asciiTheme="majorHAnsi" w:hAnsiTheme="majorHAnsi" w:cstheme="majorHAnsi"/>
        </w:rPr>
        <w:footnoteReference w:id="43"/>
      </w:r>
      <w:r w:rsidRPr="00F25EBD">
        <w:rPr>
          <w:rFonts w:asciiTheme="majorHAnsi" w:hAnsiTheme="majorHAnsi" w:cstheme="majorHAnsi"/>
        </w:rPr>
        <w:t>, ZOZ w</w:t>
      </w:r>
      <w:r w:rsidR="007B04A7">
        <w:rPr>
          <w:rFonts w:asciiTheme="majorHAnsi" w:hAnsiTheme="majorHAnsi" w:cstheme="majorHAnsi"/>
        </w:rPr>
        <w:t xml:space="preserve"> </w:t>
      </w:r>
      <w:r w:rsidRPr="00F25EBD">
        <w:rPr>
          <w:rFonts w:asciiTheme="majorHAnsi" w:hAnsiTheme="majorHAnsi" w:cstheme="majorHAnsi"/>
        </w:rPr>
        <w:t>Nidzicy, ZOZ w Szczytnie i SP ZOZ Szpitalu Powiatowym w Piszu. W 2018</w:t>
      </w:r>
      <w:r w:rsidR="00F7062F">
        <w:rPr>
          <w:rFonts w:asciiTheme="majorHAnsi" w:hAnsiTheme="majorHAnsi" w:cstheme="majorHAnsi"/>
        </w:rPr>
        <w:t>r.</w:t>
      </w:r>
      <w:r w:rsidRPr="00F25EBD">
        <w:rPr>
          <w:rFonts w:asciiTheme="majorHAnsi" w:hAnsiTheme="majorHAnsi" w:cstheme="majorHAnsi"/>
        </w:rPr>
        <w:t xml:space="preserve"> podmioty te dysponowały 685 łóżkami, co oznaczało, że na jedno łóżko w szpitalu przypadało 328 osób (w Polsce 211, a w województwie 223). Najmniej korzystna sytuacja panowała w powiecie szczycieńskim, w</w:t>
      </w:r>
      <w:r w:rsidR="007B04A7">
        <w:rPr>
          <w:rFonts w:asciiTheme="majorHAnsi" w:hAnsiTheme="majorHAnsi" w:cstheme="majorHAnsi"/>
        </w:rPr>
        <w:t xml:space="preserve"> </w:t>
      </w:r>
      <w:r w:rsidRPr="00F25EBD">
        <w:rPr>
          <w:rFonts w:asciiTheme="majorHAnsi" w:hAnsiTheme="majorHAnsi" w:cstheme="majorHAnsi"/>
        </w:rPr>
        <w:t>którym na jedno łóżko szpitalne przypadało 510 mieszkańców, natomiast najkorzystniejsza w</w:t>
      </w:r>
      <w:r w:rsidR="007B04A7">
        <w:rPr>
          <w:rFonts w:asciiTheme="majorHAnsi" w:hAnsiTheme="majorHAnsi" w:cstheme="majorHAnsi"/>
        </w:rPr>
        <w:t xml:space="preserve"> </w:t>
      </w:r>
      <w:r w:rsidRPr="00F25EBD">
        <w:rPr>
          <w:rFonts w:asciiTheme="majorHAnsi" w:hAnsiTheme="majorHAnsi" w:cstheme="majorHAnsi"/>
        </w:rPr>
        <w:t>powiecie działdowskim, w którym wartość wskaźnika wyniosła 233. Na przestrzeni lat 2010-2018 liczba łóżek w szpi</w:t>
      </w:r>
      <w:r w:rsidR="005D522F">
        <w:rPr>
          <w:rFonts w:asciiTheme="majorHAnsi" w:hAnsiTheme="majorHAnsi" w:cstheme="majorHAnsi"/>
        </w:rPr>
        <w:t>talach zmniejszyła się o 127, z </w:t>
      </w:r>
      <w:r w:rsidRPr="00F25EBD">
        <w:rPr>
          <w:rFonts w:asciiTheme="majorHAnsi" w:hAnsiTheme="majorHAnsi" w:cstheme="majorHAnsi"/>
        </w:rPr>
        <w:t xml:space="preserve">tego w powiecie działdowskim ubyły 93, w nidzickim przybyło 6, w </w:t>
      </w:r>
      <w:proofErr w:type="spellStart"/>
      <w:r w:rsidRPr="00F25EBD">
        <w:rPr>
          <w:rFonts w:asciiTheme="majorHAnsi" w:hAnsiTheme="majorHAnsi" w:cstheme="majorHAnsi"/>
        </w:rPr>
        <w:t>piskim</w:t>
      </w:r>
      <w:proofErr w:type="spellEnd"/>
      <w:r w:rsidRPr="00F25EBD">
        <w:rPr>
          <w:rFonts w:asciiTheme="majorHAnsi" w:hAnsiTheme="majorHAnsi" w:cstheme="majorHAnsi"/>
        </w:rPr>
        <w:t xml:space="preserve"> ubyło 25 i w szczycieńskim ubyło 15. </w:t>
      </w:r>
    </w:p>
    <w:p w14:paraId="76B4E690" w14:textId="78C84E85" w:rsidR="00F83118" w:rsidRDefault="00EA2B5F" w:rsidP="00DE0854">
      <w:pPr>
        <w:spacing w:line="276" w:lineRule="auto"/>
        <w:jc w:val="both"/>
        <w:rPr>
          <w:rFonts w:asciiTheme="majorHAnsi" w:hAnsiTheme="majorHAnsi" w:cstheme="majorHAnsi"/>
        </w:rPr>
      </w:pPr>
      <w:r w:rsidRPr="00F25EBD">
        <w:rPr>
          <w:rFonts w:asciiTheme="majorHAnsi" w:hAnsiTheme="majorHAnsi" w:cstheme="majorHAnsi"/>
        </w:rPr>
        <w:t>Ogólną charakterystykę szpitali z uwzględnieniem funkcjonujących w nich oddziałów i liczbą łóżek wg stanu na 3.10.2020</w:t>
      </w:r>
      <w:r w:rsidR="00F7062F">
        <w:rPr>
          <w:rFonts w:asciiTheme="majorHAnsi" w:hAnsiTheme="majorHAnsi" w:cstheme="majorHAnsi"/>
        </w:rPr>
        <w:t>r.</w:t>
      </w:r>
      <w:r w:rsidRPr="00F25EBD">
        <w:rPr>
          <w:rFonts w:asciiTheme="majorHAnsi" w:hAnsiTheme="majorHAnsi" w:cstheme="majorHAnsi"/>
        </w:rPr>
        <w:t xml:space="preserve"> zawiera poniższa tabela. Zawarte w niej informacje pochodzą z ksiąg rejestrowych Rejestru Podmiotów Wykonujących Działalność Leczniczą prowadzonego zgodnie z</w:t>
      </w:r>
      <w:r w:rsidR="007B04A7">
        <w:rPr>
          <w:rFonts w:asciiTheme="majorHAnsi" w:hAnsiTheme="majorHAnsi" w:cstheme="majorHAnsi"/>
        </w:rPr>
        <w:t xml:space="preserve"> </w:t>
      </w:r>
      <w:r w:rsidRPr="00F25EBD">
        <w:rPr>
          <w:rFonts w:asciiTheme="majorHAnsi" w:hAnsiTheme="majorHAnsi" w:cstheme="majorHAnsi"/>
        </w:rPr>
        <w:t>Ustawą z dnia 15 kwietnia 2011</w:t>
      </w:r>
      <w:r w:rsidR="00F7062F">
        <w:rPr>
          <w:rFonts w:asciiTheme="majorHAnsi" w:hAnsiTheme="majorHAnsi" w:cstheme="majorHAnsi"/>
        </w:rPr>
        <w:t>r.</w:t>
      </w:r>
      <w:r w:rsidRPr="00F25EBD">
        <w:rPr>
          <w:rFonts w:asciiTheme="majorHAnsi" w:hAnsiTheme="majorHAnsi" w:cstheme="majorHAnsi"/>
        </w:rPr>
        <w:t xml:space="preserve"> o działalności leczniczej.</w:t>
      </w:r>
    </w:p>
    <w:p w14:paraId="478E5EBB" w14:textId="77777777" w:rsidR="00F83118" w:rsidRDefault="00F83118">
      <w:pPr>
        <w:rPr>
          <w:rFonts w:asciiTheme="majorHAnsi" w:hAnsiTheme="majorHAnsi" w:cstheme="majorHAnsi"/>
        </w:rPr>
      </w:pPr>
      <w:r>
        <w:rPr>
          <w:rFonts w:asciiTheme="majorHAnsi" w:hAnsiTheme="majorHAnsi" w:cstheme="majorHAnsi"/>
        </w:rPr>
        <w:br w:type="page"/>
      </w:r>
    </w:p>
    <w:p w14:paraId="4DCE9FBA" w14:textId="77777777" w:rsidR="00EA2B5F" w:rsidRPr="00F25EBD" w:rsidRDefault="00EA2B5F" w:rsidP="00DE0854">
      <w:pPr>
        <w:spacing w:line="276" w:lineRule="auto"/>
        <w:jc w:val="both"/>
        <w:rPr>
          <w:rFonts w:asciiTheme="majorHAnsi" w:hAnsiTheme="majorHAnsi" w:cstheme="majorHAnsi"/>
        </w:rPr>
      </w:pPr>
    </w:p>
    <w:p w14:paraId="5302AE48" w14:textId="40BF85A7" w:rsidR="00EA2B5F" w:rsidRPr="00F25EBD" w:rsidRDefault="00EA2B5F" w:rsidP="005D522F">
      <w:pPr>
        <w:pStyle w:val="nad"/>
      </w:pPr>
      <w:bookmarkStart w:id="68" w:name="_Toc81300542"/>
      <w:r w:rsidRPr="00F25EBD">
        <w:t xml:space="preserve">Tabela </w:t>
      </w:r>
      <w:r w:rsidRPr="00F25EBD">
        <w:rPr>
          <w:noProof/>
        </w:rPr>
        <w:fldChar w:fldCharType="begin"/>
      </w:r>
      <w:r w:rsidRPr="00F25EBD">
        <w:rPr>
          <w:noProof/>
        </w:rPr>
        <w:instrText xml:space="preserve"> SEQ Tabela \* ARABIC </w:instrText>
      </w:r>
      <w:r w:rsidRPr="00F25EBD">
        <w:rPr>
          <w:noProof/>
        </w:rPr>
        <w:fldChar w:fldCharType="separate"/>
      </w:r>
      <w:r w:rsidR="006C7815">
        <w:rPr>
          <w:noProof/>
        </w:rPr>
        <w:t>16</w:t>
      </w:r>
      <w:r w:rsidRPr="00F25EBD">
        <w:rPr>
          <w:noProof/>
        </w:rPr>
        <w:fldChar w:fldCharType="end"/>
      </w:r>
      <w:r w:rsidRPr="00F25EBD">
        <w:t>. Oddziały w szpitalach powiatowych PM wraz z liczbą łóżek (2020</w:t>
      </w:r>
      <w:r w:rsidR="00F7062F">
        <w:t>r.</w:t>
      </w:r>
      <w:r w:rsidRPr="00F25EBD">
        <w:t>)</w:t>
      </w:r>
      <w:bookmarkEnd w:id="68"/>
    </w:p>
    <w:tbl>
      <w:tblPr>
        <w:tblStyle w:val="Tabela-Siatka"/>
        <w:tblW w:w="0" w:type="auto"/>
        <w:tblInd w:w="108" w:type="dxa"/>
        <w:tblLayout w:type="fixed"/>
        <w:tblLook w:val="04A0" w:firstRow="1" w:lastRow="0" w:firstColumn="1" w:lastColumn="0" w:noHBand="0" w:noVBand="1"/>
      </w:tblPr>
      <w:tblGrid>
        <w:gridCol w:w="4423"/>
        <w:gridCol w:w="1418"/>
        <w:gridCol w:w="850"/>
        <w:gridCol w:w="851"/>
        <w:gridCol w:w="1412"/>
      </w:tblGrid>
      <w:tr w:rsidR="005D522F" w:rsidRPr="005D522F" w14:paraId="630492A8" w14:textId="77777777" w:rsidTr="005D522F">
        <w:trPr>
          <w:tblHeader/>
        </w:trPr>
        <w:tc>
          <w:tcPr>
            <w:tcW w:w="4423"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vAlign w:val="center"/>
          </w:tcPr>
          <w:p w14:paraId="28E4E3E3" w14:textId="77777777" w:rsidR="00EA2B5F" w:rsidRPr="005D522F" w:rsidRDefault="00EA2B5F" w:rsidP="00FC7062">
            <w:pPr>
              <w:spacing w:line="276" w:lineRule="auto"/>
              <w:jc w:val="center"/>
              <w:rPr>
                <w:rFonts w:asciiTheme="majorHAnsi" w:hAnsiTheme="majorHAnsi" w:cstheme="majorHAnsi"/>
                <w:color w:val="FFFFFF" w:themeColor="background1"/>
                <w:sz w:val="20"/>
                <w:szCs w:val="20"/>
              </w:rPr>
            </w:pPr>
            <w:r w:rsidRPr="005D522F">
              <w:rPr>
                <w:rFonts w:asciiTheme="majorHAnsi" w:hAnsiTheme="majorHAnsi" w:cstheme="majorHAnsi"/>
                <w:color w:val="FFFFFF" w:themeColor="background1"/>
                <w:sz w:val="20"/>
                <w:szCs w:val="20"/>
              </w:rPr>
              <w:t>Oddział*</w:t>
            </w:r>
          </w:p>
        </w:tc>
        <w:tc>
          <w:tcPr>
            <w:tcW w:w="4531"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tcPr>
          <w:p w14:paraId="70074C3C" w14:textId="77777777" w:rsidR="00EA2B5F" w:rsidRPr="005D522F" w:rsidRDefault="00EA2B5F" w:rsidP="00FC7062">
            <w:pPr>
              <w:spacing w:line="276" w:lineRule="auto"/>
              <w:jc w:val="center"/>
              <w:rPr>
                <w:rFonts w:asciiTheme="majorHAnsi" w:hAnsiTheme="majorHAnsi" w:cstheme="majorHAnsi"/>
                <w:color w:val="FFFFFF" w:themeColor="background1"/>
                <w:sz w:val="20"/>
                <w:szCs w:val="20"/>
              </w:rPr>
            </w:pPr>
            <w:r w:rsidRPr="005D522F">
              <w:rPr>
                <w:rFonts w:asciiTheme="majorHAnsi" w:hAnsiTheme="majorHAnsi" w:cstheme="majorHAnsi"/>
                <w:color w:val="FFFFFF" w:themeColor="background1"/>
                <w:sz w:val="20"/>
                <w:szCs w:val="20"/>
              </w:rPr>
              <w:t>Powiat</w:t>
            </w:r>
          </w:p>
        </w:tc>
      </w:tr>
      <w:tr w:rsidR="00EA2B5F" w:rsidRPr="00F25EBD" w14:paraId="40E085C2" w14:textId="77777777" w:rsidTr="005D522F">
        <w:trPr>
          <w:tblHeader/>
        </w:trPr>
        <w:tc>
          <w:tcPr>
            <w:tcW w:w="4423" w:type="dxa"/>
            <w:vMerge/>
            <w:tcBorders>
              <w:top w:val="single" w:sz="4" w:space="0" w:color="FFFFFF" w:themeColor="background1"/>
              <w:left w:val="single" w:sz="4" w:space="0" w:color="FFFFFF" w:themeColor="background1"/>
              <w:bottom w:val="nil"/>
              <w:right w:val="single" w:sz="4" w:space="0" w:color="FFFFFF" w:themeColor="background1"/>
            </w:tcBorders>
          </w:tcPr>
          <w:p w14:paraId="417B106C" w14:textId="77777777" w:rsidR="00EA2B5F" w:rsidRPr="00F25EBD" w:rsidRDefault="00EA2B5F" w:rsidP="00FC7062">
            <w:pPr>
              <w:spacing w:line="276" w:lineRule="auto"/>
              <w:rPr>
                <w:rFonts w:asciiTheme="majorHAnsi" w:hAnsiTheme="majorHAnsi" w:cstheme="majorHAnsi"/>
                <w:sz w:val="20"/>
                <w:szCs w:val="20"/>
              </w:rPr>
            </w:pPr>
          </w:p>
        </w:tc>
        <w:tc>
          <w:tcPr>
            <w:tcW w:w="1418" w:type="dxa"/>
            <w:tcBorders>
              <w:top w:val="single" w:sz="4" w:space="0" w:color="FFFFFF" w:themeColor="background1"/>
              <w:left w:val="single" w:sz="4" w:space="0" w:color="FFFFFF" w:themeColor="background1"/>
              <w:bottom w:val="nil"/>
              <w:right w:val="single" w:sz="4" w:space="0" w:color="FFFFFF" w:themeColor="background1"/>
            </w:tcBorders>
            <w:shd w:val="clear" w:color="auto" w:fill="DEEAF6" w:themeFill="accent1" w:themeFillTint="33"/>
          </w:tcPr>
          <w:p w14:paraId="2931CD76" w14:textId="77777777" w:rsidR="00EA2B5F" w:rsidRPr="00F25EBD" w:rsidRDefault="00EA2B5F" w:rsidP="00FC7062">
            <w:pPr>
              <w:spacing w:line="276" w:lineRule="auto"/>
              <w:jc w:val="center"/>
              <w:rPr>
                <w:rFonts w:asciiTheme="majorHAnsi" w:hAnsiTheme="majorHAnsi" w:cstheme="majorHAnsi"/>
                <w:sz w:val="20"/>
                <w:szCs w:val="20"/>
              </w:rPr>
            </w:pPr>
            <w:r w:rsidRPr="00F25EBD">
              <w:rPr>
                <w:rFonts w:asciiTheme="majorHAnsi" w:hAnsiTheme="majorHAnsi" w:cstheme="majorHAnsi"/>
                <w:sz w:val="20"/>
                <w:szCs w:val="20"/>
              </w:rPr>
              <w:t>działdowski</w:t>
            </w:r>
          </w:p>
        </w:tc>
        <w:tc>
          <w:tcPr>
            <w:tcW w:w="850" w:type="dxa"/>
            <w:tcBorders>
              <w:top w:val="single" w:sz="4" w:space="0" w:color="FFFFFF" w:themeColor="background1"/>
              <w:left w:val="single" w:sz="4" w:space="0" w:color="FFFFFF" w:themeColor="background1"/>
              <w:bottom w:val="nil"/>
              <w:right w:val="single" w:sz="4" w:space="0" w:color="FFFFFF" w:themeColor="background1"/>
            </w:tcBorders>
            <w:shd w:val="clear" w:color="auto" w:fill="DEEAF6" w:themeFill="accent1" w:themeFillTint="33"/>
          </w:tcPr>
          <w:p w14:paraId="76A3F39E" w14:textId="77777777" w:rsidR="00EA2B5F" w:rsidRPr="00F25EBD" w:rsidRDefault="00EA2B5F" w:rsidP="00FC7062">
            <w:pPr>
              <w:spacing w:line="276" w:lineRule="auto"/>
              <w:jc w:val="center"/>
              <w:rPr>
                <w:rFonts w:asciiTheme="majorHAnsi" w:hAnsiTheme="majorHAnsi" w:cstheme="majorHAnsi"/>
                <w:sz w:val="20"/>
                <w:szCs w:val="20"/>
              </w:rPr>
            </w:pPr>
            <w:r w:rsidRPr="00F25EBD">
              <w:rPr>
                <w:rFonts w:asciiTheme="majorHAnsi" w:hAnsiTheme="majorHAnsi" w:cstheme="majorHAnsi"/>
                <w:sz w:val="20"/>
                <w:szCs w:val="20"/>
              </w:rPr>
              <w:t>nidzicki</w:t>
            </w:r>
          </w:p>
        </w:tc>
        <w:tc>
          <w:tcPr>
            <w:tcW w:w="851" w:type="dxa"/>
            <w:tcBorders>
              <w:top w:val="single" w:sz="4" w:space="0" w:color="FFFFFF" w:themeColor="background1"/>
              <w:left w:val="single" w:sz="4" w:space="0" w:color="FFFFFF" w:themeColor="background1"/>
              <w:bottom w:val="nil"/>
              <w:right w:val="single" w:sz="4" w:space="0" w:color="FFFFFF" w:themeColor="background1"/>
            </w:tcBorders>
            <w:shd w:val="clear" w:color="auto" w:fill="DEEAF6" w:themeFill="accent1" w:themeFillTint="33"/>
          </w:tcPr>
          <w:p w14:paraId="0AC5E6BE" w14:textId="77777777" w:rsidR="00EA2B5F" w:rsidRPr="00F25EBD" w:rsidRDefault="00EA2B5F" w:rsidP="00FC7062">
            <w:pPr>
              <w:spacing w:line="276" w:lineRule="auto"/>
              <w:jc w:val="center"/>
              <w:rPr>
                <w:rFonts w:asciiTheme="majorHAnsi" w:hAnsiTheme="majorHAnsi" w:cstheme="majorHAnsi"/>
                <w:sz w:val="20"/>
                <w:szCs w:val="20"/>
              </w:rPr>
            </w:pPr>
            <w:r w:rsidRPr="00F25EBD">
              <w:rPr>
                <w:rFonts w:asciiTheme="majorHAnsi" w:hAnsiTheme="majorHAnsi" w:cstheme="majorHAnsi"/>
                <w:sz w:val="20"/>
                <w:szCs w:val="20"/>
              </w:rPr>
              <w:t>piski</w:t>
            </w:r>
          </w:p>
        </w:tc>
        <w:tc>
          <w:tcPr>
            <w:tcW w:w="1412" w:type="dxa"/>
            <w:tcBorders>
              <w:top w:val="single" w:sz="4" w:space="0" w:color="FFFFFF" w:themeColor="background1"/>
              <w:left w:val="single" w:sz="4" w:space="0" w:color="FFFFFF" w:themeColor="background1"/>
              <w:bottom w:val="nil"/>
              <w:right w:val="single" w:sz="4" w:space="0" w:color="FFFFFF" w:themeColor="background1"/>
            </w:tcBorders>
            <w:shd w:val="clear" w:color="auto" w:fill="DEEAF6" w:themeFill="accent1" w:themeFillTint="33"/>
          </w:tcPr>
          <w:p w14:paraId="6531C1B1" w14:textId="77777777" w:rsidR="00EA2B5F" w:rsidRPr="00F25EBD" w:rsidRDefault="00EA2B5F" w:rsidP="00FC7062">
            <w:pPr>
              <w:spacing w:line="276" w:lineRule="auto"/>
              <w:jc w:val="center"/>
              <w:rPr>
                <w:rFonts w:asciiTheme="majorHAnsi" w:hAnsiTheme="majorHAnsi" w:cstheme="majorHAnsi"/>
                <w:sz w:val="20"/>
                <w:szCs w:val="20"/>
              </w:rPr>
            </w:pPr>
            <w:r w:rsidRPr="00F25EBD">
              <w:rPr>
                <w:rFonts w:asciiTheme="majorHAnsi" w:hAnsiTheme="majorHAnsi" w:cstheme="majorHAnsi"/>
                <w:sz w:val="20"/>
                <w:szCs w:val="20"/>
              </w:rPr>
              <w:t>szczycieński</w:t>
            </w:r>
          </w:p>
        </w:tc>
      </w:tr>
      <w:tr w:rsidR="00EA2B5F" w:rsidRPr="00F25EBD" w14:paraId="04A9E0CF" w14:textId="77777777" w:rsidTr="005D522F">
        <w:tc>
          <w:tcPr>
            <w:tcW w:w="4423" w:type="dxa"/>
            <w:tcBorders>
              <w:top w:val="nil"/>
              <w:left w:val="nil"/>
              <w:bottom w:val="single" w:sz="4" w:space="0" w:color="808080" w:themeColor="background1" w:themeShade="80"/>
              <w:right w:val="nil"/>
            </w:tcBorders>
          </w:tcPr>
          <w:p w14:paraId="007830E2" w14:textId="77777777" w:rsidR="00EA2B5F" w:rsidRPr="00F25EBD" w:rsidRDefault="00EA2B5F" w:rsidP="00FC7062">
            <w:pPr>
              <w:spacing w:line="276" w:lineRule="auto"/>
              <w:ind w:left="315"/>
              <w:rPr>
                <w:rFonts w:asciiTheme="majorHAnsi" w:hAnsiTheme="majorHAnsi" w:cstheme="majorHAnsi"/>
                <w:sz w:val="20"/>
                <w:szCs w:val="20"/>
              </w:rPr>
            </w:pPr>
            <w:r w:rsidRPr="00F25EBD">
              <w:rPr>
                <w:rFonts w:asciiTheme="majorHAnsi" w:hAnsiTheme="majorHAnsi" w:cstheme="majorHAnsi"/>
                <w:sz w:val="20"/>
                <w:szCs w:val="20"/>
              </w:rPr>
              <w:t>Anestezjologii i intensywnej terapii</w:t>
            </w:r>
          </w:p>
        </w:tc>
        <w:tc>
          <w:tcPr>
            <w:tcW w:w="1418" w:type="dxa"/>
            <w:tcBorders>
              <w:top w:val="nil"/>
              <w:left w:val="nil"/>
              <w:bottom w:val="single" w:sz="4" w:space="0" w:color="808080" w:themeColor="background1" w:themeShade="80"/>
              <w:right w:val="nil"/>
            </w:tcBorders>
          </w:tcPr>
          <w:p w14:paraId="1DF7F391" w14:textId="77777777" w:rsidR="00EA2B5F" w:rsidRPr="00F25EBD" w:rsidRDefault="00EA2B5F" w:rsidP="00FC7062">
            <w:pPr>
              <w:spacing w:line="276" w:lineRule="auto"/>
              <w:jc w:val="center"/>
              <w:rPr>
                <w:rFonts w:asciiTheme="majorHAnsi" w:hAnsiTheme="majorHAnsi" w:cstheme="majorHAnsi"/>
                <w:sz w:val="20"/>
                <w:szCs w:val="20"/>
              </w:rPr>
            </w:pPr>
            <w:r w:rsidRPr="00F25EBD">
              <w:rPr>
                <w:rFonts w:asciiTheme="majorHAnsi" w:hAnsiTheme="majorHAnsi" w:cstheme="majorHAnsi"/>
                <w:sz w:val="20"/>
                <w:szCs w:val="20"/>
              </w:rPr>
              <w:t>4</w:t>
            </w:r>
          </w:p>
        </w:tc>
        <w:tc>
          <w:tcPr>
            <w:tcW w:w="850" w:type="dxa"/>
            <w:tcBorders>
              <w:top w:val="nil"/>
              <w:left w:val="nil"/>
              <w:bottom w:val="single" w:sz="4" w:space="0" w:color="808080" w:themeColor="background1" w:themeShade="80"/>
              <w:right w:val="nil"/>
            </w:tcBorders>
          </w:tcPr>
          <w:p w14:paraId="4C47D49F" w14:textId="77777777" w:rsidR="00EA2B5F" w:rsidRPr="00F25EBD" w:rsidRDefault="00EA2B5F" w:rsidP="00FC7062">
            <w:pPr>
              <w:spacing w:line="276" w:lineRule="auto"/>
              <w:jc w:val="center"/>
              <w:rPr>
                <w:rFonts w:asciiTheme="majorHAnsi" w:hAnsiTheme="majorHAnsi" w:cstheme="majorHAnsi"/>
                <w:sz w:val="20"/>
                <w:szCs w:val="20"/>
              </w:rPr>
            </w:pPr>
            <w:r w:rsidRPr="00F25EBD">
              <w:rPr>
                <w:rFonts w:asciiTheme="majorHAnsi" w:hAnsiTheme="majorHAnsi" w:cstheme="majorHAnsi"/>
                <w:sz w:val="20"/>
                <w:szCs w:val="20"/>
              </w:rPr>
              <w:t>-</w:t>
            </w:r>
          </w:p>
        </w:tc>
        <w:tc>
          <w:tcPr>
            <w:tcW w:w="851" w:type="dxa"/>
            <w:tcBorders>
              <w:top w:val="nil"/>
              <w:left w:val="nil"/>
              <w:bottom w:val="single" w:sz="4" w:space="0" w:color="808080" w:themeColor="background1" w:themeShade="80"/>
              <w:right w:val="nil"/>
            </w:tcBorders>
          </w:tcPr>
          <w:p w14:paraId="7AB4C005" w14:textId="77777777" w:rsidR="00EA2B5F" w:rsidRPr="00F25EBD" w:rsidRDefault="00EA2B5F" w:rsidP="00FC7062">
            <w:pPr>
              <w:spacing w:line="276" w:lineRule="auto"/>
              <w:jc w:val="center"/>
              <w:rPr>
                <w:rFonts w:asciiTheme="majorHAnsi" w:hAnsiTheme="majorHAnsi" w:cstheme="majorHAnsi"/>
                <w:sz w:val="20"/>
                <w:szCs w:val="20"/>
              </w:rPr>
            </w:pPr>
            <w:r w:rsidRPr="00F25EBD">
              <w:rPr>
                <w:rFonts w:asciiTheme="majorHAnsi" w:hAnsiTheme="majorHAnsi" w:cstheme="majorHAnsi"/>
                <w:sz w:val="20"/>
                <w:szCs w:val="20"/>
              </w:rPr>
              <w:t>4</w:t>
            </w:r>
          </w:p>
        </w:tc>
        <w:tc>
          <w:tcPr>
            <w:tcW w:w="1412" w:type="dxa"/>
            <w:tcBorders>
              <w:top w:val="nil"/>
              <w:left w:val="nil"/>
              <w:bottom w:val="single" w:sz="4" w:space="0" w:color="808080" w:themeColor="background1" w:themeShade="80"/>
              <w:right w:val="nil"/>
            </w:tcBorders>
          </w:tcPr>
          <w:p w14:paraId="033789B0" w14:textId="77777777" w:rsidR="00EA2B5F" w:rsidRPr="00F25EBD" w:rsidRDefault="00EA2B5F" w:rsidP="00FC7062">
            <w:pPr>
              <w:spacing w:line="276" w:lineRule="auto"/>
              <w:jc w:val="center"/>
              <w:rPr>
                <w:rFonts w:asciiTheme="majorHAnsi" w:hAnsiTheme="majorHAnsi" w:cstheme="majorHAnsi"/>
                <w:sz w:val="20"/>
                <w:szCs w:val="20"/>
              </w:rPr>
            </w:pPr>
            <w:r w:rsidRPr="00F25EBD">
              <w:rPr>
                <w:rFonts w:asciiTheme="majorHAnsi" w:hAnsiTheme="majorHAnsi" w:cstheme="majorHAnsi"/>
                <w:sz w:val="20"/>
                <w:szCs w:val="20"/>
              </w:rPr>
              <w:t>3</w:t>
            </w:r>
          </w:p>
        </w:tc>
      </w:tr>
      <w:tr w:rsidR="00EA2B5F" w:rsidRPr="00F25EBD" w14:paraId="003F345E" w14:textId="77777777" w:rsidTr="005D522F">
        <w:tc>
          <w:tcPr>
            <w:tcW w:w="4423" w:type="dxa"/>
            <w:tcBorders>
              <w:top w:val="single" w:sz="4" w:space="0" w:color="808080" w:themeColor="background1" w:themeShade="80"/>
              <w:left w:val="nil"/>
              <w:bottom w:val="single" w:sz="4" w:space="0" w:color="808080" w:themeColor="background1" w:themeShade="80"/>
              <w:right w:val="nil"/>
            </w:tcBorders>
          </w:tcPr>
          <w:p w14:paraId="04221DB4" w14:textId="77777777" w:rsidR="00EA2B5F" w:rsidRPr="00F25EBD" w:rsidRDefault="00EA2B5F" w:rsidP="00FC7062">
            <w:pPr>
              <w:spacing w:line="276" w:lineRule="auto"/>
              <w:ind w:left="315"/>
              <w:rPr>
                <w:rFonts w:asciiTheme="majorHAnsi" w:hAnsiTheme="majorHAnsi" w:cstheme="majorHAnsi"/>
                <w:color w:val="000000"/>
                <w:sz w:val="20"/>
                <w:szCs w:val="20"/>
                <w:shd w:val="clear" w:color="auto" w:fill="F2F2F2"/>
              </w:rPr>
            </w:pPr>
            <w:r w:rsidRPr="00F25EBD">
              <w:rPr>
                <w:rFonts w:asciiTheme="majorHAnsi" w:hAnsiTheme="majorHAnsi" w:cstheme="majorHAnsi"/>
                <w:sz w:val="20"/>
                <w:szCs w:val="20"/>
              </w:rPr>
              <w:t>Blok operacyjny</w:t>
            </w:r>
          </w:p>
        </w:tc>
        <w:tc>
          <w:tcPr>
            <w:tcW w:w="1418" w:type="dxa"/>
            <w:tcBorders>
              <w:top w:val="single" w:sz="4" w:space="0" w:color="808080" w:themeColor="background1" w:themeShade="80"/>
              <w:left w:val="nil"/>
              <w:bottom w:val="single" w:sz="4" w:space="0" w:color="808080" w:themeColor="background1" w:themeShade="80"/>
              <w:right w:val="nil"/>
            </w:tcBorders>
          </w:tcPr>
          <w:p w14:paraId="2BDA24DA" w14:textId="77777777" w:rsidR="00EA2B5F" w:rsidRPr="00F25EBD" w:rsidRDefault="00EA2B5F" w:rsidP="00FC7062">
            <w:pPr>
              <w:spacing w:line="276" w:lineRule="auto"/>
              <w:jc w:val="center"/>
              <w:rPr>
                <w:rFonts w:asciiTheme="majorHAnsi" w:hAnsiTheme="majorHAnsi" w:cstheme="majorHAnsi"/>
                <w:sz w:val="20"/>
                <w:szCs w:val="20"/>
              </w:rPr>
            </w:pPr>
            <w:r w:rsidRPr="00F25EBD">
              <w:rPr>
                <w:rFonts w:asciiTheme="majorHAnsi" w:hAnsiTheme="majorHAnsi" w:cstheme="majorHAnsi"/>
                <w:sz w:val="20"/>
                <w:szCs w:val="20"/>
              </w:rPr>
              <w:t>-</w:t>
            </w:r>
          </w:p>
        </w:tc>
        <w:tc>
          <w:tcPr>
            <w:tcW w:w="850" w:type="dxa"/>
            <w:tcBorders>
              <w:top w:val="single" w:sz="4" w:space="0" w:color="808080" w:themeColor="background1" w:themeShade="80"/>
              <w:left w:val="nil"/>
              <w:bottom w:val="single" w:sz="4" w:space="0" w:color="808080" w:themeColor="background1" w:themeShade="80"/>
              <w:right w:val="nil"/>
            </w:tcBorders>
          </w:tcPr>
          <w:p w14:paraId="6AC478B1" w14:textId="77777777" w:rsidR="00EA2B5F" w:rsidRPr="00F25EBD" w:rsidRDefault="00EA2B5F" w:rsidP="00FC7062">
            <w:pPr>
              <w:spacing w:line="276" w:lineRule="auto"/>
              <w:jc w:val="center"/>
              <w:rPr>
                <w:rFonts w:asciiTheme="majorHAnsi" w:hAnsiTheme="majorHAnsi" w:cstheme="majorHAnsi"/>
                <w:sz w:val="20"/>
                <w:szCs w:val="20"/>
              </w:rPr>
            </w:pPr>
            <w:r w:rsidRPr="00F25EBD">
              <w:rPr>
                <w:rFonts w:asciiTheme="majorHAnsi" w:hAnsiTheme="majorHAnsi" w:cstheme="majorHAnsi"/>
                <w:sz w:val="20"/>
                <w:szCs w:val="20"/>
              </w:rPr>
              <w:t>4</w:t>
            </w:r>
          </w:p>
        </w:tc>
        <w:tc>
          <w:tcPr>
            <w:tcW w:w="851" w:type="dxa"/>
            <w:tcBorders>
              <w:top w:val="single" w:sz="4" w:space="0" w:color="808080" w:themeColor="background1" w:themeShade="80"/>
              <w:left w:val="nil"/>
              <w:bottom w:val="single" w:sz="4" w:space="0" w:color="808080" w:themeColor="background1" w:themeShade="80"/>
              <w:right w:val="nil"/>
            </w:tcBorders>
          </w:tcPr>
          <w:p w14:paraId="0E570BC6" w14:textId="0E0D2BF1" w:rsidR="00EA2B5F" w:rsidRPr="00F25EBD" w:rsidRDefault="003C29D9" w:rsidP="00FC7062">
            <w:pPr>
              <w:spacing w:line="276" w:lineRule="auto"/>
              <w:jc w:val="center"/>
              <w:rPr>
                <w:rFonts w:asciiTheme="majorHAnsi" w:hAnsiTheme="majorHAnsi" w:cstheme="majorHAnsi"/>
                <w:sz w:val="20"/>
                <w:szCs w:val="20"/>
              </w:rPr>
            </w:pPr>
            <w:r>
              <w:rPr>
                <w:rFonts w:asciiTheme="majorHAnsi" w:hAnsiTheme="majorHAnsi" w:cstheme="majorHAnsi"/>
                <w:sz w:val="20"/>
                <w:szCs w:val="20"/>
              </w:rPr>
              <w:t>3</w:t>
            </w:r>
          </w:p>
        </w:tc>
        <w:tc>
          <w:tcPr>
            <w:tcW w:w="1412" w:type="dxa"/>
            <w:tcBorders>
              <w:top w:val="single" w:sz="4" w:space="0" w:color="808080" w:themeColor="background1" w:themeShade="80"/>
              <w:left w:val="nil"/>
              <w:bottom w:val="single" w:sz="4" w:space="0" w:color="808080" w:themeColor="background1" w:themeShade="80"/>
              <w:right w:val="nil"/>
            </w:tcBorders>
          </w:tcPr>
          <w:p w14:paraId="3C6B6CF1" w14:textId="77777777" w:rsidR="00EA2B5F" w:rsidRPr="00F25EBD" w:rsidRDefault="00EA2B5F" w:rsidP="00FC7062">
            <w:pPr>
              <w:spacing w:line="276" w:lineRule="auto"/>
              <w:jc w:val="center"/>
              <w:rPr>
                <w:rFonts w:asciiTheme="majorHAnsi" w:hAnsiTheme="majorHAnsi" w:cstheme="majorHAnsi"/>
                <w:sz w:val="20"/>
                <w:szCs w:val="20"/>
              </w:rPr>
            </w:pPr>
            <w:r w:rsidRPr="00F25EBD">
              <w:rPr>
                <w:rFonts w:asciiTheme="majorHAnsi" w:hAnsiTheme="majorHAnsi" w:cstheme="majorHAnsi"/>
                <w:sz w:val="20"/>
                <w:szCs w:val="20"/>
              </w:rPr>
              <w:t>-</w:t>
            </w:r>
          </w:p>
        </w:tc>
      </w:tr>
      <w:tr w:rsidR="00EA2B5F" w:rsidRPr="00F25EBD" w14:paraId="072BD9DF" w14:textId="77777777" w:rsidTr="005D522F">
        <w:tc>
          <w:tcPr>
            <w:tcW w:w="4423" w:type="dxa"/>
            <w:tcBorders>
              <w:top w:val="single" w:sz="4" w:space="0" w:color="808080" w:themeColor="background1" w:themeShade="80"/>
              <w:left w:val="nil"/>
              <w:bottom w:val="single" w:sz="4" w:space="0" w:color="808080" w:themeColor="background1" w:themeShade="80"/>
              <w:right w:val="nil"/>
            </w:tcBorders>
          </w:tcPr>
          <w:p w14:paraId="13C8B352" w14:textId="77777777" w:rsidR="00EA2B5F" w:rsidRPr="00F25EBD" w:rsidRDefault="00EA2B5F" w:rsidP="00FC7062">
            <w:pPr>
              <w:spacing w:line="276" w:lineRule="auto"/>
              <w:ind w:left="315"/>
              <w:rPr>
                <w:rFonts w:asciiTheme="majorHAnsi" w:hAnsiTheme="majorHAnsi" w:cstheme="majorHAnsi"/>
                <w:sz w:val="20"/>
                <w:szCs w:val="20"/>
              </w:rPr>
            </w:pPr>
            <w:r w:rsidRPr="00F25EBD">
              <w:rPr>
                <w:rFonts w:asciiTheme="majorHAnsi" w:hAnsiTheme="majorHAnsi" w:cstheme="majorHAnsi"/>
                <w:sz w:val="20"/>
                <w:szCs w:val="20"/>
              </w:rPr>
              <w:t>Chirurgiczny ogólny</w:t>
            </w:r>
          </w:p>
        </w:tc>
        <w:tc>
          <w:tcPr>
            <w:tcW w:w="1418" w:type="dxa"/>
            <w:tcBorders>
              <w:top w:val="single" w:sz="4" w:space="0" w:color="808080" w:themeColor="background1" w:themeShade="80"/>
              <w:left w:val="nil"/>
              <w:bottom w:val="single" w:sz="4" w:space="0" w:color="808080" w:themeColor="background1" w:themeShade="80"/>
              <w:right w:val="nil"/>
            </w:tcBorders>
          </w:tcPr>
          <w:p w14:paraId="15941AF9" w14:textId="77777777" w:rsidR="00EA2B5F" w:rsidRPr="00F25EBD" w:rsidRDefault="00EA2B5F" w:rsidP="00FC7062">
            <w:pPr>
              <w:spacing w:line="276" w:lineRule="auto"/>
              <w:jc w:val="center"/>
              <w:rPr>
                <w:rFonts w:asciiTheme="majorHAnsi" w:hAnsiTheme="majorHAnsi" w:cstheme="majorHAnsi"/>
                <w:sz w:val="20"/>
                <w:szCs w:val="20"/>
              </w:rPr>
            </w:pPr>
            <w:r w:rsidRPr="00F25EBD">
              <w:rPr>
                <w:rFonts w:asciiTheme="majorHAnsi" w:hAnsiTheme="majorHAnsi" w:cstheme="majorHAnsi"/>
                <w:sz w:val="20"/>
                <w:szCs w:val="20"/>
              </w:rPr>
              <w:t>26</w:t>
            </w:r>
          </w:p>
        </w:tc>
        <w:tc>
          <w:tcPr>
            <w:tcW w:w="850" w:type="dxa"/>
            <w:tcBorders>
              <w:top w:val="single" w:sz="4" w:space="0" w:color="808080" w:themeColor="background1" w:themeShade="80"/>
              <w:left w:val="nil"/>
              <w:bottom w:val="single" w:sz="4" w:space="0" w:color="808080" w:themeColor="background1" w:themeShade="80"/>
              <w:right w:val="nil"/>
            </w:tcBorders>
          </w:tcPr>
          <w:p w14:paraId="6DDB7D8E" w14:textId="77777777" w:rsidR="00EA2B5F" w:rsidRPr="00F25EBD" w:rsidRDefault="00EA2B5F" w:rsidP="00FC7062">
            <w:pPr>
              <w:spacing w:line="276" w:lineRule="auto"/>
              <w:jc w:val="center"/>
              <w:rPr>
                <w:rFonts w:asciiTheme="majorHAnsi" w:hAnsiTheme="majorHAnsi" w:cstheme="majorHAnsi"/>
                <w:sz w:val="20"/>
                <w:szCs w:val="20"/>
              </w:rPr>
            </w:pPr>
            <w:r w:rsidRPr="00F25EBD">
              <w:rPr>
                <w:rFonts w:asciiTheme="majorHAnsi" w:hAnsiTheme="majorHAnsi" w:cstheme="majorHAnsi"/>
                <w:sz w:val="20"/>
                <w:szCs w:val="20"/>
              </w:rPr>
              <w:t>19</w:t>
            </w:r>
          </w:p>
        </w:tc>
        <w:tc>
          <w:tcPr>
            <w:tcW w:w="851" w:type="dxa"/>
            <w:tcBorders>
              <w:top w:val="single" w:sz="4" w:space="0" w:color="808080" w:themeColor="background1" w:themeShade="80"/>
              <w:left w:val="nil"/>
              <w:bottom w:val="single" w:sz="4" w:space="0" w:color="808080" w:themeColor="background1" w:themeShade="80"/>
              <w:right w:val="nil"/>
            </w:tcBorders>
          </w:tcPr>
          <w:p w14:paraId="186C9E57" w14:textId="77777777" w:rsidR="00EA2B5F" w:rsidRPr="00F25EBD" w:rsidRDefault="00EA2B5F" w:rsidP="00FC7062">
            <w:pPr>
              <w:spacing w:line="276" w:lineRule="auto"/>
              <w:jc w:val="center"/>
              <w:rPr>
                <w:rFonts w:asciiTheme="majorHAnsi" w:hAnsiTheme="majorHAnsi" w:cstheme="majorHAnsi"/>
                <w:sz w:val="20"/>
                <w:szCs w:val="20"/>
              </w:rPr>
            </w:pPr>
            <w:r w:rsidRPr="00F25EBD">
              <w:rPr>
                <w:rFonts w:asciiTheme="majorHAnsi" w:hAnsiTheme="majorHAnsi" w:cstheme="majorHAnsi"/>
                <w:sz w:val="20"/>
                <w:szCs w:val="20"/>
              </w:rPr>
              <w:t>20</w:t>
            </w:r>
          </w:p>
        </w:tc>
        <w:tc>
          <w:tcPr>
            <w:tcW w:w="1412" w:type="dxa"/>
            <w:tcBorders>
              <w:top w:val="single" w:sz="4" w:space="0" w:color="808080" w:themeColor="background1" w:themeShade="80"/>
              <w:left w:val="nil"/>
              <w:bottom w:val="single" w:sz="4" w:space="0" w:color="808080" w:themeColor="background1" w:themeShade="80"/>
              <w:right w:val="nil"/>
            </w:tcBorders>
          </w:tcPr>
          <w:p w14:paraId="1A032EEC" w14:textId="77777777" w:rsidR="00EA2B5F" w:rsidRPr="00F25EBD" w:rsidRDefault="00EA2B5F" w:rsidP="00FC7062">
            <w:pPr>
              <w:spacing w:line="276" w:lineRule="auto"/>
              <w:jc w:val="center"/>
              <w:rPr>
                <w:rFonts w:asciiTheme="majorHAnsi" w:hAnsiTheme="majorHAnsi" w:cstheme="majorHAnsi"/>
                <w:sz w:val="20"/>
                <w:szCs w:val="20"/>
              </w:rPr>
            </w:pPr>
            <w:r w:rsidRPr="00F25EBD">
              <w:rPr>
                <w:rFonts w:asciiTheme="majorHAnsi" w:hAnsiTheme="majorHAnsi" w:cstheme="majorHAnsi"/>
                <w:sz w:val="20"/>
                <w:szCs w:val="20"/>
              </w:rPr>
              <w:t>30</w:t>
            </w:r>
          </w:p>
        </w:tc>
      </w:tr>
      <w:tr w:rsidR="00EA2B5F" w:rsidRPr="00F25EBD" w14:paraId="2F3242FB" w14:textId="77777777" w:rsidTr="005D522F">
        <w:tc>
          <w:tcPr>
            <w:tcW w:w="4423" w:type="dxa"/>
            <w:tcBorders>
              <w:top w:val="single" w:sz="4" w:space="0" w:color="808080" w:themeColor="background1" w:themeShade="80"/>
              <w:left w:val="nil"/>
              <w:bottom w:val="single" w:sz="4" w:space="0" w:color="808080" w:themeColor="background1" w:themeShade="80"/>
              <w:right w:val="nil"/>
            </w:tcBorders>
          </w:tcPr>
          <w:p w14:paraId="3851F416" w14:textId="77777777" w:rsidR="00EA2B5F" w:rsidRPr="00F25EBD" w:rsidRDefault="00EA2B5F" w:rsidP="00FC7062">
            <w:pPr>
              <w:spacing w:line="276" w:lineRule="auto"/>
              <w:ind w:left="315"/>
              <w:rPr>
                <w:rFonts w:asciiTheme="majorHAnsi" w:hAnsiTheme="majorHAnsi" w:cstheme="majorHAnsi"/>
                <w:color w:val="000000"/>
                <w:sz w:val="20"/>
                <w:szCs w:val="20"/>
                <w:shd w:val="clear" w:color="auto" w:fill="F2F2F2"/>
              </w:rPr>
            </w:pPr>
            <w:r w:rsidRPr="00F25EBD">
              <w:rPr>
                <w:rFonts w:asciiTheme="majorHAnsi" w:hAnsiTheme="majorHAnsi" w:cstheme="majorHAnsi"/>
                <w:sz w:val="20"/>
                <w:szCs w:val="20"/>
              </w:rPr>
              <w:t>Chirurgii urazowo-ortopedycznej</w:t>
            </w:r>
          </w:p>
        </w:tc>
        <w:tc>
          <w:tcPr>
            <w:tcW w:w="1418" w:type="dxa"/>
            <w:tcBorders>
              <w:top w:val="single" w:sz="4" w:space="0" w:color="808080" w:themeColor="background1" w:themeShade="80"/>
              <w:left w:val="nil"/>
              <w:bottom w:val="single" w:sz="4" w:space="0" w:color="808080" w:themeColor="background1" w:themeShade="80"/>
              <w:right w:val="nil"/>
            </w:tcBorders>
          </w:tcPr>
          <w:p w14:paraId="3B0DD30C" w14:textId="77777777" w:rsidR="00EA2B5F" w:rsidRPr="00F25EBD" w:rsidRDefault="00EA2B5F" w:rsidP="00FC7062">
            <w:pPr>
              <w:spacing w:line="276" w:lineRule="auto"/>
              <w:jc w:val="center"/>
              <w:rPr>
                <w:rFonts w:asciiTheme="majorHAnsi" w:hAnsiTheme="majorHAnsi" w:cstheme="majorHAnsi"/>
                <w:color w:val="000000"/>
                <w:sz w:val="20"/>
                <w:szCs w:val="20"/>
                <w:shd w:val="clear" w:color="auto" w:fill="F2F2F2"/>
              </w:rPr>
            </w:pPr>
            <w:r w:rsidRPr="00F25EBD">
              <w:rPr>
                <w:rFonts w:asciiTheme="majorHAnsi" w:hAnsiTheme="majorHAnsi" w:cstheme="majorHAnsi"/>
                <w:sz w:val="20"/>
                <w:szCs w:val="20"/>
              </w:rPr>
              <w:t>17</w:t>
            </w:r>
          </w:p>
        </w:tc>
        <w:tc>
          <w:tcPr>
            <w:tcW w:w="850" w:type="dxa"/>
            <w:tcBorders>
              <w:top w:val="single" w:sz="4" w:space="0" w:color="808080" w:themeColor="background1" w:themeShade="80"/>
              <w:left w:val="nil"/>
              <w:bottom w:val="single" w:sz="4" w:space="0" w:color="808080" w:themeColor="background1" w:themeShade="80"/>
              <w:right w:val="nil"/>
            </w:tcBorders>
          </w:tcPr>
          <w:p w14:paraId="1C665225" w14:textId="77777777" w:rsidR="00EA2B5F" w:rsidRPr="00F25EBD" w:rsidRDefault="00EA2B5F" w:rsidP="00FC7062">
            <w:pPr>
              <w:spacing w:line="276" w:lineRule="auto"/>
              <w:jc w:val="center"/>
              <w:rPr>
                <w:rFonts w:asciiTheme="majorHAnsi" w:hAnsiTheme="majorHAnsi" w:cstheme="majorHAnsi"/>
                <w:sz w:val="20"/>
                <w:szCs w:val="20"/>
              </w:rPr>
            </w:pPr>
            <w:r w:rsidRPr="00F25EBD">
              <w:rPr>
                <w:rFonts w:asciiTheme="majorHAnsi" w:hAnsiTheme="majorHAnsi" w:cstheme="majorHAnsi"/>
                <w:sz w:val="20"/>
                <w:szCs w:val="20"/>
              </w:rPr>
              <w:t>-</w:t>
            </w:r>
          </w:p>
        </w:tc>
        <w:tc>
          <w:tcPr>
            <w:tcW w:w="851" w:type="dxa"/>
            <w:tcBorders>
              <w:top w:val="single" w:sz="4" w:space="0" w:color="808080" w:themeColor="background1" w:themeShade="80"/>
              <w:left w:val="nil"/>
              <w:bottom w:val="single" w:sz="4" w:space="0" w:color="808080" w:themeColor="background1" w:themeShade="80"/>
              <w:right w:val="nil"/>
            </w:tcBorders>
          </w:tcPr>
          <w:p w14:paraId="1C6A26AB" w14:textId="1460A620" w:rsidR="00EA2B5F" w:rsidRPr="00F25EBD" w:rsidRDefault="003C29D9" w:rsidP="00FC7062">
            <w:pPr>
              <w:spacing w:line="276" w:lineRule="auto"/>
              <w:jc w:val="center"/>
              <w:rPr>
                <w:rFonts w:asciiTheme="majorHAnsi" w:hAnsiTheme="majorHAnsi" w:cstheme="majorHAnsi"/>
                <w:sz w:val="20"/>
                <w:szCs w:val="20"/>
              </w:rPr>
            </w:pPr>
            <w:r>
              <w:rPr>
                <w:rFonts w:asciiTheme="majorHAnsi" w:hAnsiTheme="majorHAnsi" w:cstheme="majorHAnsi"/>
                <w:sz w:val="20"/>
                <w:szCs w:val="20"/>
              </w:rPr>
              <w:t>20</w:t>
            </w:r>
          </w:p>
        </w:tc>
        <w:tc>
          <w:tcPr>
            <w:tcW w:w="1412" w:type="dxa"/>
            <w:tcBorders>
              <w:top w:val="single" w:sz="4" w:space="0" w:color="808080" w:themeColor="background1" w:themeShade="80"/>
              <w:left w:val="nil"/>
              <w:bottom w:val="single" w:sz="4" w:space="0" w:color="808080" w:themeColor="background1" w:themeShade="80"/>
              <w:right w:val="nil"/>
            </w:tcBorders>
          </w:tcPr>
          <w:p w14:paraId="2F5A1DB4" w14:textId="77777777" w:rsidR="00EA2B5F" w:rsidRPr="00F25EBD" w:rsidRDefault="00EA2B5F" w:rsidP="00FC7062">
            <w:pPr>
              <w:spacing w:line="276" w:lineRule="auto"/>
              <w:jc w:val="center"/>
              <w:rPr>
                <w:rFonts w:asciiTheme="majorHAnsi" w:hAnsiTheme="majorHAnsi" w:cstheme="majorHAnsi"/>
                <w:sz w:val="20"/>
                <w:szCs w:val="20"/>
              </w:rPr>
            </w:pPr>
            <w:r w:rsidRPr="00F25EBD">
              <w:rPr>
                <w:rFonts w:asciiTheme="majorHAnsi" w:hAnsiTheme="majorHAnsi" w:cstheme="majorHAnsi"/>
                <w:sz w:val="20"/>
                <w:szCs w:val="20"/>
              </w:rPr>
              <w:t>-</w:t>
            </w:r>
          </w:p>
        </w:tc>
      </w:tr>
      <w:tr w:rsidR="00EA2B5F" w:rsidRPr="00F25EBD" w14:paraId="1B0405F5" w14:textId="77777777" w:rsidTr="005D522F">
        <w:tc>
          <w:tcPr>
            <w:tcW w:w="4423" w:type="dxa"/>
            <w:tcBorders>
              <w:top w:val="single" w:sz="4" w:space="0" w:color="808080" w:themeColor="background1" w:themeShade="80"/>
              <w:left w:val="nil"/>
              <w:bottom w:val="single" w:sz="4" w:space="0" w:color="808080" w:themeColor="background1" w:themeShade="80"/>
              <w:right w:val="nil"/>
            </w:tcBorders>
          </w:tcPr>
          <w:p w14:paraId="364060B0" w14:textId="77777777" w:rsidR="00EA2B5F" w:rsidRPr="00F25EBD" w:rsidRDefault="00EA2B5F" w:rsidP="00FC7062">
            <w:pPr>
              <w:spacing w:line="276" w:lineRule="auto"/>
              <w:ind w:left="315"/>
              <w:rPr>
                <w:rFonts w:asciiTheme="majorHAnsi" w:hAnsiTheme="majorHAnsi" w:cstheme="majorHAnsi"/>
                <w:sz w:val="20"/>
                <w:szCs w:val="20"/>
              </w:rPr>
            </w:pPr>
            <w:r w:rsidRPr="00F25EBD">
              <w:rPr>
                <w:rFonts w:asciiTheme="majorHAnsi" w:hAnsiTheme="majorHAnsi" w:cstheme="majorHAnsi"/>
                <w:sz w:val="20"/>
                <w:szCs w:val="20"/>
              </w:rPr>
              <w:t>Chorób wewnętrznych</w:t>
            </w:r>
          </w:p>
        </w:tc>
        <w:tc>
          <w:tcPr>
            <w:tcW w:w="1418" w:type="dxa"/>
            <w:tcBorders>
              <w:top w:val="single" w:sz="4" w:space="0" w:color="808080" w:themeColor="background1" w:themeShade="80"/>
              <w:left w:val="nil"/>
              <w:bottom w:val="single" w:sz="4" w:space="0" w:color="808080" w:themeColor="background1" w:themeShade="80"/>
              <w:right w:val="nil"/>
            </w:tcBorders>
          </w:tcPr>
          <w:p w14:paraId="5ECA210B" w14:textId="77777777" w:rsidR="00EA2B5F" w:rsidRPr="00F25EBD" w:rsidRDefault="00EA2B5F" w:rsidP="00FC7062">
            <w:pPr>
              <w:spacing w:line="276" w:lineRule="auto"/>
              <w:jc w:val="center"/>
              <w:rPr>
                <w:rFonts w:asciiTheme="majorHAnsi" w:hAnsiTheme="majorHAnsi" w:cstheme="majorHAnsi"/>
                <w:sz w:val="20"/>
                <w:szCs w:val="20"/>
              </w:rPr>
            </w:pPr>
            <w:r w:rsidRPr="00F25EBD">
              <w:rPr>
                <w:rFonts w:asciiTheme="majorHAnsi" w:hAnsiTheme="majorHAnsi" w:cstheme="majorHAnsi"/>
                <w:sz w:val="20"/>
                <w:szCs w:val="20"/>
              </w:rPr>
              <w:t>35</w:t>
            </w:r>
          </w:p>
        </w:tc>
        <w:tc>
          <w:tcPr>
            <w:tcW w:w="850" w:type="dxa"/>
            <w:tcBorders>
              <w:top w:val="single" w:sz="4" w:space="0" w:color="808080" w:themeColor="background1" w:themeShade="80"/>
              <w:left w:val="nil"/>
              <w:bottom w:val="single" w:sz="4" w:space="0" w:color="808080" w:themeColor="background1" w:themeShade="80"/>
              <w:right w:val="nil"/>
            </w:tcBorders>
          </w:tcPr>
          <w:p w14:paraId="0B628C6C" w14:textId="77777777" w:rsidR="00EA2B5F" w:rsidRPr="00F25EBD" w:rsidRDefault="00EA2B5F" w:rsidP="00FC7062">
            <w:pPr>
              <w:spacing w:line="276" w:lineRule="auto"/>
              <w:jc w:val="center"/>
              <w:rPr>
                <w:rFonts w:asciiTheme="majorHAnsi" w:hAnsiTheme="majorHAnsi" w:cstheme="majorHAnsi"/>
                <w:sz w:val="20"/>
                <w:szCs w:val="20"/>
              </w:rPr>
            </w:pPr>
            <w:r w:rsidRPr="00F25EBD">
              <w:rPr>
                <w:rFonts w:asciiTheme="majorHAnsi" w:hAnsiTheme="majorHAnsi" w:cstheme="majorHAnsi"/>
                <w:sz w:val="20"/>
                <w:szCs w:val="20"/>
              </w:rPr>
              <w:t>32</w:t>
            </w:r>
          </w:p>
        </w:tc>
        <w:tc>
          <w:tcPr>
            <w:tcW w:w="851" w:type="dxa"/>
            <w:tcBorders>
              <w:top w:val="single" w:sz="4" w:space="0" w:color="808080" w:themeColor="background1" w:themeShade="80"/>
              <w:left w:val="nil"/>
              <w:bottom w:val="single" w:sz="4" w:space="0" w:color="808080" w:themeColor="background1" w:themeShade="80"/>
              <w:right w:val="nil"/>
            </w:tcBorders>
          </w:tcPr>
          <w:p w14:paraId="5EB1D483" w14:textId="77777777" w:rsidR="00EA2B5F" w:rsidRPr="00F25EBD" w:rsidRDefault="00EA2B5F" w:rsidP="00FC7062">
            <w:pPr>
              <w:spacing w:line="276" w:lineRule="auto"/>
              <w:jc w:val="center"/>
              <w:rPr>
                <w:rFonts w:asciiTheme="majorHAnsi" w:hAnsiTheme="majorHAnsi" w:cstheme="majorHAnsi"/>
                <w:sz w:val="20"/>
                <w:szCs w:val="20"/>
              </w:rPr>
            </w:pPr>
            <w:r w:rsidRPr="00F25EBD">
              <w:rPr>
                <w:rFonts w:asciiTheme="majorHAnsi" w:hAnsiTheme="majorHAnsi" w:cstheme="majorHAnsi"/>
                <w:sz w:val="20"/>
                <w:szCs w:val="20"/>
              </w:rPr>
              <w:t>35</w:t>
            </w:r>
          </w:p>
        </w:tc>
        <w:tc>
          <w:tcPr>
            <w:tcW w:w="1412" w:type="dxa"/>
            <w:tcBorders>
              <w:top w:val="single" w:sz="4" w:space="0" w:color="808080" w:themeColor="background1" w:themeShade="80"/>
              <w:left w:val="nil"/>
              <w:bottom w:val="single" w:sz="4" w:space="0" w:color="808080" w:themeColor="background1" w:themeShade="80"/>
              <w:right w:val="nil"/>
            </w:tcBorders>
          </w:tcPr>
          <w:p w14:paraId="67329827" w14:textId="77777777" w:rsidR="00EA2B5F" w:rsidRPr="00F25EBD" w:rsidRDefault="00EA2B5F" w:rsidP="00FC7062">
            <w:pPr>
              <w:spacing w:line="276" w:lineRule="auto"/>
              <w:jc w:val="center"/>
              <w:rPr>
                <w:rFonts w:asciiTheme="majorHAnsi" w:hAnsiTheme="majorHAnsi" w:cstheme="majorHAnsi"/>
                <w:sz w:val="20"/>
                <w:szCs w:val="20"/>
              </w:rPr>
            </w:pPr>
            <w:r w:rsidRPr="00F25EBD">
              <w:rPr>
                <w:rFonts w:asciiTheme="majorHAnsi" w:hAnsiTheme="majorHAnsi" w:cstheme="majorHAnsi"/>
                <w:sz w:val="20"/>
                <w:szCs w:val="20"/>
              </w:rPr>
              <w:t>45</w:t>
            </w:r>
          </w:p>
        </w:tc>
      </w:tr>
      <w:tr w:rsidR="00EA2B5F" w:rsidRPr="00F25EBD" w14:paraId="7D9C7C0D" w14:textId="77777777" w:rsidTr="005D522F">
        <w:tc>
          <w:tcPr>
            <w:tcW w:w="4423" w:type="dxa"/>
            <w:tcBorders>
              <w:top w:val="single" w:sz="4" w:space="0" w:color="808080" w:themeColor="background1" w:themeShade="80"/>
              <w:left w:val="nil"/>
              <w:bottom w:val="single" w:sz="4" w:space="0" w:color="808080" w:themeColor="background1" w:themeShade="80"/>
              <w:right w:val="nil"/>
            </w:tcBorders>
          </w:tcPr>
          <w:p w14:paraId="0465502A" w14:textId="77777777" w:rsidR="00EA2B5F" w:rsidRPr="00F25EBD" w:rsidRDefault="00EA2B5F" w:rsidP="00FC7062">
            <w:pPr>
              <w:spacing w:line="276" w:lineRule="auto"/>
              <w:ind w:left="315"/>
              <w:rPr>
                <w:rFonts w:asciiTheme="majorHAnsi" w:hAnsiTheme="majorHAnsi" w:cstheme="majorHAnsi"/>
                <w:color w:val="000000"/>
                <w:sz w:val="20"/>
                <w:szCs w:val="20"/>
                <w:shd w:val="clear" w:color="auto" w:fill="F2F2F2"/>
              </w:rPr>
            </w:pPr>
            <w:r w:rsidRPr="00F25EBD">
              <w:rPr>
                <w:rFonts w:asciiTheme="majorHAnsi" w:hAnsiTheme="majorHAnsi" w:cstheme="majorHAnsi"/>
                <w:sz w:val="20"/>
                <w:szCs w:val="20"/>
              </w:rPr>
              <w:t>Geriatryczny</w:t>
            </w:r>
          </w:p>
        </w:tc>
        <w:tc>
          <w:tcPr>
            <w:tcW w:w="1418" w:type="dxa"/>
            <w:tcBorders>
              <w:top w:val="single" w:sz="4" w:space="0" w:color="808080" w:themeColor="background1" w:themeShade="80"/>
              <w:left w:val="nil"/>
              <w:bottom w:val="single" w:sz="4" w:space="0" w:color="808080" w:themeColor="background1" w:themeShade="80"/>
              <w:right w:val="nil"/>
            </w:tcBorders>
          </w:tcPr>
          <w:p w14:paraId="3DC10BA9" w14:textId="77777777" w:rsidR="00EA2B5F" w:rsidRPr="00F25EBD" w:rsidRDefault="00EA2B5F" w:rsidP="00FC7062">
            <w:pPr>
              <w:spacing w:line="276" w:lineRule="auto"/>
              <w:jc w:val="center"/>
              <w:rPr>
                <w:rFonts w:asciiTheme="majorHAnsi" w:hAnsiTheme="majorHAnsi" w:cstheme="majorHAnsi"/>
                <w:sz w:val="20"/>
                <w:szCs w:val="20"/>
              </w:rPr>
            </w:pPr>
            <w:r w:rsidRPr="00F25EBD">
              <w:rPr>
                <w:rFonts w:asciiTheme="majorHAnsi" w:hAnsiTheme="majorHAnsi" w:cstheme="majorHAnsi"/>
                <w:sz w:val="20"/>
                <w:szCs w:val="20"/>
              </w:rPr>
              <w:t>-</w:t>
            </w:r>
          </w:p>
        </w:tc>
        <w:tc>
          <w:tcPr>
            <w:tcW w:w="850" w:type="dxa"/>
            <w:tcBorders>
              <w:top w:val="single" w:sz="4" w:space="0" w:color="808080" w:themeColor="background1" w:themeShade="80"/>
              <w:left w:val="nil"/>
              <w:bottom w:val="single" w:sz="4" w:space="0" w:color="808080" w:themeColor="background1" w:themeShade="80"/>
              <w:right w:val="nil"/>
            </w:tcBorders>
          </w:tcPr>
          <w:p w14:paraId="31E93946" w14:textId="77777777" w:rsidR="00EA2B5F" w:rsidRPr="00F25EBD" w:rsidRDefault="00EA2B5F" w:rsidP="00FC7062">
            <w:pPr>
              <w:spacing w:line="276" w:lineRule="auto"/>
              <w:jc w:val="center"/>
              <w:rPr>
                <w:rFonts w:asciiTheme="majorHAnsi" w:hAnsiTheme="majorHAnsi" w:cstheme="majorHAnsi"/>
                <w:sz w:val="20"/>
                <w:szCs w:val="20"/>
              </w:rPr>
            </w:pPr>
            <w:r w:rsidRPr="00F25EBD">
              <w:rPr>
                <w:rFonts w:asciiTheme="majorHAnsi" w:hAnsiTheme="majorHAnsi" w:cstheme="majorHAnsi"/>
                <w:sz w:val="20"/>
                <w:szCs w:val="20"/>
              </w:rPr>
              <w:t>28</w:t>
            </w:r>
          </w:p>
        </w:tc>
        <w:tc>
          <w:tcPr>
            <w:tcW w:w="851" w:type="dxa"/>
            <w:tcBorders>
              <w:top w:val="single" w:sz="4" w:space="0" w:color="808080" w:themeColor="background1" w:themeShade="80"/>
              <w:left w:val="nil"/>
              <w:bottom w:val="single" w:sz="4" w:space="0" w:color="808080" w:themeColor="background1" w:themeShade="80"/>
              <w:right w:val="nil"/>
            </w:tcBorders>
          </w:tcPr>
          <w:p w14:paraId="5B46F4F7" w14:textId="77777777" w:rsidR="00EA2B5F" w:rsidRPr="00F25EBD" w:rsidRDefault="00EA2B5F" w:rsidP="00FC7062">
            <w:pPr>
              <w:spacing w:line="276" w:lineRule="auto"/>
              <w:jc w:val="center"/>
              <w:rPr>
                <w:rFonts w:asciiTheme="majorHAnsi" w:hAnsiTheme="majorHAnsi" w:cstheme="majorHAnsi"/>
                <w:sz w:val="20"/>
                <w:szCs w:val="20"/>
              </w:rPr>
            </w:pPr>
            <w:r w:rsidRPr="00F25EBD">
              <w:rPr>
                <w:rFonts w:asciiTheme="majorHAnsi" w:hAnsiTheme="majorHAnsi" w:cstheme="majorHAnsi"/>
                <w:sz w:val="20"/>
                <w:szCs w:val="20"/>
              </w:rPr>
              <w:t>-</w:t>
            </w:r>
          </w:p>
        </w:tc>
        <w:tc>
          <w:tcPr>
            <w:tcW w:w="1412" w:type="dxa"/>
            <w:tcBorders>
              <w:top w:val="single" w:sz="4" w:space="0" w:color="808080" w:themeColor="background1" w:themeShade="80"/>
              <w:left w:val="nil"/>
              <w:bottom w:val="single" w:sz="4" w:space="0" w:color="808080" w:themeColor="background1" w:themeShade="80"/>
              <w:right w:val="nil"/>
            </w:tcBorders>
          </w:tcPr>
          <w:p w14:paraId="4C308CF5" w14:textId="77777777" w:rsidR="00EA2B5F" w:rsidRPr="00F25EBD" w:rsidRDefault="00EA2B5F" w:rsidP="00FC7062">
            <w:pPr>
              <w:spacing w:line="276" w:lineRule="auto"/>
              <w:jc w:val="center"/>
              <w:rPr>
                <w:rFonts w:asciiTheme="majorHAnsi" w:hAnsiTheme="majorHAnsi" w:cstheme="majorHAnsi"/>
                <w:sz w:val="20"/>
                <w:szCs w:val="20"/>
              </w:rPr>
            </w:pPr>
            <w:r w:rsidRPr="00F25EBD">
              <w:rPr>
                <w:rFonts w:asciiTheme="majorHAnsi" w:hAnsiTheme="majorHAnsi" w:cstheme="majorHAnsi"/>
                <w:sz w:val="20"/>
                <w:szCs w:val="20"/>
              </w:rPr>
              <w:t>-</w:t>
            </w:r>
          </w:p>
        </w:tc>
      </w:tr>
      <w:tr w:rsidR="00EA2B5F" w:rsidRPr="00F25EBD" w14:paraId="5822B044" w14:textId="77777777" w:rsidTr="005D522F">
        <w:tc>
          <w:tcPr>
            <w:tcW w:w="4423" w:type="dxa"/>
            <w:tcBorders>
              <w:top w:val="single" w:sz="4" w:space="0" w:color="808080" w:themeColor="background1" w:themeShade="80"/>
              <w:left w:val="nil"/>
              <w:bottom w:val="single" w:sz="4" w:space="0" w:color="808080" w:themeColor="background1" w:themeShade="80"/>
              <w:right w:val="nil"/>
            </w:tcBorders>
          </w:tcPr>
          <w:p w14:paraId="774FF1E2" w14:textId="77777777" w:rsidR="00EA2B5F" w:rsidRPr="00F25EBD" w:rsidRDefault="00EA2B5F" w:rsidP="00FC7062">
            <w:pPr>
              <w:spacing w:line="276" w:lineRule="auto"/>
              <w:ind w:left="315"/>
              <w:rPr>
                <w:rFonts w:asciiTheme="majorHAnsi" w:hAnsiTheme="majorHAnsi" w:cstheme="majorHAnsi"/>
                <w:sz w:val="20"/>
                <w:szCs w:val="20"/>
              </w:rPr>
            </w:pPr>
            <w:r w:rsidRPr="00F25EBD">
              <w:rPr>
                <w:rFonts w:asciiTheme="majorHAnsi" w:hAnsiTheme="majorHAnsi" w:cstheme="majorHAnsi"/>
                <w:sz w:val="20"/>
                <w:szCs w:val="20"/>
              </w:rPr>
              <w:t>Kardiologiczny</w:t>
            </w:r>
          </w:p>
        </w:tc>
        <w:tc>
          <w:tcPr>
            <w:tcW w:w="1418" w:type="dxa"/>
            <w:tcBorders>
              <w:top w:val="single" w:sz="4" w:space="0" w:color="808080" w:themeColor="background1" w:themeShade="80"/>
              <w:left w:val="nil"/>
              <w:bottom w:val="single" w:sz="4" w:space="0" w:color="808080" w:themeColor="background1" w:themeShade="80"/>
              <w:right w:val="nil"/>
            </w:tcBorders>
          </w:tcPr>
          <w:p w14:paraId="50FF7259" w14:textId="77777777" w:rsidR="00EA2B5F" w:rsidRPr="00F25EBD" w:rsidRDefault="00EA2B5F" w:rsidP="00FC7062">
            <w:pPr>
              <w:spacing w:line="276" w:lineRule="auto"/>
              <w:jc w:val="center"/>
              <w:rPr>
                <w:rFonts w:asciiTheme="majorHAnsi" w:hAnsiTheme="majorHAnsi" w:cstheme="majorHAnsi"/>
                <w:sz w:val="20"/>
                <w:szCs w:val="20"/>
              </w:rPr>
            </w:pPr>
            <w:r w:rsidRPr="00F25EBD">
              <w:rPr>
                <w:rFonts w:asciiTheme="majorHAnsi" w:hAnsiTheme="majorHAnsi" w:cstheme="majorHAnsi"/>
                <w:sz w:val="20"/>
                <w:szCs w:val="20"/>
              </w:rPr>
              <w:t>12</w:t>
            </w:r>
          </w:p>
        </w:tc>
        <w:tc>
          <w:tcPr>
            <w:tcW w:w="850" w:type="dxa"/>
            <w:tcBorders>
              <w:top w:val="single" w:sz="4" w:space="0" w:color="808080" w:themeColor="background1" w:themeShade="80"/>
              <w:left w:val="nil"/>
              <w:bottom w:val="single" w:sz="4" w:space="0" w:color="808080" w:themeColor="background1" w:themeShade="80"/>
              <w:right w:val="nil"/>
            </w:tcBorders>
          </w:tcPr>
          <w:p w14:paraId="72D294EC" w14:textId="77777777" w:rsidR="00EA2B5F" w:rsidRPr="00F25EBD" w:rsidRDefault="00EA2B5F" w:rsidP="00FC7062">
            <w:pPr>
              <w:spacing w:line="276" w:lineRule="auto"/>
              <w:jc w:val="center"/>
              <w:rPr>
                <w:rFonts w:asciiTheme="majorHAnsi" w:hAnsiTheme="majorHAnsi" w:cstheme="majorHAnsi"/>
                <w:sz w:val="20"/>
                <w:szCs w:val="20"/>
              </w:rPr>
            </w:pPr>
            <w:r w:rsidRPr="00F25EBD">
              <w:rPr>
                <w:rFonts w:asciiTheme="majorHAnsi" w:hAnsiTheme="majorHAnsi" w:cstheme="majorHAnsi"/>
                <w:sz w:val="20"/>
                <w:szCs w:val="20"/>
              </w:rPr>
              <w:t>-</w:t>
            </w:r>
          </w:p>
        </w:tc>
        <w:tc>
          <w:tcPr>
            <w:tcW w:w="851" w:type="dxa"/>
            <w:tcBorders>
              <w:top w:val="single" w:sz="4" w:space="0" w:color="808080" w:themeColor="background1" w:themeShade="80"/>
              <w:left w:val="nil"/>
              <w:bottom w:val="single" w:sz="4" w:space="0" w:color="808080" w:themeColor="background1" w:themeShade="80"/>
              <w:right w:val="nil"/>
            </w:tcBorders>
          </w:tcPr>
          <w:p w14:paraId="13A824B6" w14:textId="77777777" w:rsidR="00EA2B5F" w:rsidRPr="00F25EBD" w:rsidRDefault="00EA2B5F" w:rsidP="00FC7062">
            <w:pPr>
              <w:spacing w:line="276" w:lineRule="auto"/>
              <w:jc w:val="center"/>
              <w:rPr>
                <w:rFonts w:asciiTheme="majorHAnsi" w:hAnsiTheme="majorHAnsi" w:cstheme="majorHAnsi"/>
                <w:sz w:val="20"/>
                <w:szCs w:val="20"/>
              </w:rPr>
            </w:pPr>
            <w:r w:rsidRPr="00F25EBD">
              <w:rPr>
                <w:rFonts w:asciiTheme="majorHAnsi" w:hAnsiTheme="majorHAnsi" w:cstheme="majorHAnsi"/>
                <w:sz w:val="20"/>
                <w:szCs w:val="20"/>
              </w:rPr>
              <w:t>-</w:t>
            </w:r>
          </w:p>
        </w:tc>
        <w:tc>
          <w:tcPr>
            <w:tcW w:w="1412" w:type="dxa"/>
            <w:tcBorders>
              <w:top w:val="single" w:sz="4" w:space="0" w:color="808080" w:themeColor="background1" w:themeShade="80"/>
              <w:left w:val="nil"/>
              <w:bottom w:val="single" w:sz="4" w:space="0" w:color="808080" w:themeColor="background1" w:themeShade="80"/>
              <w:right w:val="nil"/>
            </w:tcBorders>
          </w:tcPr>
          <w:p w14:paraId="34952113" w14:textId="77777777" w:rsidR="00EA2B5F" w:rsidRPr="00F25EBD" w:rsidRDefault="00EA2B5F" w:rsidP="00FC7062">
            <w:pPr>
              <w:spacing w:line="276" w:lineRule="auto"/>
              <w:jc w:val="center"/>
              <w:rPr>
                <w:rFonts w:asciiTheme="majorHAnsi" w:hAnsiTheme="majorHAnsi" w:cstheme="majorHAnsi"/>
                <w:sz w:val="20"/>
                <w:szCs w:val="20"/>
              </w:rPr>
            </w:pPr>
            <w:r w:rsidRPr="00F25EBD">
              <w:rPr>
                <w:rFonts w:asciiTheme="majorHAnsi" w:hAnsiTheme="majorHAnsi" w:cstheme="majorHAnsi"/>
                <w:sz w:val="20"/>
                <w:szCs w:val="20"/>
              </w:rPr>
              <w:t>-</w:t>
            </w:r>
          </w:p>
        </w:tc>
      </w:tr>
      <w:tr w:rsidR="00EA2B5F" w:rsidRPr="00F25EBD" w14:paraId="778E483C" w14:textId="77777777" w:rsidTr="005D522F">
        <w:tc>
          <w:tcPr>
            <w:tcW w:w="4423" w:type="dxa"/>
            <w:tcBorders>
              <w:top w:val="single" w:sz="4" w:space="0" w:color="808080" w:themeColor="background1" w:themeShade="80"/>
              <w:left w:val="nil"/>
              <w:bottom w:val="single" w:sz="4" w:space="0" w:color="808080" w:themeColor="background1" w:themeShade="80"/>
              <w:right w:val="nil"/>
            </w:tcBorders>
          </w:tcPr>
          <w:p w14:paraId="45D0FCCA" w14:textId="77777777" w:rsidR="00EA2B5F" w:rsidRPr="00F25EBD" w:rsidRDefault="00EA2B5F" w:rsidP="00FC7062">
            <w:pPr>
              <w:spacing w:line="276" w:lineRule="auto"/>
              <w:ind w:left="315"/>
              <w:rPr>
                <w:rFonts w:asciiTheme="majorHAnsi" w:hAnsiTheme="majorHAnsi" w:cstheme="majorHAnsi"/>
                <w:sz w:val="20"/>
                <w:szCs w:val="20"/>
              </w:rPr>
            </w:pPr>
            <w:r w:rsidRPr="00F25EBD">
              <w:rPr>
                <w:rFonts w:asciiTheme="majorHAnsi" w:hAnsiTheme="majorHAnsi" w:cstheme="majorHAnsi"/>
                <w:sz w:val="20"/>
                <w:szCs w:val="20"/>
              </w:rPr>
              <w:t>Medycyny paliatywnej</w:t>
            </w:r>
          </w:p>
        </w:tc>
        <w:tc>
          <w:tcPr>
            <w:tcW w:w="1418" w:type="dxa"/>
            <w:tcBorders>
              <w:top w:val="single" w:sz="4" w:space="0" w:color="808080" w:themeColor="background1" w:themeShade="80"/>
              <w:left w:val="nil"/>
              <w:bottom w:val="single" w:sz="4" w:space="0" w:color="808080" w:themeColor="background1" w:themeShade="80"/>
              <w:right w:val="nil"/>
            </w:tcBorders>
          </w:tcPr>
          <w:p w14:paraId="7D7EB449" w14:textId="77777777" w:rsidR="00EA2B5F" w:rsidRPr="00F25EBD" w:rsidRDefault="00EA2B5F" w:rsidP="00FC7062">
            <w:pPr>
              <w:spacing w:line="276" w:lineRule="auto"/>
              <w:jc w:val="center"/>
              <w:rPr>
                <w:rFonts w:asciiTheme="majorHAnsi" w:hAnsiTheme="majorHAnsi" w:cstheme="majorHAnsi"/>
                <w:sz w:val="20"/>
                <w:szCs w:val="20"/>
              </w:rPr>
            </w:pPr>
            <w:r w:rsidRPr="00F25EBD">
              <w:rPr>
                <w:rFonts w:asciiTheme="majorHAnsi" w:hAnsiTheme="majorHAnsi" w:cstheme="majorHAnsi"/>
                <w:sz w:val="20"/>
                <w:szCs w:val="20"/>
              </w:rPr>
              <w:t>12</w:t>
            </w:r>
          </w:p>
        </w:tc>
        <w:tc>
          <w:tcPr>
            <w:tcW w:w="850" w:type="dxa"/>
            <w:tcBorders>
              <w:top w:val="single" w:sz="4" w:space="0" w:color="808080" w:themeColor="background1" w:themeShade="80"/>
              <w:left w:val="nil"/>
              <w:bottom w:val="single" w:sz="4" w:space="0" w:color="808080" w:themeColor="background1" w:themeShade="80"/>
              <w:right w:val="nil"/>
            </w:tcBorders>
          </w:tcPr>
          <w:p w14:paraId="00D74BBC" w14:textId="77777777" w:rsidR="00EA2B5F" w:rsidRPr="00F25EBD" w:rsidRDefault="00EA2B5F" w:rsidP="00FC7062">
            <w:pPr>
              <w:spacing w:line="276" w:lineRule="auto"/>
              <w:jc w:val="center"/>
              <w:rPr>
                <w:rFonts w:asciiTheme="majorHAnsi" w:hAnsiTheme="majorHAnsi" w:cstheme="majorHAnsi"/>
                <w:sz w:val="20"/>
                <w:szCs w:val="20"/>
              </w:rPr>
            </w:pPr>
            <w:r w:rsidRPr="00F25EBD">
              <w:rPr>
                <w:rFonts w:asciiTheme="majorHAnsi" w:hAnsiTheme="majorHAnsi" w:cstheme="majorHAnsi"/>
                <w:sz w:val="20"/>
                <w:szCs w:val="20"/>
              </w:rPr>
              <w:t>-</w:t>
            </w:r>
          </w:p>
        </w:tc>
        <w:tc>
          <w:tcPr>
            <w:tcW w:w="851" w:type="dxa"/>
            <w:tcBorders>
              <w:top w:val="single" w:sz="4" w:space="0" w:color="808080" w:themeColor="background1" w:themeShade="80"/>
              <w:left w:val="nil"/>
              <w:bottom w:val="single" w:sz="4" w:space="0" w:color="808080" w:themeColor="background1" w:themeShade="80"/>
              <w:right w:val="nil"/>
            </w:tcBorders>
          </w:tcPr>
          <w:p w14:paraId="5E811E79" w14:textId="41AA0298" w:rsidR="00EA2B5F" w:rsidRPr="00F25EBD" w:rsidRDefault="003C29D9" w:rsidP="00FC7062">
            <w:pPr>
              <w:spacing w:line="276" w:lineRule="auto"/>
              <w:jc w:val="center"/>
              <w:rPr>
                <w:rFonts w:asciiTheme="majorHAnsi" w:hAnsiTheme="majorHAnsi" w:cstheme="majorHAnsi"/>
                <w:sz w:val="20"/>
                <w:szCs w:val="20"/>
              </w:rPr>
            </w:pPr>
            <w:r>
              <w:rPr>
                <w:rFonts w:asciiTheme="majorHAnsi" w:hAnsiTheme="majorHAnsi" w:cstheme="majorHAnsi"/>
                <w:sz w:val="20"/>
                <w:szCs w:val="20"/>
              </w:rPr>
              <w:t>6</w:t>
            </w:r>
          </w:p>
        </w:tc>
        <w:tc>
          <w:tcPr>
            <w:tcW w:w="1412" w:type="dxa"/>
            <w:tcBorders>
              <w:top w:val="single" w:sz="4" w:space="0" w:color="808080" w:themeColor="background1" w:themeShade="80"/>
              <w:left w:val="nil"/>
              <w:bottom w:val="single" w:sz="4" w:space="0" w:color="808080" w:themeColor="background1" w:themeShade="80"/>
              <w:right w:val="nil"/>
            </w:tcBorders>
          </w:tcPr>
          <w:p w14:paraId="1A7AE41F" w14:textId="77777777" w:rsidR="00EA2B5F" w:rsidRPr="00F25EBD" w:rsidRDefault="00EA2B5F" w:rsidP="00FC7062">
            <w:pPr>
              <w:spacing w:line="276" w:lineRule="auto"/>
              <w:jc w:val="center"/>
              <w:rPr>
                <w:rFonts w:asciiTheme="majorHAnsi" w:hAnsiTheme="majorHAnsi" w:cstheme="majorHAnsi"/>
                <w:sz w:val="20"/>
                <w:szCs w:val="20"/>
              </w:rPr>
            </w:pPr>
            <w:r w:rsidRPr="00F25EBD">
              <w:rPr>
                <w:rFonts w:asciiTheme="majorHAnsi" w:hAnsiTheme="majorHAnsi" w:cstheme="majorHAnsi"/>
                <w:sz w:val="20"/>
                <w:szCs w:val="20"/>
              </w:rPr>
              <w:t>-</w:t>
            </w:r>
          </w:p>
        </w:tc>
      </w:tr>
      <w:tr w:rsidR="00EA2B5F" w:rsidRPr="00F25EBD" w14:paraId="30A046C2" w14:textId="77777777" w:rsidTr="005D522F">
        <w:tc>
          <w:tcPr>
            <w:tcW w:w="4423" w:type="dxa"/>
            <w:tcBorders>
              <w:top w:val="single" w:sz="4" w:space="0" w:color="808080" w:themeColor="background1" w:themeShade="80"/>
              <w:left w:val="nil"/>
              <w:bottom w:val="single" w:sz="4" w:space="0" w:color="808080" w:themeColor="background1" w:themeShade="80"/>
              <w:right w:val="nil"/>
            </w:tcBorders>
          </w:tcPr>
          <w:p w14:paraId="287610DF" w14:textId="77777777" w:rsidR="00EA2B5F" w:rsidRPr="00F25EBD" w:rsidRDefault="00EA2B5F" w:rsidP="00FC7062">
            <w:pPr>
              <w:spacing w:line="276" w:lineRule="auto"/>
              <w:ind w:left="315"/>
              <w:rPr>
                <w:rFonts w:asciiTheme="majorHAnsi" w:hAnsiTheme="majorHAnsi" w:cstheme="majorHAnsi"/>
                <w:sz w:val="20"/>
                <w:szCs w:val="20"/>
              </w:rPr>
            </w:pPr>
            <w:r w:rsidRPr="00F25EBD">
              <w:rPr>
                <w:rFonts w:asciiTheme="majorHAnsi" w:hAnsiTheme="majorHAnsi" w:cstheme="majorHAnsi"/>
                <w:sz w:val="20"/>
                <w:szCs w:val="20"/>
              </w:rPr>
              <w:t>Nefrologiczny</w:t>
            </w:r>
          </w:p>
        </w:tc>
        <w:tc>
          <w:tcPr>
            <w:tcW w:w="1418" w:type="dxa"/>
            <w:tcBorders>
              <w:top w:val="single" w:sz="4" w:space="0" w:color="808080" w:themeColor="background1" w:themeShade="80"/>
              <w:left w:val="nil"/>
              <w:bottom w:val="single" w:sz="4" w:space="0" w:color="808080" w:themeColor="background1" w:themeShade="80"/>
              <w:right w:val="nil"/>
            </w:tcBorders>
          </w:tcPr>
          <w:p w14:paraId="54720437" w14:textId="77777777" w:rsidR="00EA2B5F" w:rsidRPr="00F25EBD" w:rsidRDefault="00EA2B5F" w:rsidP="00FC7062">
            <w:pPr>
              <w:spacing w:line="276" w:lineRule="auto"/>
              <w:jc w:val="center"/>
              <w:rPr>
                <w:rFonts w:asciiTheme="majorHAnsi" w:hAnsiTheme="majorHAnsi" w:cstheme="majorHAnsi"/>
                <w:sz w:val="20"/>
                <w:szCs w:val="20"/>
              </w:rPr>
            </w:pPr>
            <w:r w:rsidRPr="00F25EBD">
              <w:rPr>
                <w:rFonts w:asciiTheme="majorHAnsi" w:hAnsiTheme="majorHAnsi" w:cstheme="majorHAnsi"/>
                <w:sz w:val="20"/>
                <w:szCs w:val="20"/>
              </w:rPr>
              <w:t>2</w:t>
            </w:r>
          </w:p>
        </w:tc>
        <w:tc>
          <w:tcPr>
            <w:tcW w:w="850" w:type="dxa"/>
            <w:tcBorders>
              <w:top w:val="single" w:sz="4" w:space="0" w:color="808080" w:themeColor="background1" w:themeShade="80"/>
              <w:left w:val="nil"/>
              <w:bottom w:val="single" w:sz="4" w:space="0" w:color="808080" w:themeColor="background1" w:themeShade="80"/>
              <w:right w:val="nil"/>
            </w:tcBorders>
          </w:tcPr>
          <w:p w14:paraId="35189D94" w14:textId="77777777" w:rsidR="00EA2B5F" w:rsidRPr="00F25EBD" w:rsidRDefault="00EA2B5F" w:rsidP="00FC7062">
            <w:pPr>
              <w:spacing w:line="276" w:lineRule="auto"/>
              <w:jc w:val="center"/>
              <w:rPr>
                <w:rFonts w:asciiTheme="majorHAnsi" w:hAnsiTheme="majorHAnsi" w:cstheme="majorHAnsi"/>
                <w:sz w:val="20"/>
                <w:szCs w:val="20"/>
              </w:rPr>
            </w:pPr>
            <w:r w:rsidRPr="00F25EBD">
              <w:rPr>
                <w:rFonts w:asciiTheme="majorHAnsi" w:hAnsiTheme="majorHAnsi" w:cstheme="majorHAnsi"/>
                <w:sz w:val="20"/>
                <w:szCs w:val="20"/>
              </w:rPr>
              <w:t>-</w:t>
            </w:r>
          </w:p>
        </w:tc>
        <w:tc>
          <w:tcPr>
            <w:tcW w:w="851" w:type="dxa"/>
            <w:tcBorders>
              <w:top w:val="single" w:sz="4" w:space="0" w:color="808080" w:themeColor="background1" w:themeShade="80"/>
              <w:left w:val="nil"/>
              <w:bottom w:val="single" w:sz="4" w:space="0" w:color="808080" w:themeColor="background1" w:themeShade="80"/>
              <w:right w:val="nil"/>
            </w:tcBorders>
          </w:tcPr>
          <w:p w14:paraId="0C620A50" w14:textId="77777777" w:rsidR="00EA2B5F" w:rsidRPr="00F25EBD" w:rsidRDefault="00EA2B5F" w:rsidP="00FC7062">
            <w:pPr>
              <w:spacing w:line="276" w:lineRule="auto"/>
              <w:jc w:val="center"/>
              <w:rPr>
                <w:rFonts w:asciiTheme="majorHAnsi" w:hAnsiTheme="majorHAnsi" w:cstheme="majorHAnsi"/>
                <w:sz w:val="20"/>
                <w:szCs w:val="20"/>
              </w:rPr>
            </w:pPr>
            <w:r w:rsidRPr="00F25EBD">
              <w:rPr>
                <w:rFonts w:asciiTheme="majorHAnsi" w:hAnsiTheme="majorHAnsi" w:cstheme="majorHAnsi"/>
                <w:sz w:val="20"/>
                <w:szCs w:val="20"/>
              </w:rPr>
              <w:t>-</w:t>
            </w:r>
          </w:p>
        </w:tc>
        <w:tc>
          <w:tcPr>
            <w:tcW w:w="1412" w:type="dxa"/>
            <w:tcBorders>
              <w:top w:val="single" w:sz="4" w:space="0" w:color="808080" w:themeColor="background1" w:themeShade="80"/>
              <w:left w:val="nil"/>
              <w:bottom w:val="single" w:sz="4" w:space="0" w:color="808080" w:themeColor="background1" w:themeShade="80"/>
              <w:right w:val="nil"/>
            </w:tcBorders>
          </w:tcPr>
          <w:p w14:paraId="283266D8" w14:textId="77777777" w:rsidR="00EA2B5F" w:rsidRPr="00F25EBD" w:rsidRDefault="00EA2B5F" w:rsidP="00FC7062">
            <w:pPr>
              <w:spacing w:line="276" w:lineRule="auto"/>
              <w:jc w:val="center"/>
              <w:rPr>
                <w:rFonts w:asciiTheme="majorHAnsi" w:hAnsiTheme="majorHAnsi" w:cstheme="majorHAnsi"/>
                <w:sz w:val="20"/>
                <w:szCs w:val="20"/>
              </w:rPr>
            </w:pPr>
            <w:r w:rsidRPr="00F25EBD">
              <w:rPr>
                <w:rFonts w:asciiTheme="majorHAnsi" w:hAnsiTheme="majorHAnsi" w:cstheme="majorHAnsi"/>
                <w:sz w:val="20"/>
                <w:szCs w:val="20"/>
              </w:rPr>
              <w:t>-</w:t>
            </w:r>
          </w:p>
        </w:tc>
      </w:tr>
      <w:tr w:rsidR="00EA2B5F" w:rsidRPr="00F25EBD" w14:paraId="5EAE6AAB" w14:textId="77777777" w:rsidTr="005D522F">
        <w:tc>
          <w:tcPr>
            <w:tcW w:w="4423" w:type="dxa"/>
            <w:tcBorders>
              <w:top w:val="single" w:sz="4" w:space="0" w:color="808080" w:themeColor="background1" w:themeShade="80"/>
              <w:left w:val="nil"/>
              <w:bottom w:val="nil"/>
              <w:right w:val="nil"/>
            </w:tcBorders>
          </w:tcPr>
          <w:p w14:paraId="0FC75599" w14:textId="77777777" w:rsidR="00EA2B5F" w:rsidRPr="00F25EBD" w:rsidRDefault="00EA2B5F" w:rsidP="00FC7062">
            <w:pPr>
              <w:spacing w:line="276" w:lineRule="auto"/>
              <w:ind w:left="315"/>
              <w:rPr>
                <w:rFonts w:asciiTheme="majorHAnsi" w:hAnsiTheme="majorHAnsi" w:cstheme="majorHAnsi"/>
                <w:sz w:val="20"/>
                <w:szCs w:val="20"/>
              </w:rPr>
            </w:pPr>
            <w:r w:rsidRPr="00F25EBD">
              <w:rPr>
                <w:rFonts w:asciiTheme="majorHAnsi" w:hAnsiTheme="majorHAnsi" w:cstheme="majorHAnsi"/>
                <w:sz w:val="20"/>
                <w:szCs w:val="20"/>
              </w:rPr>
              <w:t>Neonatologiczny</w:t>
            </w:r>
          </w:p>
        </w:tc>
        <w:tc>
          <w:tcPr>
            <w:tcW w:w="1418" w:type="dxa"/>
            <w:tcBorders>
              <w:top w:val="single" w:sz="4" w:space="0" w:color="808080" w:themeColor="background1" w:themeShade="80"/>
              <w:left w:val="nil"/>
              <w:bottom w:val="nil"/>
              <w:right w:val="nil"/>
            </w:tcBorders>
          </w:tcPr>
          <w:p w14:paraId="6D2B8F3E" w14:textId="77777777" w:rsidR="00EA2B5F" w:rsidRPr="00F25EBD" w:rsidRDefault="00EA2B5F" w:rsidP="00FC7062">
            <w:pPr>
              <w:spacing w:line="276" w:lineRule="auto"/>
              <w:jc w:val="center"/>
              <w:rPr>
                <w:rFonts w:asciiTheme="majorHAnsi" w:hAnsiTheme="majorHAnsi" w:cstheme="majorHAnsi"/>
                <w:sz w:val="20"/>
                <w:szCs w:val="20"/>
              </w:rPr>
            </w:pPr>
            <w:r w:rsidRPr="00F25EBD">
              <w:rPr>
                <w:rFonts w:asciiTheme="majorHAnsi" w:hAnsiTheme="majorHAnsi" w:cstheme="majorHAnsi"/>
                <w:sz w:val="20"/>
                <w:szCs w:val="20"/>
              </w:rPr>
              <w:t>16</w:t>
            </w:r>
          </w:p>
        </w:tc>
        <w:tc>
          <w:tcPr>
            <w:tcW w:w="850" w:type="dxa"/>
            <w:tcBorders>
              <w:top w:val="single" w:sz="4" w:space="0" w:color="808080" w:themeColor="background1" w:themeShade="80"/>
              <w:left w:val="nil"/>
              <w:bottom w:val="nil"/>
              <w:right w:val="nil"/>
            </w:tcBorders>
          </w:tcPr>
          <w:p w14:paraId="3B23345C" w14:textId="77777777" w:rsidR="00EA2B5F" w:rsidRPr="00F25EBD" w:rsidRDefault="00EA2B5F" w:rsidP="00FC7062">
            <w:pPr>
              <w:spacing w:line="276" w:lineRule="auto"/>
              <w:jc w:val="center"/>
              <w:rPr>
                <w:rFonts w:asciiTheme="majorHAnsi" w:hAnsiTheme="majorHAnsi" w:cstheme="majorHAnsi"/>
                <w:sz w:val="20"/>
                <w:szCs w:val="20"/>
              </w:rPr>
            </w:pPr>
            <w:r w:rsidRPr="00F25EBD">
              <w:rPr>
                <w:rFonts w:asciiTheme="majorHAnsi" w:hAnsiTheme="majorHAnsi" w:cstheme="majorHAnsi"/>
                <w:sz w:val="20"/>
                <w:szCs w:val="20"/>
              </w:rPr>
              <w:t>-</w:t>
            </w:r>
          </w:p>
        </w:tc>
        <w:tc>
          <w:tcPr>
            <w:tcW w:w="851" w:type="dxa"/>
            <w:tcBorders>
              <w:top w:val="single" w:sz="4" w:space="0" w:color="808080" w:themeColor="background1" w:themeShade="80"/>
              <w:left w:val="nil"/>
              <w:bottom w:val="nil"/>
              <w:right w:val="nil"/>
            </w:tcBorders>
          </w:tcPr>
          <w:p w14:paraId="509C8A8F" w14:textId="51DED47B" w:rsidR="00EA2B5F" w:rsidRPr="00F25EBD" w:rsidRDefault="003C29D9" w:rsidP="00FC7062">
            <w:pPr>
              <w:spacing w:line="276" w:lineRule="auto"/>
              <w:jc w:val="center"/>
              <w:rPr>
                <w:rFonts w:asciiTheme="majorHAnsi" w:hAnsiTheme="majorHAnsi" w:cstheme="majorHAnsi"/>
                <w:sz w:val="20"/>
                <w:szCs w:val="20"/>
              </w:rPr>
            </w:pPr>
            <w:r>
              <w:rPr>
                <w:rFonts w:asciiTheme="majorHAnsi" w:hAnsiTheme="majorHAnsi" w:cstheme="majorHAnsi"/>
                <w:sz w:val="20"/>
                <w:szCs w:val="20"/>
              </w:rPr>
              <w:t>10</w:t>
            </w:r>
          </w:p>
        </w:tc>
        <w:tc>
          <w:tcPr>
            <w:tcW w:w="1412" w:type="dxa"/>
            <w:tcBorders>
              <w:top w:val="single" w:sz="4" w:space="0" w:color="808080" w:themeColor="background1" w:themeShade="80"/>
              <w:left w:val="nil"/>
              <w:bottom w:val="nil"/>
              <w:right w:val="nil"/>
            </w:tcBorders>
          </w:tcPr>
          <w:p w14:paraId="207C6153" w14:textId="77777777" w:rsidR="00EA2B5F" w:rsidRPr="00F25EBD" w:rsidRDefault="00EA2B5F" w:rsidP="00FC7062">
            <w:pPr>
              <w:spacing w:line="276" w:lineRule="auto"/>
              <w:jc w:val="center"/>
              <w:rPr>
                <w:rFonts w:asciiTheme="majorHAnsi" w:hAnsiTheme="majorHAnsi" w:cstheme="majorHAnsi"/>
                <w:sz w:val="20"/>
                <w:szCs w:val="20"/>
              </w:rPr>
            </w:pPr>
            <w:r w:rsidRPr="00F25EBD">
              <w:rPr>
                <w:rFonts w:asciiTheme="majorHAnsi" w:hAnsiTheme="majorHAnsi" w:cstheme="majorHAnsi"/>
                <w:sz w:val="20"/>
                <w:szCs w:val="20"/>
              </w:rPr>
              <w:t>-</w:t>
            </w:r>
          </w:p>
        </w:tc>
      </w:tr>
      <w:tr w:rsidR="00EA2B5F" w:rsidRPr="00F25EBD" w14:paraId="05DEDCAB" w14:textId="77777777" w:rsidTr="005D522F">
        <w:tc>
          <w:tcPr>
            <w:tcW w:w="4423" w:type="dxa"/>
            <w:tcBorders>
              <w:top w:val="nil"/>
              <w:left w:val="nil"/>
              <w:bottom w:val="single" w:sz="4" w:space="0" w:color="808080" w:themeColor="background1" w:themeShade="80"/>
              <w:right w:val="nil"/>
            </w:tcBorders>
          </w:tcPr>
          <w:p w14:paraId="643F00D4" w14:textId="77777777" w:rsidR="00EA2B5F" w:rsidRPr="00F25EBD" w:rsidRDefault="00EA2B5F" w:rsidP="00FC7062">
            <w:pPr>
              <w:spacing w:line="276" w:lineRule="auto"/>
              <w:ind w:left="315"/>
              <w:rPr>
                <w:rFonts w:asciiTheme="majorHAnsi" w:hAnsiTheme="majorHAnsi" w:cstheme="majorHAnsi"/>
                <w:sz w:val="20"/>
                <w:szCs w:val="20"/>
              </w:rPr>
            </w:pPr>
            <w:r w:rsidRPr="00F25EBD">
              <w:rPr>
                <w:rFonts w:asciiTheme="majorHAnsi" w:hAnsiTheme="majorHAnsi" w:cstheme="majorHAnsi"/>
                <w:sz w:val="20"/>
                <w:szCs w:val="20"/>
              </w:rPr>
              <w:t>Neurologiczny</w:t>
            </w:r>
          </w:p>
        </w:tc>
        <w:tc>
          <w:tcPr>
            <w:tcW w:w="1418" w:type="dxa"/>
            <w:tcBorders>
              <w:top w:val="nil"/>
              <w:left w:val="nil"/>
              <w:bottom w:val="single" w:sz="4" w:space="0" w:color="808080" w:themeColor="background1" w:themeShade="80"/>
              <w:right w:val="nil"/>
            </w:tcBorders>
          </w:tcPr>
          <w:p w14:paraId="600FB5A2" w14:textId="77777777" w:rsidR="00EA2B5F" w:rsidRPr="00F25EBD" w:rsidRDefault="00EA2B5F" w:rsidP="00FC7062">
            <w:pPr>
              <w:spacing w:line="276" w:lineRule="auto"/>
              <w:jc w:val="center"/>
              <w:rPr>
                <w:rFonts w:asciiTheme="majorHAnsi" w:hAnsiTheme="majorHAnsi" w:cstheme="majorHAnsi"/>
                <w:sz w:val="20"/>
                <w:szCs w:val="20"/>
              </w:rPr>
            </w:pPr>
            <w:r w:rsidRPr="00F25EBD">
              <w:rPr>
                <w:rFonts w:asciiTheme="majorHAnsi" w:hAnsiTheme="majorHAnsi" w:cstheme="majorHAnsi"/>
                <w:sz w:val="20"/>
                <w:szCs w:val="20"/>
              </w:rPr>
              <w:t>19</w:t>
            </w:r>
          </w:p>
        </w:tc>
        <w:tc>
          <w:tcPr>
            <w:tcW w:w="850" w:type="dxa"/>
            <w:tcBorders>
              <w:top w:val="nil"/>
              <w:left w:val="nil"/>
              <w:bottom w:val="single" w:sz="4" w:space="0" w:color="808080" w:themeColor="background1" w:themeShade="80"/>
              <w:right w:val="nil"/>
            </w:tcBorders>
          </w:tcPr>
          <w:p w14:paraId="55B7E1EA" w14:textId="77777777" w:rsidR="00EA2B5F" w:rsidRPr="00F25EBD" w:rsidRDefault="00EA2B5F" w:rsidP="00FC7062">
            <w:pPr>
              <w:spacing w:line="276" w:lineRule="auto"/>
              <w:jc w:val="center"/>
              <w:rPr>
                <w:rFonts w:asciiTheme="majorHAnsi" w:hAnsiTheme="majorHAnsi" w:cstheme="majorHAnsi"/>
                <w:sz w:val="20"/>
                <w:szCs w:val="20"/>
              </w:rPr>
            </w:pPr>
            <w:r w:rsidRPr="00F25EBD">
              <w:rPr>
                <w:rFonts w:asciiTheme="majorHAnsi" w:hAnsiTheme="majorHAnsi" w:cstheme="majorHAnsi"/>
                <w:sz w:val="20"/>
                <w:szCs w:val="20"/>
              </w:rPr>
              <w:t>-</w:t>
            </w:r>
          </w:p>
        </w:tc>
        <w:tc>
          <w:tcPr>
            <w:tcW w:w="851" w:type="dxa"/>
            <w:tcBorders>
              <w:top w:val="nil"/>
              <w:left w:val="nil"/>
              <w:bottom w:val="single" w:sz="4" w:space="0" w:color="808080" w:themeColor="background1" w:themeShade="80"/>
              <w:right w:val="nil"/>
            </w:tcBorders>
          </w:tcPr>
          <w:p w14:paraId="0A62B497" w14:textId="77777777" w:rsidR="00EA2B5F" w:rsidRPr="00F25EBD" w:rsidRDefault="00EA2B5F" w:rsidP="00FC7062">
            <w:pPr>
              <w:spacing w:line="276" w:lineRule="auto"/>
              <w:jc w:val="center"/>
              <w:rPr>
                <w:rFonts w:asciiTheme="majorHAnsi" w:hAnsiTheme="majorHAnsi" w:cstheme="majorHAnsi"/>
                <w:sz w:val="20"/>
                <w:szCs w:val="20"/>
              </w:rPr>
            </w:pPr>
            <w:r w:rsidRPr="00F25EBD">
              <w:rPr>
                <w:rFonts w:asciiTheme="majorHAnsi" w:hAnsiTheme="majorHAnsi" w:cstheme="majorHAnsi"/>
                <w:sz w:val="20"/>
                <w:szCs w:val="20"/>
              </w:rPr>
              <w:t>10</w:t>
            </w:r>
          </w:p>
        </w:tc>
        <w:tc>
          <w:tcPr>
            <w:tcW w:w="1412" w:type="dxa"/>
            <w:tcBorders>
              <w:top w:val="nil"/>
              <w:left w:val="nil"/>
              <w:bottom w:val="single" w:sz="4" w:space="0" w:color="808080" w:themeColor="background1" w:themeShade="80"/>
              <w:right w:val="nil"/>
            </w:tcBorders>
          </w:tcPr>
          <w:p w14:paraId="07B6AB86" w14:textId="77777777" w:rsidR="00EA2B5F" w:rsidRPr="00F25EBD" w:rsidRDefault="00EA2B5F" w:rsidP="00FC7062">
            <w:pPr>
              <w:spacing w:line="276" w:lineRule="auto"/>
              <w:jc w:val="center"/>
              <w:rPr>
                <w:rFonts w:asciiTheme="majorHAnsi" w:hAnsiTheme="majorHAnsi" w:cstheme="majorHAnsi"/>
                <w:sz w:val="20"/>
                <w:szCs w:val="20"/>
              </w:rPr>
            </w:pPr>
            <w:r w:rsidRPr="00F25EBD">
              <w:rPr>
                <w:rFonts w:asciiTheme="majorHAnsi" w:hAnsiTheme="majorHAnsi" w:cstheme="majorHAnsi"/>
                <w:sz w:val="20"/>
                <w:szCs w:val="20"/>
              </w:rPr>
              <w:t>-</w:t>
            </w:r>
          </w:p>
        </w:tc>
      </w:tr>
      <w:tr w:rsidR="00EA2B5F" w:rsidRPr="00F25EBD" w14:paraId="02D70588" w14:textId="77777777" w:rsidTr="005D522F">
        <w:tc>
          <w:tcPr>
            <w:tcW w:w="4423" w:type="dxa"/>
            <w:tcBorders>
              <w:top w:val="single" w:sz="4" w:space="0" w:color="808080" w:themeColor="background1" w:themeShade="80"/>
              <w:left w:val="nil"/>
              <w:bottom w:val="single" w:sz="4" w:space="0" w:color="808080" w:themeColor="background1" w:themeShade="80"/>
              <w:right w:val="nil"/>
            </w:tcBorders>
          </w:tcPr>
          <w:p w14:paraId="51C44D4F" w14:textId="77777777" w:rsidR="00EA2B5F" w:rsidRPr="00F25EBD" w:rsidRDefault="00EA2B5F" w:rsidP="00FC7062">
            <w:pPr>
              <w:spacing w:line="276" w:lineRule="auto"/>
              <w:ind w:left="315"/>
              <w:rPr>
                <w:rFonts w:asciiTheme="majorHAnsi" w:hAnsiTheme="majorHAnsi" w:cstheme="majorHAnsi"/>
                <w:sz w:val="20"/>
                <w:szCs w:val="20"/>
              </w:rPr>
            </w:pPr>
            <w:r w:rsidRPr="00F25EBD">
              <w:rPr>
                <w:rFonts w:asciiTheme="majorHAnsi" w:hAnsiTheme="majorHAnsi" w:cstheme="majorHAnsi"/>
                <w:sz w:val="20"/>
                <w:szCs w:val="20"/>
              </w:rPr>
              <w:t>Obserwacyjno-zakaźny</w:t>
            </w:r>
          </w:p>
        </w:tc>
        <w:tc>
          <w:tcPr>
            <w:tcW w:w="1418" w:type="dxa"/>
            <w:tcBorders>
              <w:top w:val="single" w:sz="4" w:space="0" w:color="808080" w:themeColor="background1" w:themeShade="80"/>
              <w:left w:val="nil"/>
              <w:bottom w:val="single" w:sz="4" w:space="0" w:color="808080" w:themeColor="background1" w:themeShade="80"/>
              <w:right w:val="nil"/>
            </w:tcBorders>
          </w:tcPr>
          <w:p w14:paraId="72D6AA96" w14:textId="77777777" w:rsidR="00EA2B5F" w:rsidRPr="00F25EBD" w:rsidRDefault="00EA2B5F" w:rsidP="00FC7062">
            <w:pPr>
              <w:spacing w:line="276" w:lineRule="auto"/>
              <w:jc w:val="center"/>
              <w:rPr>
                <w:rFonts w:asciiTheme="majorHAnsi" w:hAnsiTheme="majorHAnsi" w:cstheme="majorHAnsi"/>
                <w:sz w:val="20"/>
                <w:szCs w:val="20"/>
              </w:rPr>
            </w:pPr>
            <w:r w:rsidRPr="00F25EBD">
              <w:rPr>
                <w:rFonts w:asciiTheme="majorHAnsi" w:hAnsiTheme="majorHAnsi" w:cstheme="majorHAnsi"/>
                <w:sz w:val="20"/>
                <w:szCs w:val="20"/>
              </w:rPr>
              <w:t>-</w:t>
            </w:r>
          </w:p>
        </w:tc>
        <w:tc>
          <w:tcPr>
            <w:tcW w:w="850" w:type="dxa"/>
            <w:tcBorders>
              <w:top w:val="single" w:sz="4" w:space="0" w:color="808080" w:themeColor="background1" w:themeShade="80"/>
              <w:left w:val="nil"/>
              <w:bottom w:val="single" w:sz="4" w:space="0" w:color="808080" w:themeColor="background1" w:themeShade="80"/>
              <w:right w:val="nil"/>
            </w:tcBorders>
          </w:tcPr>
          <w:p w14:paraId="305B22FF" w14:textId="77777777" w:rsidR="00EA2B5F" w:rsidRPr="00F25EBD" w:rsidRDefault="00EA2B5F" w:rsidP="00FC7062">
            <w:pPr>
              <w:spacing w:line="276" w:lineRule="auto"/>
              <w:jc w:val="center"/>
              <w:rPr>
                <w:rFonts w:asciiTheme="majorHAnsi" w:hAnsiTheme="majorHAnsi" w:cstheme="majorHAnsi"/>
                <w:sz w:val="20"/>
                <w:szCs w:val="20"/>
              </w:rPr>
            </w:pPr>
            <w:r w:rsidRPr="00F25EBD">
              <w:rPr>
                <w:rFonts w:asciiTheme="majorHAnsi" w:hAnsiTheme="majorHAnsi" w:cstheme="majorHAnsi"/>
                <w:sz w:val="20"/>
                <w:szCs w:val="20"/>
              </w:rPr>
              <w:t>-</w:t>
            </w:r>
          </w:p>
        </w:tc>
        <w:tc>
          <w:tcPr>
            <w:tcW w:w="851" w:type="dxa"/>
            <w:tcBorders>
              <w:top w:val="single" w:sz="4" w:space="0" w:color="808080" w:themeColor="background1" w:themeShade="80"/>
              <w:left w:val="nil"/>
              <w:bottom w:val="single" w:sz="4" w:space="0" w:color="808080" w:themeColor="background1" w:themeShade="80"/>
              <w:right w:val="nil"/>
            </w:tcBorders>
          </w:tcPr>
          <w:p w14:paraId="335A56B2" w14:textId="77777777" w:rsidR="00EA2B5F" w:rsidRPr="00F25EBD" w:rsidRDefault="00EA2B5F" w:rsidP="00FC7062">
            <w:pPr>
              <w:spacing w:line="276" w:lineRule="auto"/>
              <w:jc w:val="center"/>
              <w:rPr>
                <w:rFonts w:asciiTheme="majorHAnsi" w:hAnsiTheme="majorHAnsi" w:cstheme="majorHAnsi"/>
                <w:sz w:val="20"/>
                <w:szCs w:val="20"/>
              </w:rPr>
            </w:pPr>
            <w:r w:rsidRPr="00F25EBD">
              <w:rPr>
                <w:rFonts w:asciiTheme="majorHAnsi" w:hAnsiTheme="majorHAnsi" w:cstheme="majorHAnsi"/>
                <w:sz w:val="20"/>
                <w:szCs w:val="20"/>
              </w:rPr>
              <w:t>15</w:t>
            </w:r>
          </w:p>
        </w:tc>
        <w:tc>
          <w:tcPr>
            <w:tcW w:w="1412" w:type="dxa"/>
            <w:tcBorders>
              <w:top w:val="single" w:sz="4" w:space="0" w:color="808080" w:themeColor="background1" w:themeShade="80"/>
              <w:left w:val="nil"/>
              <w:bottom w:val="single" w:sz="4" w:space="0" w:color="808080" w:themeColor="background1" w:themeShade="80"/>
              <w:right w:val="nil"/>
            </w:tcBorders>
          </w:tcPr>
          <w:p w14:paraId="2BBCBE23" w14:textId="77777777" w:rsidR="00EA2B5F" w:rsidRPr="00F25EBD" w:rsidRDefault="00EA2B5F" w:rsidP="00FC7062">
            <w:pPr>
              <w:spacing w:line="276" w:lineRule="auto"/>
              <w:jc w:val="center"/>
              <w:rPr>
                <w:rFonts w:asciiTheme="majorHAnsi" w:hAnsiTheme="majorHAnsi" w:cstheme="majorHAnsi"/>
                <w:sz w:val="20"/>
                <w:szCs w:val="20"/>
              </w:rPr>
            </w:pPr>
            <w:r w:rsidRPr="00F25EBD">
              <w:rPr>
                <w:rFonts w:asciiTheme="majorHAnsi" w:hAnsiTheme="majorHAnsi" w:cstheme="majorHAnsi"/>
                <w:sz w:val="20"/>
                <w:szCs w:val="20"/>
              </w:rPr>
              <w:t>-</w:t>
            </w:r>
          </w:p>
        </w:tc>
      </w:tr>
      <w:tr w:rsidR="00EA2B5F" w:rsidRPr="00F25EBD" w14:paraId="22DFDEC7" w14:textId="77777777" w:rsidTr="005D522F">
        <w:tc>
          <w:tcPr>
            <w:tcW w:w="4423" w:type="dxa"/>
            <w:tcBorders>
              <w:top w:val="single" w:sz="4" w:space="0" w:color="808080" w:themeColor="background1" w:themeShade="80"/>
              <w:left w:val="nil"/>
              <w:bottom w:val="single" w:sz="4" w:space="0" w:color="808080" w:themeColor="background1" w:themeShade="80"/>
              <w:right w:val="nil"/>
            </w:tcBorders>
          </w:tcPr>
          <w:p w14:paraId="0DFBEA75" w14:textId="77777777" w:rsidR="00EA2B5F" w:rsidRPr="00F25EBD" w:rsidRDefault="00EA2B5F" w:rsidP="00FC7062">
            <w:pPr>
              <w:spacing w:line="276" w:lineRule="auto"/>
              <w:ind w:left="315"/>
              <w:rPr>
                <w:rFonts w:asciiTheme="majorHAnsi" w:hAnsiTheme="majorHAnsi" w:cstheme="majorHAnsi"/>
                <w:sz w:val="20"/>
                <w:szCs w:val="20"/>
              </w:rPr>
            </w:pPr>
            <w:r w:rsidRPr="00F25EBD">
              <w:rPr>
                <w:rFonts w:asciiTheme="majorHAnsi" w:hAnsiTheme="majorHAnsi" w:cstheme="majorHAnsi"/>
                <w:sz w:val="20"/>
                <w:szCs w:val="20"/>
              </w:rPr>
              <w:t>Pediatryczny</w:t>
            </w:r>
          </w:p>
        </w:tc>
        <w:tc>
          <w:tcPr>
            <w:tcW w:w="1418" w:type="dxa"/>
            <w:tcBorders>
              <w:top w:val="single" w:sz="4" w:space="0" w:color="808080" w:themeColor="background1" w:themeShade="80"/>
              <w:left w:val="nil"/>
              <w:bottom w:val="single" w:sz="4" w:space="0" w:color="808080" w:themeColor="background1" w:themeShade="80"/>
              <w:right w:val="nil"/>
            </w:tcBorders>
          </w:tcPr>
          <w:p w14:paraId="145E38E4" w14:textId="77777777" w:rsidR="00EA2B5F" w:rsidRPr="00F25EBD" w:rsidRDefault="00EA2B5F" w:rsidP="00FC7062">
            <w:pPr>
              <w:spacing w:line="276" w:lineRule="auto"/>
              <w:jc w:val="center"/>
              <w:rPr>
                <w:rFonts w:asciiTheme="majorHAnsi" w:hAnsiTheme="majorHAnsi" w:cstheme="majorHAnsi"/>
                <w:sz w:val="20"/>
                <w:szCs w:val="20"/>
              </w:rPr>
            </w:pPr>
            <w:r w:rsidRPr="00F25EBD">
              <w:rPr>
                <w:rFonts w:asciiTheme="majorHAnsi" w:hAnsiTheme="majorHAnsi" w:cstheme="majorHAnsi"/>
                <w:sz w:val="20"/>
                <w:szCs w:val="20"/>
              </w:rPr>
              <w:t>17</w:t>
            </w:r>
          </w:p>
        </w:tc>
        <w:tc>
          <w:tcPr>
            <w:tcW w:w="850" w:type="dxa"/>
            <w:tcBorders>
              <w:top w:val="single" w:sz="4" w:space="0" w:color="808080" w:themeColor="background1" w:themeShade="80"/>
              <w:left w:val="nil"/>
              <w:bottom w:val="single" w:sz="4" w:space="0" w:color="808080" w:themeColor="background1" w:themeShade="80"/>
              <w:right w:val="nil"/>
            </w:tcBorders>
          </w:tcPr>
          <w:p w14:paraId="7DB937A6" w14:textId="77777777" w:rsidR="00EA2B5F" w:rsidRPr="00F25EBD" w:rsidRDefault="00EA2B5F" w:rsidP="00FC7062">
            <w:pPr>
              <w:spacing w:line="276" w:lineRule="auto"/>
              <w:jc w:val="center"/>
              <w:rPr>
                <w:rFonts w:asciiTheme="majorHAnsi" w:hAnsiTheme="majorHAnsi" w:cstheme="majorHAnsi"/>
                <w:sz w:val="20"/>
                <w:szCs w:val="20"/>
              </w:rPr>
            </w:pPr>
            <w:r w:rsidRPr="00F25EBD">
              <w:rPr>
                <w:rFonts w:asciiTheme="majorHAnsi" w:hAnsiTheme="majorHAnsi" w:cstheme="majorHAnsi"/>
                <w:sz w:val="20"/>
                <w:szCs w:val="20"/>
              </w:rPr>
              <w:t>9</w:t>
            </w:r>
          </w:p>
        </w:tc>
        <w:tc>
          <w:tcPr>
            <w:tcW w:w="851" w:type="dxa"/>
            <w:tcBorders>
              <w:top w:val="single" w:sz="4" w:space="0" w:color="808080" w:themeColor="background1" w:themeShade="80"/>
              <w:left w:val="nil"/>
              <w:bottom w:val="single" w:sz="4" w:space="0" w:color="808080" w:themeColor="background1" w:themeShade="80"/>
              <w:right w:val="nil"/>
            </w:tcBorders>
          </w:tcPr>
          <w:p w14:paraId="4598DDAE" w14:textId="77777777" w:rsidR="00EA2B5F" w:rsidRPr="00F25EBD" w:rsidRDefault="00EA2B5F" w:rsidP="00FC7062">
            <w:pPr>
              <w:spacing w:line="276" w:lineRule="auto"/>
              <w:jc w:val="center"/>
              <w:rPr>
                <w:rFonts w:asciiTheme="majorHAnsi" w:hAnsiTheme="majorHAnsi" w:cstheme="majorHAnsi"/>
                <w:sz w:val="20"/>
                <w:szCs w:val="20"/>
              </w:rPr>
            </w:pPr>
            <w:r w:rsidRPr="00F25EBD">
              <w:rPr>
                <w:rFonts w:asciiTheme="majorHAnsi" w:hAnsiTheme="majorHAnsi" w:cstheme="majorHAnsi"/>
                <w:sz w:val="20"/>
                <w:szCs w:val="20"/>
              </w:rPr>
              <w:t>20</w:t>
            </w:r>
          </w:p>
        </w:tc>
        <w:tc>
          <w:tcPr>
            <w:tcW w:w="1412" w:type="dxa"/>
            <w:tcBorders>
              <w:top w:val="single" w:sz="4" w:space="0" w:color="808080" w:themeColor="background1" w:themeShade="80"/>
              <w:left w:val="nil"/>
              <w:bottom w:val="single" w:sz="4" w:space="0" w:color="808080" w:themeColor="background1" w:themeShade="80"/>
              <w:right w:val="nil"/>
            </w:tcBorders>
          </w:tcPr>
          <w:p w14:paraId="147D3827" w14:textId="77777777" w:rsidR="00EA2B5F" w:rsidRPr="00F25EBD" w:rsidRDefault="00EA2B5F" w:rsidP="00FC7062">
            <w:pPr>
              <w:spacing w:line="276" w:lineRule="auto"/>
              <w:jc w:val="center"/>
              <w:rPr>
                <w:rFonts w:asciiTheme="majorHAnsi" w:hAnsiTheme="majorHAnsi" w:cstheme="majorHAnsi"/>
                <w:sz w:val="20"/>
                <w:szCs w:val="20"/>
              </w:rPr>
            </w:pPr>
            <w:r w:rsidRPr="00F25EBD">
              <w:rPr>
                <w:rFonts w:asciiTheme="majorHAnsi" w:hAnsiTheme="majorHAnsi" w:cstheme="majorHAnsi"/>
                <w:sz w:val="20"/>
                <w:szCs w:val="20"/>
              </w:rPr>
              <w:t>12</w:t>
            </w:r>
          </w:p>
        </w:tc>
      </w:tr>
      <w:tr w:rsidR="00EA2B5F" w:rsidRPr="00F25EBD" w14:paraId="1C547779" w14:textId="77777777" w:rsidTr="005D522F">
        <w:tc>
          <w:tcPr>
            <w:tcW w:w="4423" w:type="dxa"/>
            <w:tcBorders>
              <w:top w:val="single" w:sz="4" w:space="0" w:color="808080" w:themeColor="background1" w:themeShade="80"/>
              <w:left w:val="nil"/>
              <w:bottom w:val="single" w:sz="4" w:space="0" w:color="808080" w:themeColor="background1" w:themeShade="80"/>
              <w:right w:val="nil"/>
            </w:tcBorders>
          </w:tcPr>
          <w:p w14:paraId="01722B06" w14:textId="77777777" w:rsidR="00EA2B5F" w:rsidRPr="00F25EBD" w:rsidRDefault="00EA2B5F" w:rsidP="00FC7062">
            <w:pPr>
              <w:spacing w:line="276" w:lineRule="auto"/>
              <w:ind w:left="315"/>
              <w:rPr>
                <w:rFonts w:asciiTheme="majorHAnsi" w:hAnsiTheme="majorHAnsi" w:cstheme="majorHAnsi"/>
                <w:sz w:val="20"/>
                <w:szCs w:val="20"/>
              </w:rPr>
            </w:pPr>
            <w:r w:rsidRPr="00F25EBD">
              <w:rPr>
                <w:rFonts w:asciiTheme="majorHAnsi" w:hAnsiTheme="majorHAnsi" w:cstheme="majorHAnsi"/>
                <w:sz w:val="20"/>
                <w:szCs w:val="20"/>
              </w:rPr>
              <w:t>Położniczo-ginekologiczny</w:t>
            </w:r>
          </w:p>
        </w:tc>
        <w:tc>
          <w:tcPr>
            <w:tcW w:w="1418" w:type="dxa"/>
            <w:tcBorders>
              <w:top w:val="single" w:sz="4" w:space="0" w:color="808080" w:themeColor="background1" w:themeShade="80"/>
              <w:left w:val="nil"/>
              <w:bottom w:val="single" w:sz="4" w:space="0" w:color="808080" w:themeColor="background1" w:themeShade="80"/>
              <w:right w:val="nil"/>
            </w:tcBorders>
          </w:tcPr>
          <w:p w14:paraId="13E93789" w14:textId="77777777" w:rsidR="00EA2B5F" w:rsidRPr="00F25EBD" w:rsidRDefault="00EA2B5F" w:rsidP="00FC7062">
            <w:pPr>
              <w:spacing w:line="276" w:lineRule="auto"/>
              <w:jc w:val="center"/>
              <w:rPr>
                <w:rFonts w:asciiTheme="majorHAnsi" w:hAnsiTheme="majorHAnsi" w:cstheme="majorHAnsi"/>
                <w:sz w:val="20"/>
                <w:szCs w:val="20"/>
              </w:rPr>
            </w:pPr>
            <w:r w:rsidRPr="00F25EBD">
              <w:rPr>
                <w:rFonts w:asciiTheme="majorHAnsi" w:hAnsiTheme="majorHAnsi" w:cstheme="majorHAnsi"/>
                <w:sz w:val="20"/>
                <w:szCs w:val="20"/>
              </w:rPr>
              <w:t>26</w:t>
            </w:r>
          </w:p>
        </w:tc>
        <w:tc>
          <w:tcPr>
            <w:tcW w:w="850" w:type="dxa"/>
            <w:tcBorders>
              <w:top w:val="single" w:sz="4" w:space="0" w:color="808080" w:themeColor="background1" w:themeShade="80"/>
              <w:left w:val="nil"/>
              <w:bottom w:val="single" w:sz="4" w:space="0" w:color="808080" w:themeColor="background1" w:themeShade="80"/>
              <w:right w:val="nil"/>
            </w:tcBorders>
          </w:tcPr>
          <w:p w14:paraId="750438A4" w14:textId="77777777" w:rsidR="00EA2B5F" w:rsidRPr="00F25EBD" w:rsidRDefault="00EA2B5F" w:rsidP="00FC7062">
            <w:pPr>
              <w:spacing w:line="276" w:lineRule="auto"/>
              <w:jc w:val="center"/>
              <w:rPr>
                <w:rFonts w:asciiTheme="majorHAnsi" w:hAnsiTheme="majorHAnsi" w:cstheme="majorHAnsi"/>
                <w:sz w:val="20"/>
                <w:szCs w:val="20"/>
              </w:rPr>
            </w:pPr>
            <w:r w:rsidRPr="00F25EBD">
              <w:rPr>
                <w:rFonts w:asciiTheme="majorHAnsi" w:hAnsiTheme="majorHAnsi" w:cstheme="majorHAnsi"/>
                <w:sz w:val="20"/>
                <w:szCs w:val="20"/>
              </w:rPr>
              <w:t>18</w:t>
            </w:r>
          </w:p>
        </w:tc>
        <w:tc>
          <w:tcPr>
            <w:tcW w:w="851" w:type="dxa"/>
            <w:tcBorders>
              <w:top w:val="single" w:sz="4" w:space="0" w:color="808080" w:themeColor="background1" w:themeShade="80"/>
              <w:left w:val="nil"/>
              <w:bottom w:val="single" w:sz="4" w:space="0" w:color="808080" w:themeColor="background1" w:themeShade="80"/>
              <w:right w:val="nil"/>
            </w:tcBorders>
          </w:tcPr>
          <w:p w14:paraId="3DFDE7EC" w14:textId="77777777" w:rsidR="00EA2B5F" w:rsidRPr="00F25EBD" w:rsidRDefault="00EA2B5F" w:rsidP="00FC7062">
            <w:pPr>
              <w:spacing w:line="276" w:lineRule="auto"/>
              <w:jc w:val="center"/>
              <w:rPr>
                <w:rFonts w:asciiTheme="majorHAnsi" w:hAnsiTheme="majorHAnsi" w:cstheme="majorHAnsi"/>
                <w:sz w:val="20"/>
                <w:szCs w:val="20"/>
              </w:rPr>
            </w:pPr>
            <w:r w:rsidRPr="00F25EBD">
              <w:rPr>
                <w:rFonts w:asciiTheme="majorHAnsi" w:hAnsiTheme="majorHAnsi" w:cstheme="majorHAnsi"/>
                <w:sz w:val="20"/>
                <w:szCs w:val="20"/>
              </w:rPr>
              <w:t>20</w:t>
            </w:r>
          </w:p>
        </w:tc>
        <w:tc>
          <w:tcPr>
            <w:tcW w:w="1412" w:type="dxa"/>
            <w:tcBorders>
              <w:top w:val="single" w:sz="4" w:space="0" w:color="808080" w:themeColor="background1" w:themeShade="80"/>
              <w:left w:val="nil"/>
              <w:bottom w:val="single" w:sz="4" w:space="0" w:color="808080" w:themeColor="background1" w:themeShade="80"/>
              <w:right w:val="nil"/>
            </w:tcBorders>
          </w:tcPr>
          <w:p w14:paraId="50B72006" w14:textId="77777777" w:rsidR="00EA2B5F" w:rsidRPr="00F25EBD" w:rsidRDefault="00EA2B5F" w:rsidP="00FC7062">
            <w:pPr>
              <w:spacing w:line="276" w:lineRule="auto"/>
              <w:jc w:val="center"/>
              <w:rPr>
                <w:rFonts w:asciiTheme="majorHAnsi" w:hAnsiTheme="majorHAnsi" w:cstheme="majorHAnsi"/>
                <w:sz w:val="20"/>
                <w:szCs w:val="20"/>
              </w:rPr>
            </w:pPr>
            <w:r w:rsidRPr="00F25EBD">
              <w:rPr>
                <w:rFonts w:asciiTheme="majorHAnsi" w:hAnsiTheme="majorHAnsi" w:cstheme="majorHAnsi"/>
                <w:sz w:val="20"/>
                <w:szCs w:val="20"/>
              </w:rPr>
              <w:t>32</w:t>
            </w:r>
          </w:p>
        </w:tc>
      </w:tr>
      <w:tr w:rsidR="00EA2B5F" w:rsidRPr="00F25EBD" w14:paraId="4DEB7360" w14:textId="77777777" w:rsidTr="005D522F">
        <w:tc>
          <w:tcPr>
            <w:tcW w:w="4423" w:type="dxa"/>
            <w:tcBorders>
              <w:top w:val="single" w:sz="4" w:space="0" w:color="808080" w:themeColor="background1" w:themeShade="80"/>
              <w:left w:val="nil"/>
              <w:bottom w:val="single" w:sz="4" w:space="0" w:color="808080" w:themeColor="background1" w:themeShade="80"/>
              <w:right w:val="nil"/>
            </w:tcBorders>
          </w:tcPr>
          <w:p w14:paraId="6F782902" w14:textId="77777777" w:rsidR="00EA2B5F" w:rsidRPr="00F25EBD" w:rsidRDefault="00EA2B5F" w:rsidP="00FC7062">
            <w:pPr>
              <w:spacing w:line="276" w:lineRule="auto"/>
              <w:ind w:left="315"/>
              <w:rPr>
                <w:rFonts w:asciiTheme="majorHAnsi" w:hAnsiTheme="majorHAnsi" w:cstheme="majorHAnsi"/>
                <w:sz w:val="20"/>
                <w:szCs w:val="20"/>
              </w:rPr>
            </w:pPr>
            <w:r w:rsidRPr="00F25EBD">
              <w:rPr>
                <w:rFonts w:asciiTheme="majorHAnsi" w:hAnsiTheme="majorHAnsi" w:cstheme="majorHAnsi"/>
                <w:sz w:val="20"/>
                <w:szCs w:val="20"/>
              </w:rPr>
              <w:t>Psychiatryczny</w:t>
            </w:r>
          </w:p>
        </w:tc>
        <w:tc>
          <w:tcPr>
            <w:tcW w:w="1418" w:type="dxa"/>
            <w:tcBorders>
              <w:top w:val="single" w:sz="4" w:space="0" w:color="808080" w:themeColor="background1" w:themeShade="80"/>
              <w:left w:val="nil"/>
              <w:bottom w:val="single" w:sz="4" w:space="0" w:color="808080" w:themeColor="background1" w:themeShade="80"/>
              <w:right w:val="nil"/>
            </w:tcBorders>
          </w:tcPr>
          <w:p w14:paraId="6FCA1993" w14:textId="77777777" w:rsidR="00EA2B5F" w:rsidRPr="00F25EBD" w:rsidRDefault="00EA2B5F" w:rsidP="00FC7062">
            <w:pPr>
              <w:spacing w:line="276" w:lineRule="auto"/>
              <w:jc w:val="center"/>
              <w:rPr>
                <w:rFonts w:asciiTheme="majorHAnsi" w:hAnsiTheme="majorHAnsi" w:cstheme="majorHAnsi"/>
                <w:sz w:val="20"/>
                <w:szCs w:val="20"/>
              </w:rPr>
            </w:pPr>
            <w:r w:rsidRPr="00F25EBD">
              <w:rPr>
                <w:rFonts w:asciiTheme="majorHAnsi" w:hAnsiTheme="majorHAnsi" w:cstheme="majorHAnsi"/>
                <w:sz w:val="20"/>
                <w:szCs w:val="20"/>
              </w:rPr>
              <w:t>30</w:t>
            </w:r>
          </w:p>
        </w:tc>
        <w:tc>
          <w:tcPr>
            <w:tcW w:w="850" w:type="dxa"/>
            <w:tcBorders>
              <w:top w:val="single" w:sz="4" w:space="0" w:color="808080" w:themeColor="background1" w:themeShade="80"/>
              <w:left w:val="nil"/>
              <w:bottom w:val="single" w:sz="4" w:space="0" w:color="808080" w:themeColor="background1" w:themeShade="80"/>
              <w:right w:val="nil"/>
            </w:tcBorders>
          </w:tcPr>
          <w:p w14:paraId="37441350" w14:textId="77777777" w:rsidR="00EA2B5F" w:rsidRPr="00F25EBD" w:rsidRDefault="00EA2B5F" w:rsidP="00FC7062">
            <w:pPr>
              <w:spacing w:line="276" w:lineRule="auto"/>
              <w:jc w:val="center"/>
              <w:rPr>
                <w:rFonts w:asciiTheme="majorHAnsi" w:hAnsiTheme="majorHAnsi" w:cstheme="majorHAnsi"/>
                <w:sz w:val="20"/>
                <w:szCs w:val="20"/>
              </w:rPr>
            </w:pPr>
            <w:r w:rsidRPr="00F25EBD">
              <w:rPr>
                <w:rFonts w:asciiTheme="majorHAnsi" w:hAnsiTheme="majorHAnsi" w:cstheme="majorHAnsi"/>
                <w:sz w:val="20"/>
                <w:szCs w:val="20"/>
              </w:rPr>
              <w:t>-</w:t>
            </w:r>
          </w:p>
        </w:tc>
        <w:tc>
          <w:tcPr>
            <w:tcW w:w="851" w:type="dxa"/>
            <w:tcBorders>
              <w:top w:val="single" w:sz="4" w:space="0" w:color="808080" w:themeColor="background1" w:themeShade="80"/>
              <w:left w:val="nil"/>
              <w:bottom w:val="single" w:sz="4" w:space="0" w:color="808080" w:themeColor="background1" w:themeShade="80"/>
              <w:right w:val="nil"/>
            </w:tcBorders>
          </w:tcPr>
          <w:p w14:paraId="49A5C817" w14:textId="77777777" w:rsidR="00EA2B5F" w:rsidRPr="00F25EBD" w:rsidRDefault="00EA2B5F" w:rsidP="00FC7062">
            <w:pPr>
              <w:spacing w:line="276" w:lineRule="auto"/>
              <w:jc w:val="center"/>
              <w:rPr>
                <w:rFonts w:asciiTheme="majorHAnsi" w:hAnsiTheme="majorHAnsi" w:cstheme="majorHAnsi"/>
                <w:sz w:val="20"/>
                <w:szCs w:val="20"/>
              </w:rPr>
            </w:pPr>
            <w:r w:rsidRPr="00F25EBD">
              <w:rPr>
                <w:rFonts w:asciiTheme="majorHAnsi" w:hAnsiTheme="majorHAnsi" w:cstheme="majorHAnsi"/>
                <w:sz w:val="20"/>
                <w:szCs w:val="20"/>
              </w:rPr>
              <w:t>-</w:t>
            </w:r>
          </w:p>
        </w:tc>
        <w:tc>
          <w:tcPr>
            <w:tcW w:w="1412" w:type="dxa"/>
            <w:tcBorders>
              <w:top w:val="single" w:sz="4" w:space="0" w:color="808080" w:themeColor="background1" w:themeShade="80"/>
              <w:left w:val="nil"/>
              <w:bottom w:val="single" w:sz="4" w:space="0" w:color="808080" w:themeColor="background1" w:themeShade="80"/>
              <w:right w:val="nil"/>
            </w:tcBorders>
          </w:tcPr>
          <w:p w14:paraId="77FA0700" w14:textId="77777777" w:rsidR="00EA2B5F" w:rsidRPr="00F25EBD" w:rsidRDefault="00EA2B5F" w:rsidP="00FC7062">
            <w:pPr>
              <w:spacing w:line="276" w:lineRule="auto"/>
              <w:jc w:val="center"/>
              <w:rPr>
                <w:rFonts w:asciiTheme="majorHAnsi" w:hAnsiTheme="majorHAnsi" w:cstheme="majorHAnsi"/>
                <w:sz w:val="20"/>
                <w:szCs w:val="20"/>
              </w:rPr>
            </w:pPr>
            <w:r w:rsidRPr="00F25EBD">
              <w:rPr>
                <w:rFonts w:asciiTheme="majorHAnsi" w:hAnsiTheme="majorHAnsi" w:cstheme="majorHAnsi"/>
                <w:sz w:val="20"/>
                <w:szCs w:val="20"/>
              </w:rPr>
              <w:t>-</w:t>
            </w:r>
          </w:p>
        </w:tc>
      </w:tr>
      <w:tr w:rsidR="00EA2B5F" w:rsidRPr="00F25EBD" w14:paraId="4F91721D" w14:textId="77777777" w:rsidTr="005D522F">
        <w:tc>
          <w:tcPr>
            <w:tcW w:w="4423" w:type="dxa"/>
            <w:tcBorders>
              <w:top w:val="single" w:sz="4" w:space="0" w:color="808080" w:themeColor="background1" w:themeShade="80"/>
              <w:left w:val="nil"/>
              <w:bottom w:val="single" w:sz="4" w:space="0" w:color="808080" w:themeColor="background1" w:themeShade="80"/>
              <w:right w:val="nil"/>
            </w:tcBorders>
          </w:tcPr>
          <w:p w14:paraId="5CB604C3" w14:textId="77777777" w:rsidR="00EA2B5F" w:rsidRPr="00F25EBD" w:rsidRDefault="00EA2B5F" w:rsidP="00FC7062">
            <w:pPr>
              <w:spacing w:line="276" w:lineRule="auto"/>
              <w:ind w:left="315"/>
              <w:rPr>
                <w:rFonts w:asciiTheme="majorHAnsi" w:hAnsiTheme="majorHAnsi" w:cstheme="majorHAnsi"/>
                <w:color w:val="000000"/>
                <w:sz w:val="20"/>
                <w:szCs w:val="20"/>
                <w:shd w:val="clear" w:color="auto" w:fill="F2F2F2"/>
              </w:rPr>
            </w:pPr>
            <w:r w:rsidRPr="00F25EBD">
              <w:rPr>
                <w:rFonts w:asciiTheme="majorHAnsi" w:hAnsiTheme="majorHAnsi" w:cstheme="majorHAnsi"/>
                <w:sz w:val="20"/>
                <w:szCs w:val="20"/>
              </w:rPr>
              <w:t>Rehabilitacji neurologicznej</w:t>
            </w:r>
          </w:p>
        </w:tc>
        <w:tc>
          <w:tcPr>
            <w:tcW w:w="1418" w:type="dxa"/>
            <w:tcBorders>
              <w:top w:val="single" w:sz="4" w:space="0" w:color="808080" w:themeColor="background1" w:themeShade="80"/>
              <w:left w:val="nil"/>
              <w:bottom w:val="single" w:sz="4" w:space="0" w:color="808080" w:themeColor="background1" w:themeShade="80"/>
              <w:right w:val="nil"/>
            </w:tcBorders>
          </w:tcPr>
          <w:p w14:paraId="4DE19357" w14:textId="77777777" w:rsidR="00EA2B5F" w:rsidRPr="00F25EBD" w:rsidRDefault="00EA2B5F" w:rsidP="00FC7062">
            <w:pPr>
              <w:spacing w:line="276" w:lineRule="auto"/>
              <w:jc w:val="center"/>
              <w:rPr>
                <w:rFonts w:asciiTheme="majorHAnsi" w:hAnsiTheme="majorHAnsi" w:cstheme="majorHAnsi"/>
                <w:color w:val="000000"/>
                <w:sz w:val="20"/>
                <w:szCs w:val="20"/>
                <w:shd w:val="clear" w:color="auto" w:fill="F2F2F2"/>
              </w:rPr>
            </w:pPr>
            <w:r w:rsidRPr="00F25EBD">
              <w:rPr>
                <w:rFonts w:asciiTheme="majorHAnsi" w:hAnsiTheme="majorHAnsi" w:cstheme="majorHAnsi"/>
                <w:sz w:val="20"/>
                <w:szCs w:val="20"/>
              </w:rPr>
              <w:t>10</w:t>
            </w:r>
          </w:p>
        </w:tc>
        <w:tc>
          <w:tcPr>
            <w:tcW w:w="850" w:type="dxa"/>
            <w:tcBorders>
              <w:top w:val="single" w:sz="4" w:space="0" w:color="808080" w:themeColor="background1" w:themeShade="80"/>
              <w:left w:val="nil"/>
              <w:bottom w:val="single" w:sz="4" w:space="0" w:color="808080" w:themeColor="background1" w:themeShade="80"/>
              <w:right w:val="nil"/>
            </w:tcBorders>
          </w:tcPr>
          <w:p w14:paraId="61DE5D06" w14:textId="77777777" w:rsidR="00EA2B5F" w:rsidRPr="00F25EBD" w:rsidRDefault="00EA2B5F" w:rsidP="00FC7062">
            <w:pPr>
              <w:spacing w:line="276" w:lineRule="auto"/>
              <w:jc w:val="center"/>
              <w:rPr>
                <w:rFonts w:asciiTheme="majorHAnsi" w:hAnsiTheme="majorHAnsi" w:cstheme="majorHAnsi"/>
                <w:sz w:val="20"/>
                <w:szCs w:val="20"/>
              </w:rPr>
            </w:pPr>
            <w:r w:rsidRPr="00F25EBD">
              <w:rPr>
                <w:rFonts w:asciiTheme="majorHAnsi" w:hAnsiTheme="majorHAnsi" w:cstheme="majorHAnsi"/>
                <w:sz w:val="20"/>
                <w:szCs w:val="20"/>
              </w:rPr>
              <w:t>-</w:t>
            </w:r>
          </w:p>
        </w:tc>
        <w:tc>
          <w:tcPr>
            <w:tcW w:w="851" w:type="dxa"/>
            <w:tcBorders>
              <w:top w:val="single" w:sz="4" w:space="0" w:color="808080" w:themeColor="background1" w:themeShade="80"/>
              <w:left w:val="nil"/>
              <w:bottom w:val="single" w:sz="4" w:space="0" w:color="808080" w:themeColor="background1" w:themeShade="80"/>
              <w:right w:val="nil"/>
            </w:tcBorders>
          </w:tcPr>
          <w:p w14:paraId="2AA3A904" w14:textId="77777777" w:rsidR="00EA2B5F" w:rsidRPr="00F25EBD" w:rsidRDefault="00EA2B5F" w:rsidP="00FC7062">
            <w:pPr>
              <w:spacing w:line="276" w:lineRule="auto"/>
              <w:jc w:val="center"/>
              <w:rPr>
                <w:rFonts w:asciiTheme="majorHAnsi" w:hAnsiTheme="majorHAnsi" w:cstheme="majorHAnsi"/>
                <w:sz w:val="20"/>
                <w:szCs w:val="20"/>
              </w:rPr>
            </w:pPr>
            <w:r w:rsidRPr="00F25EBD">
              <w:rPr>
                <w:rFonts w:asciiTheme="majorHAnsi" w:hAnsiTheme="majorHAnsi" w:cstheme="majorHAnsi"/>
                <w:sz w:val="20"/>
                <w:szCs w:val="20"/>
              </w:rPr>
              <w:t>-</w:t>
            </w:r>
          </w:p>
        </w:tc>
        <w:tc>
          <w:tcPr>
            <w:tcW w:w="1412" w:type="dxa"/>
            <w:tcBorders>
              <w:top w:val="single" w:sz="4" w:space="0" w:color="808080" w:themeColor="background1" w:themeShade="80"/>
              <w:left w:val="nil"/>
              <w:bottom w:val="single" w:sz="4" w:space="0" w:color="808080" w:themeColor="background1" w:themeShade="80"/>
              <w:right w:val="nil"/>
            </w:tcBorders>
          </w:tcPr>
          <w:p w14:paraId="6397BF44" w14:textId="77777777" w:rsidR="00EA2B5F" w:rsidRPr="00F25EBD" w:rsidRDefault="00EA2B5F" w:rsidP="00FC7062">
            <w:pPr>
              <w:spacing w:line="276" w:lineRule="auto"/>
              <w:jc w:val="center"/>
              <w:rPr>
                <w:rFonts w:asciiTheme="majorHAnsi" w:hAnsiTheme="majorHAnsi" w:cstheme="majorHAnsi"/>
                <w:sz w:val="20"/>
                <w:szCs w:val="20"/>
              </w:rPr>
            </w:pPr>
            <w:r w:rsidRPr="00F25EBD">
              <w:rPr>
                <w:rFonts w:asciiTheme="majorHAnsi" w:hAnsiTheme="majorHAnsi" w:cstheme="majorHAnsi"/>
                <w:sz w:val="20"/>
                <w:szCs w:val="20"/>
              </w:rPr>
              <w:t>-</w:t>
            </w:r>
          </w:p>
        </w:tc>
      </w:tr>
      <w:tr w:rsidR="00EA2B5F" w:rsidRPr="00F25EBD" w14:paraId="1B30743F" w14:textId="77777777" w:rsidTr="005D522F">
        <w:tc>
          <w:tcPr>
            <w:tcW w:w="4423" w:type="dxa"/>
            <w:tcBorders>
              <w:top w:val="single" w:sz="4" w:space="0" w:color="808080" w:themeColor="background1" w:themeShade="80"/>
              <w:left w:val="nil"/>
              <w:bottom w:val="single" w:sz="4" w:space="0" w:color="808080" w:themeColor="background1" w:themeShade="80"/>
              <w:right w:val="nil"/>
            </w:tcBorders>
          </w:tcPr>
          <w:p w14:paraId="19D39748" w14:textId="77777777" w:rsidR="00EA2B5F" w:rsidRPr="00F25EBD" w:rsidRDefault="00EA2B5F" w:rsidP="00FC7062">
            <w:pPr>
              <w:spacing w:line="276" w:lineRule="auto"/>
              <w:ind w:left="315"/>
              <w:rPr>
                <w:rFonts w:asciiTheme="majorHAnsi" w:hAnsiTheme="majorHAnsi" w:cstheme="majorHAnsi"/>
                <w:color w:val="000000"/>
                <w:sz w:val="20"/>
                <w:szCs w:val="20"/>
                <w:shd w:val="clear" w:color="auto" w:fill="F2F2F2"/>
              </w:rPr>
            </w:pPr>
            <w:r w:rsidRPr="00F25EBD">
              <w:rPr>
                <w:rFonts w:asciiTheme="majorHAnsi" w:hAnsiTheme="majorHAnsi" w:cstheme="majorHAnsi"/>
                <w:sz w:val="20"/>
                <w:szCs w:val="20"/>
              </w:rPr>
              <w:t>Rehabilitacyjny</w:t>
            </w:r>
          </w:p>
        </w:tc>
        <w:tc>
          <w:tcPr>
            <w:tcW w:w="1418" w:type="dxa"/>
            <w:tcBorders>
              <w:top w:val="single" w:sz="4" w:space="0" w:color="808080" w:themeColor="background1" w:themeShade="80"/>
              <w:left w:val="nil"/>
              <w:bottom w:val="single" w:sz="4" w:space="0" w:color="808080" w:themeColor="background1" w:themeShade="80"/>
              <w:right w:val="nil"/>
            </w:tcBorders>
          </w:tcPr>
          <w:p w14:paraId="655F6957" w14:textId="77777777" w:rsidR="00EA2B5F" w:rsidRPr="00F25EBD" w:rsidRDefault="00EA2B5F" w:rsidP="00FC7062">
            <w:pPr>
              <w:spacing w:line="276" w:lineRule="auto"/>
              <w:jc w:val="center"/>
              <w:rPr>
                <w:rFonts w:asciiTheme="majorHAnsi" w:hAnsiTheme="majorHAnsi" w:cstheme="majorHAnsi"/>
                <w:color w:val="000000"/>
                <w:sz w:val="20"/>
                <w:szCs w:val="20"/>
                <w:shd w:val="clear" w:color="auto" w:fill="F2F2F2"/>
              </w:rPr>
            </w:pPr>
            <w:r w:rsidRPr="00F25EBD">
              <w:rPr>
                <w:rFonts w:asciiTheme="majorHAnsi" w:hAnsiTheme="majorHAnsi" w:cstheme="majorHAnsi"/>
                <w:sz w:val="20"/>
                <w:szCs w:val="20"/>
              </w:rPr>
              <w:t>15</w:t>
            </w:r>
          </w:p>
        </w:tc>
        <w:tc>
          <w:tcPr>
            <w:tcW w:w="850" w:type="dxa"/>
            <w:tcBorders>
              <w:top w:val="single" w:sz="4" w:space="0" w:color="808080" w:themeColor="background1" w:themeShade="80"/>
              <w:left w:val="nil"/>
              <w:bottom w:val="single" w:sz="4" w:space="0" w:color="808080" w:themeColor="background1" w:themeShade="80"/>
              <w:right w:val="nil"/>
            </w:tcBorders>
          </w:tcPr>
          <w:p w14:paraId="185913B0" w14:textId="77777777" w:rsidR="00EA2B5F" w:rsidRPr="00F25EBD" w:rsidRDefault="00EA2B5F" w:rsidP="00FC7062">
            <w:pPr>
              <w:spacing w:line="276" w:lineRule="auto"/>
              <w:jc w:val="center"/>
              <w:rPr>
                <w:rFonts w:asciiTheme="majorHAnsi" w:hAnsiTheme="majorHAnsi" w:cstheme="majorHAnsi"/>
                <w:sz w:val="20"/>
                <w:szCs w:val="20"/>
              </w:rPr>
            </w:pPr>
            <w:r w:rsidRPr="00F25EBD">
              <w:rPr>
                <w:rFonts w:asciiTheme="majorHAnsi" w:hAnsiTheme="majorHAnsi" w:cstheme="majorHAnsi"/>
                <w:sz w:val="20"/>
                <w:szCs w:val="20"/>
              </w:rPr>
              <w:t>-</w:t>
            </w:r>
          </w:p>
        </w:tc>
        <w:tc>
          <w:tcPr>
            <w:tcW w:w="851" w:type="dxa"/>
            <w:tcBorders>
              <w:top w:val="single" w:sz="4" w:space="0" w:color="808080" w:themeColor="background1" w:themeShade="80"/>
              <w:left w:val="nil"/>
              <w:bottom w:val="single" w:sz="4" w:space="0" w:color="808080" w:themeColor="background1" w:themeShade="80"/>
              <w:right w:val="nil"/>
            </w:tcBorders>
          </w:tcPr>
          <w:p w14:paraId="2C54FBB0" w14:textId="77777777" w:rsidR="00EA2B5F" w:rsidRPr="00F25EBD" w:rsidRDefault="00EA2B5F" w:rsidP="00FC7062">
            <w:pPr>
              <w:spacing w:line="276" w:lineRule="auto"/>
              <w:jc w:val="center"/>
              <w:rPr>
                <w:rFonts w:asciiTheme="majorHAnsi" w:hAnsiTheme="majorHAnsi" w:cstheme="majorHAnsi"/>
                <w:sz w:val="20"/>
                <w:szCs w:val="20"/>
              </w:rPr>
            </w:pPr>
            <w:r w:rsidRPr="00F25EBD">
              <w:rPr>
                <w:rFonts w:asciiTheme="majorHAnsi" w:hAnsiTheme="majorHAnsi" w:cstheme="majorHAnsi"/>
                <w:sz w:val="20"/>
                <w:szCs w:val="20"/>
              </w:rPr>
              <w:t>-</w:t>
            </w:r>
          </w:p>
        </w:tc>
        <w:tc>
          <w:tcPr>
            <w:tcW w:w="1412" w:type="dxa"/>
            <w:tcBorders>
              <w:top w:val="single" w:sz="4" w:space="0" w:color="808080" w:themeColor="background1" w:themeShade="80"/>
              <w:left w:val="nil"/>
              <w:bottom w:val="single" w:sz="4" w:space="0" w:color="808080" w:themeColor="background1" w:themeShade="80"/>
              <w:right w:val="nil"/>
            </w:tcBorders>
          </w:tcPr>
          <w:p w14:paraId="534863FB" w14:textId="77777777" w:rsidR="00EA2B5F" w:rsidRPr="00F25EBD" w:rsidRDefault="00EA2B5F" w:rsidP="00FC7062">
            <w:pPr>
              <w:spacing w:line="276" w:lineRule="auto"/>
              <w:jc w:val="center"/>
              <w:rPr>
                <w:rFonts w:asciiTheme="majorHAnsi" w:hAnsiTheme="majorHAnsi" w:cstheme="majorHAnsi"/>
                <w:sz w:val="20"/>
                <w:szCs w:val="20"/>
              </w:rPr>
            </w:pPr>
            <w:r w:rsidRPr="00F25EBD">
              <w:rPr>
                <w:rFonts w:asciiTheme="majorHAnsi" w:hAnsiTheme="majorHAnsi" w:cstheme="majorHAnsi"/>
                <w:sz w:val="20"/>
                <w:szCs w:val="20"/>
              </w:rPr>
              <w:t>-</w:t>
            </w:r>
          </w:p>
        </w:tc>
      </w:tr>
      <w:tr w:rsidR="00EA2B5F" w:rsidRPr="00F25EBD" w14:paraId="05CAF3A8" w14:textId="77777777" w:rsidTr="005D522F">
        <w:tc>
          <w:tcPr>
            <w:tcW w:w="4423" w:type="dxa"/>
            <w:tcBorders>
              <w:top w:val="single" w:sz="4" w:space="0" w:color="808080" w:themeColor="background1" w:themeShade="80"/>
              <w:left w:val="nil"/>
              <w:bottom w:val="single" w:sz="4" w:space="0" w:color="808080" w:themeColor="background1" w:themeShade="80"/>
              <w:right w:val="nil"/>
            </w:tcBorders>
          </w:tcPr>
          <w:p w14:paraId="2CE8431E" w14:textId="77777777" w:rsidR="00EA2B5F" w:rsidRPr="00F25EBD" w:rsidRDefault="00EA2B5F" w:rsidP="00FC7062">
            <w:pPr>
              <w:spacing w:line="276" w:lineRule="auto"/>
              <w:ind w:left="315"/>
              <w:rPr>
                <w:rFonts w:asciiTheme="majorHAnsi" w:hAnsiTheme="majorHAnsi" w:cstheme="majorHAnsi"/>
                <w:color w:val="000000"/>
                <w:sz w:val="20"/>
                <w:szCs w:val="20"/>
                <w:shd w:val="clear" w:color="auto" w:fill="F2F2F2"/>
              </w:rPr>
            </w:pPr>
            <w:r w:rsidRPr="00F25EBD">
              <w:rPr>
                <w:rFonts w:asciiTheme="majorHAnsi" w:hAnsiTheme="majorHAnsi" w:cstheme="majorHAnsi"/>
                <w:sz w:val="20"/>
                <w:szCs w:val="20"/>
              </w:rPr>
              <w:t>Reumatologiczny</w:t>
            </w:r>
          </w:p>
        </w:tc>
        <w:tc>
          <w:tcPr>
            <w:tcW w:w="1418" w:type="dxa"/>
            <w:tcBorders>
              <w:top w:val="single" w:sz="4" w:space="0" w:color="808080" w:themeColor="background1" w:themeShade="80"/>
              <w:left w:val="nil"/>
              <w:bottom w:val="single" w:sz="4" w:space="0" w:color="808080" w:themeColor="background1" w:themeShade="80"/>
              <w:right w:val="nil"/>
            </w:tcBorders>
          </w:tcPr>
          <w:p w14:paraId="6563B282" w14:textId="77777777" w:rsidR="00EA2B5F" w:rsidRPr="00F25EBD" w:rsidRDefault="00EA2B5F" w:rsidP="00FC7062">
            <w:pPr>
              <w:spacing w:line="276" w:lineRule="auto"/>
              <w:jc w:val="center"/>
              <w:rPr>
                <w:rFonts w:asciiTheme="majorHAnsi" w:hAnsiTheme="majorHAnsi" w:cstheme="majorHAnsi"/>
                <w:color w:val="000000"/>
                <w:sz w:val="20"/>
                <w:szCs w:val="20"/>
                <w:shd w:val="clear" w:color="auto" w:fill="F2F2F2"/>
              </w:rPr>
            </w:pPr>
            <w:r w:rsidRPr="00F25EBD">
              <w:rPr>
                <w:rFonts w:asciiTheme="majorHAnsi" w:hAnsiTheme="majorHAnsi" w:cstheme="majorHAnsi"/>
                <w:sz w:val="20"/>
                <w:szCs w:val="20"/>
              </w:rPr>
              <w:t>10</w:t>
            </w:r>
          </w:p>
        </w:tc>
        <w:tc>
          <w:tcPr>
            <w:tcW w:w="850" w:type="dxa"/>
            <w:tcBorders>
              <w:top w:val="single" w:sz="4" w:space="0" w:color="808080" w:themeColor="background1" w:themeShade="80"/>
              <w:left w:val="nil"/>
              <w:bottom w:val="single" w:sz="4" w:space="0" w:color="808080" w:themeColor="background1" w:themeShade="80"/>
              <w:right w:val="nil"/>
            </w:tcBorders>
          </w:tcPr>
          <w:p w14:paraId="3CC4128C" w14:textId="77777777" w:rsidR="00EA2B5F" w:rsidRPr="00F25EBD" w:rsidRDefault="00EA2B5F" w:rsidP="00FC7062">
            <w:pPr>
              <w:spacing w:line="276" w:lineRule="auto"/>
              <w:jc w:val="center"/>
              <w:rPr>
                <w:rFonts w:asciiTheme="majorHAnsi" w:hAnsiTheme="majorHAnsi" w:cstheme="majorHAnsi"/>
                <w:sz w:val="20"/>
                <w:szCs w:val="20"/>
              </w:rPr>
            </w:pPr>
            <w:r w:rsidRPr="00F25EBD">
              <w:rPr>
                <w:rFonts w:asciiTheme="majorHAnsi" w:hAnsiTheme="majorHAnsi" w:cstheme="majorHAnsi"/>
                <w:sz w:val="20"/>
                <w:szCs w:val="20"/>
              </w:rPr>
              <w:t>-</w:t>
            </w:r>
          </w:p>
        </w:tc>
        <w:tc>
          <w:tcPr>
            <w:tcW w:w="851" w:type="dxa"/>
            <w:tcBorders>
              <w:top w:val="single" w:sz="4" w:space="0" w:color="808080" w:themeColor="background1" w:themeShade="80"/>
              <w:left w:val="nil"/>
              <w:bottom w:val="single" w:sz="4" w:space="0" w:color="808080" w:themeColor="background1" w:themeShade="80"/>
              <w:right w:val="nil"/>
            </w:tcBorders>
          </w:tcPr>
          <w:p w14:paraId="49085F39" w14:textId="77777777" w:rsidR="00EA2B5F" w:rsidRPr="00F25EBD" w:rsidRDefault="00EA2B5F" w:rsidP="00FC7062">
            <w:pPr>
              <w:spacing w:line="276" w:lineRule="auto"/>
              <w:jc w:val="center"/>
              <w:rPr>
                <w:rFonts w:asciiTheme="majorHAnsi" w:hAnsiTheme="majorHAnsi" w:cstheme="majorHAnsi"/>
                <w:sz w:val="20"/>
                <w:szCs w:val="20"/>
              </w:rPr>
            </w:pPr>
            <w:r w:rsidRPr="00F25EBD">
              <w:rPr>
                <w:rFonts w:asciiTheme="majorHAnsi" w:hAnsiTheme="majorHAnsi" w:cstheme="majorHAnsi"/>
                <w:sz w:val="20"/>
                <w:szCs w:val="20"/>
              </w:rPr>
              <w:t>-</w:t>
            </w:r>
          </w:p>
        </w:tc>
        <w:tc>
          <w:tcPr>
            <w:tcW w:w="1412" w:type="dxa"/>
            <w:tcBorders>
              <w:top w:val="single" w:sz="4" w:space="0" w:color="808080" w:themeColor="background1" w:themeShade="80"/>
              <w:left w:val="nil"/>
              <w:bottom w:val="single" w:sz="4" w:space="0" w:color="808080" w:themeColor="background1" w:themeShade="80"/>
              <w:right w:val="nil"/>
            </w:tcBorders>
          </w:tcPr>
          <w:p w14:paraId="6139E9CB" w14:textId="77777777" w:rsidR="00EA2B5F" w:rsidRPr="00F25EBD" w:rsidRDefault="00EA2B5F" w:rsidP="00FC7062">
            <w:pPr>
              <w:spacing w:line="276" w:lineRule="auto"/>
              <w:jc w:val="center"/>
              <w:rPr>
                <w:rFonts w:asciiTheme="majorHAnsi" w:hAnsiTheme="majorHAnsi" w:cstheme="majorHAnsi"/>
                <w:sz w:val="20"/>
                <w:szCs w:val="20"/>
              </w:rPr>
            </w:pPr>
            <w:r w:rsidRPr="00F25EBD">
              <w:rPr>
                <w:rFonts w:asciiTheme="majorHAnsi" w:hAnsiTheme="majorHAnsi" w:cstheme="majorHAnsi"/>
                <w:sz w:val="20"/>
                <w:szCs w:val="20"/>
              </w:rPr>
              <w:t>-</w:t>
            </w:r>
          </w:p>
        </w:tc>
      </w:tr>
      <w:tr w:rsidR="00EA2B5F" w:rsidRPr="00F25EBD" w14:paraId="2FFAA396" w14:textId="77777777" w:rsidTr="005D522F">
        <w:tc>
          <w:tcPr>
            <w:tcW w:w="4423" w:type="dxa"/>
            <w:tcBorders>
              <w:top w:val="single" w:sz="4" w:space="0" w:color="808080" w:themeColor="background1" w:themeShade="80"/>
              <w:left w:val="nil"/>
              <w:bottom w:val="single" w:sz="4" w:space="0" w:color="808080" w:themeColor="background1" w:themeShade="80"/>
              <w:right w:val="nil"/>
            </w:tcBorders>
          </w:tcPr>
          <w:p w14:paraId="55F21E84" w14:textId="77777777" w:rsidR="00EA2B5F" w:rsidRPr="00F25EBD" w:rsidRDefault="00EA2B5F" w:rsidP="00FC7062">
            <w:pPr>
              <w:spacing w:line="276" w:lineRule="auto"/>
              <w:ind w:left="315"/>
              <w:rPr>
                <w:rFonts w:asciiTheme="majorHAnsi" w:hAnsiTheme="majorHAnsi" w:cstheme="majorHAnsi"/>
                <w:color w:val="000000"/>
                <w:sz w:val="20"/>
                <w:szCs w:val="20"/>
                <w:shd w:val="clear" w:color="auto" w:fill="F2F2F2"/>
              </w:rPr>
            </w:pPr>
            <w:r w:rsidRPr="00F25EBD">
              <w:rPr>
                <w:rFonts w:asciiTheme="majorHAnsi" w:hAnsiTheme="majorHAnsi" w:cstheme="majorHAnsi"/>
                <w:sz w:val="20"/>
                <w:szCs w:val="20"/>
              </w:rPr>
              <w:t>Szpitalny oddział ratunkowy</w:t>
            </w:r>
          </w:p>
        </w:tc>
        <w:tc>
          <w:tcPr>
            <w:tcW w:w="1418" w:type="dxa"/>
            <w:tcBorders>
              <w:top w:val="single" w:sz="4" w:space="0" w:color="808080" w:themeColor="background1" w:themeShade="80"/>
              <w:left w:val="nil"/>
              <w:bottom w:val="single" w:sz="4" w:space="0" w:color="808080" w:themeColor="background1" w:themeShade="80"/>
              <w:right w:val="nil"/>
            </w:tcBorders>
          </w:tcPr>
          <w:p w14:paraId="4489876B" w14:textId="77777777" w:rsidR="00EA2B5F" w:rsidRPr="00F25EBD" w:rsidRDefault="00EA2B5F" w:rsidP="00FC7062">
            <w:pPr>
              <w:spacing w:line="276" w:lineRule="auto"/>
              <w:jc w:val="center"/>
              <w:rPr>
                <w:rFonts w:asciiTheme="majorHAnsi" w:hAnsiTheme="majorHAnsi" w:cstheme="majorHAnsi"/>
                <w:sz w:val="20"/>
                <w:szCs w:val="20"/>
              </w:rPr>
            </w:pPr>
            <w:r w:rsidRPr="00F25EBD">
              <w:rPr>
                <w:rFonts w:asciiTheme="majorHAnsi" w:hAnsiTheme="majorHAnsi" w:cstheme="majorHAnsi"/>
                <w:sz w:val="20"/>
                <w:szCs w:val="20"/>
              </w:rPr>
              <w:t>-</w:t>
            </w:r>
          </w:p>
        </w:tc>
        <w:tc>
          <w:tcPr>
            <w:tcW w:w="850" w:type="dxa"/>
            <w:tcBorders>
              <w:top w:val="single" w:sz="4" w:space="0" w:color="808080" w:themeColor="background1" w:themeShade="80"/>
              <w:left w:val="nil"/>
              <w:bottom w:val="single" w:sz="4" w:space="0" w:color="808080" w:themeColor="background1" w:themeShade="80"/>
              <w:right w:val="nil"/>
            </w:tcBorders>
          </w:tcPr>
          <w:p w14:paraId="6B1CE910" w14:textId="77777777" w:rsidR="00EA2B5F" w:rsidRPr="00F25EBD" w:rsidRDefault="00EA2B5F" w:rsidP="00FC7062">
            <w:pPr>
              <w:spacing w:line="276" w:lineRule="auto"/>
              <w:jc w:val="center"/>
              <w:rPr>
                <w:rFonts w:asciiTheme="majorHAnsi" w:hAnsiTheme="majorHAnsi" w:cstheme="majorHAnsi"/>
                <w:sz w:val="20"/>
                <w:szCs w:val="20"/>
              </w:rPr>
            </w:pPr>
            <w:r w:rsidRPr="00F25EBD">
              <w:rPr>
                <w:rFonts w:asciiTheme="majorHAnsi" w:hAnsiTheme="majorHAnsi" w:cstheme="majorHAnsi"/>
                <w:sz w:val="20"/>
                <w:szCs w:val="20"/>
              </w:rPr>
              <w:t>-</w:t>
            </w:r>
          </w:p>
        </w:tc>
        <w:tc>
          <w:tcPr>
            <w:tcW w:w="851" w:type="dxa"/>
            <w:tcBorders>
              <w:top w:val="single" w:sz="4" w:space="0" w:color="808080" w:themeColor="background1" w:themeShade="80"/>
              <w:left w:val="nil"/>
              <w:bottom w:val="single" w:sz="4" w:space="0" w:color="808080" w:themeColor="background1" w:themeShade="80"/>
              <w:right w:val="nil"/>
            </w:tcBorders>
          </w:tcPr>
          <w:p w14:paraId="4F25F8CE" w14:textId="77777777" w:rsidR="00EA2B5F" w:rsidRPr="00F25EBD" w:rsidRDefault="00EA2B5F" w:rsidP="00FC7062">
            <w:pPr>
              <w:spacing w:line="276" w:lineRule="auto"/>
              <w:jc w:val="center"/>
              <w:rPr>
                <w:rFonts w:asciiTheme="majorHAnsi" w:hAnsiTheme="majorHAnsi" w:cstheme="majorHAnsi"/>
                <w:sz w:val="20"/>
                <w:szCs w:val="20"/>
              </w:rPr>
            </w:pPr>
            <w:r w:rsidRPr="00F25EBD">
              <w:rPr>
                <w:rFonts w:asciiTheme="majorHAnsi" w:hAnsiTheme="majorHAnsi" w:cstheme="majorHAnsi"/>
                <w:sz w:val="20"/>
                <w:szCs w:val="20"/>
              </w:rPr>
              <w:t>5</w:t>
            </w:r>
          </w:p>
        </w:tc>
        <w:tc>
          <w:tcPr>
            <w:tcW w:w="1412" w:type="dxa"/>
            <w:tcBorders>
              <w:top w:val="single" w:sz="4" w:space="0" w:color="808080" w:themeColor="background1" w:themeShade="80"/>
              <w:left w:val="nil"/>
              <w:bottom w:val="single" w:sz="4" w:space="0" w:color="808080" w:themeColor="background1" w:themeShade="80"/>
              <w:right w:val="nil"/>
            </w:tcBorders>
          </w:tcPr>
          <w:p w14:paraId="7EC6E98C" w14:textId="77777777" w:rsidR="00EA2B5F" w:rsidRPr="00F25EBD" w:rsidRDefault="00EA2B5F" w:rsidP="00FC7062">
            <w:pPr>
              <w:spacing w:line="276" w:lineRule="auto"/>
              <w:jc w:val="center"/>
              <w:rPr>
                <w:rFonts w:asciiTheme="majorHAnsi" w:hAnsiTheme="majorHAnsi" w:cstheme="majorHAnsi"/>
                <w:sz w:val="20"/>
                <w:szCs w:val="20"/>
              </w:rPr>
            </w:pPr>
            <w:r w:rsidRPr="00F25EBD">
              <w:rPr>
                <w:rFonts w:asciiTheme="majorHAnsi" w:hAnsiTheme="majorHAnsi" w:cstheme="majorHAnsi"/>
                <w:sz w:val="20"/>
                <w:szCs w:val="20"/>
              </w:rPr>
              <w:t>-</w:t>
            </w:r>
          </w:p>
        </w:tc>
      </w:tr>
      <w:tr w:rsidR="00EA2B5F" w:rsidRPr="00F25EBD" w14:paraId="0F4576E2" w14:textId="77777777" w:rsidTr="005D522F">
        <w:tc>
          <w:tcPr>
            <w:tcW w:w="4423" w:type="dxa"/>
            <w:tcBorders>
              <w:top w:val="single" w:sz="4" w:space="0" w:color="808080" w:themeColor="background1" w:themeShade="80"/>
              <w:left w:val="nil"/>
              <w:bottom w:val="single" w:sz="4" w:space="0" w:color="808080" w:themeColor="background1" w:themeShade="80"/>
              <w:right w:val="nil"/>
            </w:tcBorders>
          </w:tcPr>
          <w:p w14:paraId="3D62718E" w14:textId="77777777" w:rsidR="00EA2B5F" w:rsidRPr="00F25EBD" w:rsidRDefault="00EA2B5F" w:rsidP="00FC7062">
            <w:pPr>
              <w:spacing w:line="276" w:lineRule="auto"/>
              <w:ind w:left="315"/>
              <w:rPr>
                <w:rFonts w:asciiTheme="majorHAnsi" w:hAnsiTheme="majorHAnsi" w:cstheme="majorHAnsi"/>
                <w:color w:val="000000"/>
                <w:sz w:val="20"/>
                <w:szCs w:val="20"/>
                <w:shd w:val="clear" w:color="auto" w:fill="F2F2F2"/>
              </w:rPr>
            </w:pPr>
            <w:r w:rsidRPr="00F25EBD">
              <w:rPr>
                <w:rFonts w:asciiTheme="majorHAnsi" w:hAnsiTheme="majorHAnsi" w:cstheme="majorHAnsi"/>
                <w:sz w:val="20"/>
                <w:szCs w:val="20"/>
              </w:rPr>
              <w:t>Udarowy</w:t>
            </w:r>
          </w:p>
        </w:tc>
        <w:tc>
          <w:tcPr>
            <w:tcW w:w="1418" w:type="dxa"/>
            <w:tcBorders>
              <w:top w:val="single" w:sz="4" w:space="0" w:color="808080" w:themeColor="background1" w:themeShade="80"/>
              <w:left w:val="nil"/>
              <w:bottom w:val="single" w:sz="4" w:space="0" w:color="808080" w:themeColor="background1" w:themeShade="80"/>
              <w:right w:val="nil"/>
            </w:tcBorders>
          </w:tcPr>
          <w:p w14:paraId="04AB3A0B" w14:textId="77777777" w:rsidR="00EA2B5F" w:rsidRPr="00F25EBD" w:rsidRDefault="00EA2B5F" w:rsidP="00FC7062">
            <w:pPr>
              <w:spacing w:line="276" w:lineRule="auto"/>
              <w:jc w:val="center"/>
              <w:rPr>
                <w:rFonts w:asciiTheme="majorHAnsi" w:hAnsiTheme="majorHAnsi" w:cstheme="majorHAnsi"/>
                <w:color w:val="000000"/>
                <w:sz w:val="20"/>
                <w:szCs w:val="20"/>
                <w:shd w:val="clear" w:color="auto" w:fill="F2F2F2"/>
              </w:rPr>
            </w:pPr>
            <w:r w:rsidRPr="00F25EBD">
              <w:rPr>
                <w:rFonts w:asciiTheme="majorHAnsi" w:hAnsiTheme="majorHAnsi" w:cstheme="majorHAnsi"/>
                <w:sz w:val="20"/>
                <w:szCs w:val="20"/>
              </w:rPr>
              <w:t>16</w:t>
            </w:r>
          </w:p>
        </w:tc>
        <w:tc>
          <w:tcPr>
            <w:tcW w:w="850" w:type="dxa"/>
            <w:tcBorders>
              <w:top w:val="single" w:sz="4" w:space="0" w:color="808080" w:themeColor="background1" w:themeShade="80"/>
              <w:left w:val="nil"/>
              <w:bottom w:val="single" w:sz="4" w:space="0" w:color="808080" w:themeColor="background1" w:themeShade="80"/>
              <w:right w:val="nil"/>
            </w:tcBorders>
          </w:tcPr>
          <w:p w14:paraId="37DE693A" w14:textId="77777777" w:rsidR="00EA2B5F" w:rsidRPr="00F25EBD" w:rsidRDefault="00EA2B5F" w:rsidP="00FC7062">
            <w:pPr>
              <w:spacing w:line="276" w:lineRule="auto"/>
              <w:jc w:val="center"/>
              <w:rPr>
                <w:rFonts w:asciiTheme="majorHAnsi" w:hAnsiTheme="majorHAnsi" w:cstheme="majorHAnsi"/>
                <w:sz w:val="20"/>
                <w:szCs w:val="20"/>
              </w:rPr>
            </w:pPr>
            <w:r w:rsidRPr="00F25EBD">
              <w:rPr>
                <w:rFonts w:asciiTheme="majorHAnsi" w:hAnsiTheme="majorHAnsi" w:cstheme="majorHAnsi"/>
                <w:sz w:val="20"/>
                <w:szCs w:val="20"/>
              </w:rPr>
              <w:t>-</w:t>
            </w:r>
          </w:p>
        </w:tc>
        <w:tc>
          <w:tcPr>
            <w:tcW w:w="851" w:type="dxa"/>
            <w:tcBorders>
              <w:top w:val="single" w:sz="4" w:space="0" w:color="808080" w:themeColor="background1" w:themeShade="80"/>
              <w:left w:val="nil"/>
              <w:bottom w:val="single" w:sz="4" w:space="0" w:color="808080" w:themeColor="background1" w:themeShade="80"/>
              <w:right w:val="nil"/>
            </w:tcBorders>
          </w:tcPr>
          <w:p w14:paraId="6A779682" w14:textId="77777777" w:rsidR="00EA2B5F" w:rsidRPr="00F25EBD" w:rsidRDefault="00EA2B5F" w:rsidP="00FC7062">
            <w:pPr>
              <w:spacing w:line="276" w:lineRule="auto"/>
              <w:jc w:val="center"/>
              <w:rPr>
                <w:rFonts w:asciiTheme="majorHAnsi" w:hAnsiTheme="majorHAnsi" w:cstheme="majorHAnsi"/>
                <w:sz w:val="20"/>
                <w:szCs w:val="20"/>
              </w:rPr>
            </w:pPr>
            <w:r w:rsidRPr="00F25EBD">
              <w:rPr>
                <w:rFonts w:asciiTheme="majorHAnsi" w:hAnsiTheme="majorHAnsi" w:cstheme="majorHAnsi"/>
                <w:sz w:val="20"/>
                <w:szCs w:val="20"/>
              </w:rPr>
              <w:t>-</w:t>
            </w:r>
          </w:p>
        </w:tc>
        <w:tc>
          <w:tcPr>
            <w:tcW w:w="1412" w:type="dxa"/>
            <w:tcBorders>
              <w:top w:val="single" w:sz="4" w:space="0" w:color="808080" w:themeColor="background1" w:themeShade="80"/>
              <w:left w:val="nil"/>
              <w:bottom w:val="single" w:sz="4" w:space="0" w:color="808080" w:themeColor="background1" w:themeShade="80"/>
              <w:right w:val="nil"/>
            </w:tcBorders>
          </w:tcPr>
          <w:p w14:paraId="08D5DB29" w14:textId="77777777" w:rsidR="00EA2B5F" w:rsidRPr="00F25EBD" w:rsidRDefault="00EA2B5F" w:rsidP="00FC7062">
            <w:pPr>
              <w:spacing w:line="276" w:lineRule="auto"/>
              <w:jc w:val="center"/>
              <w:rPr>
                <w:rFonts w:asciiTheme="majorHAnsi" w:hAnsiTheme="majorHAnsi" w:cstheme="majorHAnsi"/>
                <w:sz w:val="20"/>
                <w:szCs w:val="20"/>
              </w:rPr>
            </w:pPr>
            <w:r w:rsidRPr="00F25EBD">
              <w:rPr>
                <w:rFonts w:asciiTheme="majorHAnsi" w:hAnsiTheme="majorHAnsi" w:cstheme="majorHAnsi"/>
                <w:sz w:val="20"/>
                <w:szCs w:val="20"/>
              </w:rPr>
              <w:t>-</w:t>
            </w:r>
          </w:p>
        </w:tc>
      </w:tr>
      <w:tr w:rsidR="00EA2B5F" w:rsidRPr="00F25EBD" w14:paraId="7BB9B07E" w14:textId="77777777" w:rsidTr="005D522F">
        <w:tc>
          <w:tcPr>
            <w:tcW w:w="4423" w:type="dxa"/>
            <w:tcBorders>
              <w:top w:val="single" w:sz="4" w:space="0" w:color="808080" w:themeColor="background1" w:themeShade="80"/>
              <w:left w:val="nil"/>
              <w:bottom w:val="single" w:sz="4" w:space="0" w:color="808080" w:themeColor="background1" w:themeShade="80"/>
              <w:right w:val="nil"/>
            </w:tcBorders>
          </w:tcPr>
          <w:p w14:paraId="76EE7E69" w14:textId="77777777" w:rsidR="00EA2B5F" w:rsidRPr="00F25EBD" w:rsidRDefault="00EA2B5F" w:rsidP="00FC7062">
            <w:pPr>
              <w:spacing w:line="276" w:lineRule="auto"/>
              <w:ind w:left="315"/>
              <w:rPr>
                <w:rFonts w:asciiTheme="majorHAnsi" w:hAnsiTheme="majorHAnsi" w:cstheme="majorHAnsi"/>
                <w:color w:val="000000"/>
                <w:sz w:val="20"/>
                <w:szCs w:val="20"/>
                <w:shd w:val="clear" w:color="auto" w:fill="F2F2F2"/>
              </w:rPr>
            </w:pPr>
            <w:r w:rsidRPr="00F25EBD">
              <w:rPr>
                <w:rFonts w:asciiTheme="majorHAnsi" w:hAnsiTheme="majorHAnsi" w:cstheme="majorHAnsi"/>
                <w:sz w:val="20"/>
                <w:szCs w:val="20"/>
              </w:rPr>
              <w:t>Urologiczny</w:t>
            </w:r>
          </w:p>
        </w:tc>
        <w:tc>
          <w:tcPr>
            <w:tcW w:w="1418" w:type="dxa"/>
            <w:tcBorders>
              <w:top w:val="single" w:sz="4" w:space="0" w:color="808080" w:themeColor="background1" w:themeShade="80"/>
              <w:left w:val="nil"/>
              <w:bottom w:val="single" w:sz="4" w:space="0" w:color="808080" w:themeColor="background1" w:themeShade="80"/>
              <w:right w:val="nil"/>
            </w:tcBorders>
          </w:tcPr>
          <w:p w14:paraId="367478D5" w14:textId="77777777" w:rsidR="00EA2B5F" w:rsidRPr="00F25EBD" w:rsidRDefault="00EA2B5F" w:rsidP="00FC7062">
            <w:pPr>
              <w:spacing w:line="276" w:lineRule="auto"/>
              <w:jc w:val="center"/>
              <w:rPr>
                <w:rFonts w:asciiTheme="majorHAnsi" w:hAnsiTheme="majorHAnsi" w:cstheme="majorHAnsi"/>
                <w:color w:val="000000"/>
                <w:sz w:val="20"/>
                <w:szCs w:val="20"/>
                <w:shd w:val="clear" w:color="auto" w:fill="F2F2F2"/>
              </w:rPr>
            </w:pPr>
            <w:r w:rsidRPr="00F25EBD">
              <w:rPr>
                <w:rFonts w:asciiTheme="majorHAnsi" w:hAnsiTheme="majorHAnsi" w:cstheme="majorHAnsi"/>
                <w:sz w:val="20"/>
                <w:szCs w:val="20"/>
              </w:rPr>
              <w:t>1</w:t>
            </w:r>
          </w:p>
        </w:tc>
        <w:tc>
          <w:tcPr>
            <w:tcW w:w="850" w:type="dxa"/>
            <w:tcBorders>
              <w:top w:val="single" w:sz="4" w:space="0" w:color="808080" w:themeColor="background1" w:themeShade="80"/>
              <w:left w:val="nil"/>
              <w:bottom w:val="single" w:sz="4" w:space="0" w:color="808080" w:themeColor="background1" w:themeShade="80"/>
              <w:right w:val="nil"/>
            </w:tcBorders>
          </w:tcPr>
          <w:p w14:paraId="2D4C526E" w14:textId="77777777" w:rsidR="00EA2B5F" w:rsidRPr="00F25EBD" w:rsidRDefault="00EA2B5F" w:rsidP="00FC7062">
            <w:pPr>
              <w:spacing w:line="276" w:lineRule="auto"/>
              <w:jc w:val="center"/>
              <w:rPr>
                <w:rFonts w:asciiTheme="majorHAnsi" w:hAnsiTheme="majorHAnsi" w:cstheme="majorHAnsi"/>
                <w:sz w:val="20"/>
                <w:szCs w:val="20"/>
              </w:rPr>
            </w:pPr>
            <w:r w:rsidRPr="00F25EBD">
              <w:rPr>
                <w:rFonts w:asciiTheme="majorHAnsi" w:hAnsiTheme="majorHAnsi" w:cstheme="majorHAnsi"/>
                <w:sz w:val="20"/>
                <w:szCs w:val="20"/>
              </w:rPr>
              <w:t>-</w:t>
            </w:r>
          </w:p>
        </w:tc>
        <w:tc>
          <w:tcPr>
            <w:tcW w:w="851" w:type="dxa"/>
            <w:tcBorders>
              <w:top w:val="single" w:sz="4" w:space="0" w:color="808080" w:themeColor="background1" w:themeShade="80"/>
              <w:left w:val="nil"/>
              <w:bottom w:val="single" w:sz="4" w:space="0" w:color="808080" w:themeColor="background1" w:themeShade="80"/>
              <w:right w:val="nil"/>
            </w:tcBorders>
          </w:tcPr>
          <w:p w14:paraId="640311A3" w14:textId="77777777" w:rsidR="00EA2B5F" w:rsidRPr="00F25EBD" w:rsidRDefault="00EA2B5F" w:rsidP="00FC7062">
            <w:pPr>
              <w:spacing w:line="276" w:lineRule="auto"/>
              <w:jc w:val="center"/>
              <w:rPr>
                <w:rFonts w:asciiTheme="majorHAnsi" w:hAnsiTheme="majorHAnsi" w:cstheme="majorHAnsi"/>
                <w:sz w:val="20"/>
                <w:szCs w:val="20"/>
              </w:rPr>
            </w:pPr>
            <w:r w:rsidRPr="00F25EBD">
              <w:rPr>
                <w:rFonts w:asciiTheme="majorHAnsi" w:hAnsiTheme="majorHAnsi" w:cstheme="majorHAnsi"/>
                <w:sz w:val="20"/>
                <w:szCs w:val="20"/>
              </w:rPr>
              <w:t>-</w:t>
            </w:r>
          </w:p>
        </w:tc>
        <w:tc>
          <w:tcPr>
            <w:tcW w:w="1412" w:type="dxa"/>
            <w:tcBorders>
              <w:top w:val="single" w:sz="4" w:space="0" w:color="808080" w:themeColor="background1" w:themeShade="80"/>
              <w:left w:val="nil"/>
              <w:bottom w:val="single" w:sz="4" w:space="0" w:color="808080" w:themeColor="background1" w:themeShade="80"/>
              <w:right w:val="nil"/>
            </w:tcBorders>
          </w:tcPr>
          <w:p w14:paraId="64C88596" w14:textId="77777777" w:rsidR="00EA2B5F" w:rsidRPr="00F25EBD" w:rsidRDefault="00EA2B5F" w:rsidP="00FC7062">
            <w:pPr>
              <w:spacing w:line="276" w:lineRule="auto"/>
              <w:jc w:val="center"/>
              <w:rPr>
                <w:rFonts w:asciiTheme="majorHAnsi" w:hAnsiTheme="majorHAnsi" w:cstheme="majorHAnsi"/>
                <w:sz w:val="20"/>
                <w:szCs w:val="20"/>
              </w:rPr>
            </w:pPr>
            <w:r w:rsidRPr="00F25EBD">
              <w:rPr>
                <w:rFonts w:asciiTheme="majorHAnsi" w:hAnsiTheme="majorHAnsi" w:cstheme="majorHAnsi"/>
                <w:sz w:val="20"/>
                <w:szCs w:val="20"/>
              </w:rPr>
              <w:t>-</w:t>
            </w:r>
          </w:p>
        </w:tc>
      </w:tr>
      <w:tr w:rsidR="00EA2B5F" w:rsidRPr="00F25EBD" w14:paraId="6229CBE0" w14:textId="77777777" w:rsidTr="005D522F">
        <w:tc>
          <w:tcPr>
            <w:tcW w:w="4423" w:type="dxa"/>
            <w:tcBorders>
              <w:top w:val="single" w:sz="4" w:space="0" w:color="808080" w:themeColor="background1" w:themeShade="80"/>
              <w:left w:val="nil"/>
              <w:bottom w:val="single" w:sz="4" w:space="0" w:color="808080" w:themeColor="background1" w:themeShade="80"/>
              <w:right w:val="nil"/>
            </w:tcBorders>
          </w:tcPr>
          <w:p w14:paraId="1DB4CC49" w14:textId="77777777" w:rsidR="00EA2B5F" w:rsidRPr="00F25EBD" w:rsidRDefault="00EA2B5F" w:rsidP="00FC7062">
            <w:pPr>
              <w:spacing w:line="276" w:lineRule="auto"/>
              <w:ind w:left="315"/>
              <w:rPr>
                <w:rFonts w:asciiTheme="majorHAnsi" w:hAnsiTheme="majorHAnsi" w:cstheme="majorHAnsi"/>
                <w:color w:val="000000"/>
                <w:sz w:val="20"/>
                <w:szCs w:val="20"/>
                <w:shd w:val="clear" w:color="auto" w:fill="F2F2F2"/>
              </w:rPr>
            </w:pPr>
            <w:r w:rsidRPr="00F25EBD">
              <w:rPr>
                <w:rFonts w:asciiTheme="majorHAnsi" w:hAnsiTheme="majorHAnsi" w:cstheme="majorHAnsi"/>
                <w:sz w:val="20"/>
                <w:szCs w:val="20"/>
              </w:rPr>
              <w:t>Zakład opiekuńczo-leczniczy</w:t>
            </w:r>
          </w:p>
        </w:tc>
        <w:tc>
          <w:tcPr>
            <w:tcW w:w="1418" w:type="dxa"/>
            <w:tcBorders>
              <w:top w:val="single" w:sz="4" w:space="0" w:color="808080" w:themeColor="background1" w:themeShade="80"/>
              <w:left w:val="nil"/>
              <w:bottom w:val="single" w:sz="4" w:space="0" w:color="808080" w:themeColor="background1" w:themeShade="80"/>
              <w:right w:val="nil"/>
            </w:tcBorders>
          </w:tcPr>
          <w:p w14:paraId="3C0DBF65" w14:textId="77777777" w:rsidR="00EA2B5F" w:rsidRPr="00F25EBD" w:rsidRDefault="00EA2B5F" w:rsidP="00FC7062">
            <w:pPr>
              <w:spacing w:line="276" w:lineRule="auto"/>
              <w:jc w:val="center"/>
              <w:rPr>
                <w:rFonts w:asciiTheme="majorHAnsi" w:hAnsiTheme="majorHAnsi" w:cstheme="majorHAnsi"/>
                <w:sz w:val="20"/>
                <w:szCs w:val="20"/>
              </w:rPr>
            </w:pPr>
            <w:r w:rsidRPr="00F25EBD">
              <w:rPr>
                <w:rFonts w:asciiTheme="majorHAnsi" w:hAnsiTheme="majorHAnsi" w:cstheme="majorHAnsi"/>
                <w:sz w:val="20"/>
                <w:szCs w:val="20"/>
              </w:rPr>
              <w:t>-</w:t>
            </w:r>
          </w:p>
        </w:tc>
        <w:tc>
          <w:tcPr>
            <w:tcW w:w="850" w:type="dxa"/>
            <w:tcBorders>
              <w:top w:val="single" w:sz="4" w:space="0" w:color="808080" w:themeColor="background1" w:themeShade="80"/>
              <w:left w:val="nil"/>
              <w:bottom w:val="single" w:sz="4" w:space="0" w:color="808080" w:themeColor="background1" w:themeShade="80"/>
              <w:right w:val="nil"/>
            </w:tcBorders>
          </w:tcPr>
          <w:p w14:paraId="76746C57" w14:textId="77777777" w:rsidR="00EA2B5F" w:rsidRPr="00F25EBD" w:rsidRDefault="00EA2B5F" w:rsidP="00FC7062">
            <w:pPr>
              <w:spacing w:line="276" w:lineRule="auto"/>
              <w:jc w:val="center"/>
              <w:rPr>
                <w:rFonts w:asciiTheme="majorHAnsi" w:hAnsiTheme="majorHAnsi" w:cstheme="majorHAnsi"/>
                <w:sz w:val="20"/>
                <w:szCs w:val="20"/>
              </w:rPr>
            </w:pPr>
            <w:r w:rsidRPr="00F25EBD">
              <w:rPr>
                <w:rFonts w:asciiTheme="majorHAnsi" w:hAnsiTheme="majorHAnsi" w:cstheme="majorHAnsi"/>
                <w:sz w:val="20"/>
                <w:szCs w:val="20"/>
              </w:rPr>
              <w:t>44</w:t>
            </w:r>
          </w:p>
        </w:tc>
        <w:tc>
          <w:tcPr>
            <w:tcW w:w="851" w:type="dxa"/>
            <w:tcBorders>
              <w:top w:val="single" w:sz="4" w:space="0" w:color="808080" w:themeColor="background1" w:themeShade="80"/>
              <w:left w:val="nil"/>
              <w:bottom w:val="single" w:sz="4" w:space="0" w:color="808080" w:themeColor="background1" w:themeShade="80"/>
              <w:right w:val="nil"/>
            </w:tcBorders>
          </w:tcPr>
          <w:p w14:paraId="6B6D3FF6" w14:textId="77777777" w:rsidR="00EA2B5F" w:rsidRPr="00F25EBD" w:rsidRDefault="00EA2B5F" w:rsidP="00FC7062">
            <w:pPr>
              <w:spacing w:line="276" w:lineRule="auto"/>
              <w:jc w:val="center"/>
              <w:rPr>
                <w:rFonts w:asciiTheme="majorHAnsi" w:hAnsiTheme="majorHAnsi" w:cstheme="majorHAnsi"/>
                <w:sz w:val="20"/>
                <w:szCs w:val="20"/>
              </w:rPr>
            </w:pPr>
            <w:r w:rsidRPr="00F25EBD">
              <w:rPr>
                <w:rFonts w:asciiTheme="majorHAnsi" w:hAnsiTheme="majorHAnsi" w:cstheme="majorHAnsi"/>
                <w:sz w:val="20"/>
                <w:szCs w:val="20"/>
              </w:rPr>
              <w:t>-</w:t>
            </w:r>
          </w:p>
        </w:tc>
        <w:tc>
          <w:tcPr>
            <w:tcW w:w="1412" w:type="dxa"/>
            <w:tcBorders>
              <w:top w:val="single" w:sz="4" w:space="0" w:color="808080" w:themeColor="background1" w:themeShade="80"/>
              <w:left w:val="nil"/>
              <w:bottom w:val="single" w:sz="4" w:space="0" w:color="808080" w:themeColor="background1" w:themeShade="80"/>
              <w:right w:val="nil"/>
            </w:tcBorders>
          </w:tcPr>
          <w:p w14:paraId="593BB208" w14:textId="77777777" w:rsidR="00EA2B5F" w:rsidRPr="00F25EBD" w:rsidRDefault="00EA2B5F" w:rsidP="00FC7062">
            <w:pPr>
              <w:spacing w:line="276" w:lineRule="auto"/>
              <w:jc w:val="center"/>
              <w:rPr>
                <w:rFonts w:asciiTheme="majorHAnsi" w:hAnsiTheme="majorHAnsi" w:cstheme="majorHAnsi"/>
                <w:sz w:val="20"/>
                <w:szCs w:val="20"/>
              </w:rPr>
            </w:pPr>
            <w:r w:rsidRPr="00F25EBD">
              <w:rPr>
                <w:rFonts w:asciiTheme="majorHAnsi" w:hAnsiTheme="majorHAnsi" w:cstheme="majorHAnsi"/>
                <w:sz w:val="20"/>
                <w:szCs w:val="20"/>
              </w:rPr>
              <w:t>-</w:t>
            </w:r>
          </w:p>
        </w:tc>
      </w:tr>
    </w:tbl>
    <w:p w14:paraId="787F2A96" w14:textId="77777777" w:rsidR="00EA2B5F" w:rsidRPr="00F25EBD" w:rsidRDefault="00EA2B5F" w:rsidP="00FC7062">
      <w:pPr>
        <w:spacing w:before="120" w:after="120" w:line="276" w:lineRule="auto"/>
        <w:jc w:val="both"/>
        <w:rPr>
          <w:rFonts w:asciiTheme="majorHAnsi" w:hAnsiTheme="majorHAnsi" w:cstheme="majorHAnsi"/>
          <w:sz w:val="18"/>
          <w:szCs w:val="18"/>
        </w:rPr>
      </w:pPr>
      <w:r w:rsidRPr="00F25EBD">
        <w:rPr>
          <w:rFonts w:asciiTheme="majorHAnsi" w:hAnsiTheme="majorHAnsi" w:cstheme="majorHAnsi"/>
          <w:sz w:val="18"/>
          <w:szCs w:val="18"/>
        </w:rPr>
        <w:t>* nazewnictwo oddziałów wg kodów resortowych charakteryzujących specjalność komórki organizacyjnej zgodnie z częścią VIII systemu resortowych kodów identyfikacyjnych</w:t>
      </w:r>
    </w:p>
    <w:p w14:paraId="4191B102" w14:textId="77777777" w:rsidR="00EA2B5F" w:rsidRPr="00F25EBD" w:rsidRDefault="00EA2B5F" w:rsidP="005D522F">
      <w:pPr>
        <w:pStyle w:val="rdo"/>
      </w:pPr>
      <w:r w:rsidRPr="00F25EBD">
        <w:t>Źródło: opracowanie własne na podstawie https://rpwdl.csioz.gov.pl/RPM.</w:t>
      </w:r>
    </w:p>
    <w:p w14:paraId="0D405E97" w14:textId="77777777" w:rsidR="00EA2B5F" w:rsidRPr="00F25EBD" w:rsidRDefault="00EA2B5F" w:rsidP="00FC7062">
      <w:pPr>
        <w:spacing w:after="0" w:line="276" w:lineRule="auto"/>
        <w:jc w:val="both"/>
        <w:rPr>
          <w:rFonts w:asciiTheme="majorHAnsi" w:hAnsiTheme="majorHAnsi" w:cstheme="majorHAnsi"/>
        </w:rPr>
      </w:pPr>
    </w:p>
    <w:p w14:paraId="7979778E" w14:textId="28A88549" w:rsidR="00EA2B5F" w:rsidRDefault="00EA2B5F" w:rsidP="00DE0854">
      <w:pPr>
        <w:spacing w:line="276" w:lineRule="auto"/>
        <w:jc w:val="both"/>
        <w:rPr>
          <w:rFonts w:asciiTheme="majorHAnsi" w:hAnsiTheme="majorHAnsi" w:cstheme="majorHAnsi"/>
        </w:rPr>
      </w:pPr>
      <w:r w:rsidRPr="00F25EBD">
        <w:rPr>
          <w:rFonts w:asciiTheme="majorHAnsi" w:hAnsiTheme="majorHAnsi" w:cstheme="majorHAnsi"/>
        </w:rPr>
        <w:t xml:space="preserve">Wszystkie szpitale realizują (na miarę swoich możliwości finansowych) różnego rodzaju inwestycje, mające na celu podniesienie jakości świadczonej opieki medycznej. Poza </w:t>
      </w:r>
      <w:r w:rsidR="00610B18">
        <w:rPr>
          <w:rFonts w:asciiTheme="majorHAnsi" w:hAnsiTheme="majorHAnsi" w:cstheme="majorHAnsi"/>
        </w:rPr>
        <w:t>trzema</w:t>
      </w:r>
      <w:r w:rsidRPr="00F25EBD">
        <w:rPr>
          <w:rFonts w:asciiTheme="majorHAnsi" w:hAnsiTheme="majorHAnsi" w:cstheme="majorHAnsi"/>
        </w:rPr>
        <w:t xml:space="preserve"> przypadkami (ZOZ w</w:t>
      </w:r>
      <w:r w:rsidR="001676E7">
        <w:rPr>
          <w:rFonts w:asciiTheme="majorHAnsi" w:hAnsiTheme="majorHAnsi" w:cstheme="majorHAnsi"/>
        </w:rPr>
        <w:t> </w:t>
      </w:r>
      <w:r w:rsidRPr="00F25EBD">
        <w:rPr>
          <w:rFonts w:asciiTheme="majorHAnsi" w:hAnsiTheme="majorHAnsi" w:cstheme="majorHAnsi"/>
        </w:rPr>
        <w:t>Nidzicy, ZOZ w Szczytnie</w:t>
      </w:r>
      <w:r w:rsidR="00610B18">
        <w:rPr>
          <w:rFonts w:asciiTheme="majorHAnsi" w:hAnsiTheme="majorHAnsi" w:cstheme="majorHAnsi"/>
        </w:rPr>
        <w:t xml:space="preserve"> oraz ZOZ w Piszu</w:t>
      </w:r>
      <w:r w:rsidRPr="00F25EBD">
        <w:rPr>
          <w:rFonts w:asciiTheme="majorHAnsi" w:hAnsiTheme="majorHAnsi" w:cstheme="majorHAnsi"/>
        </w:rPr>
        <w:t>) sprowadzają się one do doposażania poszczególnych jednostek organizacyjnych w</w:t>
      </w:r>
      <w:r w:rsidR="007B04A7">
        <w:rPr>
          <w:rFonts w:asciiTheme="majorHAnsi" w:hAnsiTheme="majorHAnsi" w:cstheme="majorHAnsi"/>
        </w:rPr>
        <w:t xml:space="preserve"> </w:t>
      </w:r>
      <w:r w:rsidRPr="00F25EBD">
        <w:rPr>
          <w:rFonts w:asciiTheme="majorHAnsi" w:hAnsiTheme="majorHAnsi" w:cstheme="majorHAnsi"/>
        </w:rPr>
        <w:t>nowoczesny sprzęt medyczny. Projekty skutkujące przyrostem powierzchni szpitalnej i</w:t>
      </w:r>
      <w:r w:rsidR="007B04A7">
        <w:rPr>
          <w:rFonts w:asciiTheme="majorHAnsi" w:hAnsiTheme="majorHAnsi" w:cstheme="majorHAnsi"/>
        </w:rPr>
        <w:t xml:space="preserve"> </w:t>
      </w:r>
      <w:r w:rsidRPr="00F25EBD">
        <w:rPr>
          <w:rFonts w:asciiTheme="majorHAnsi" w:hAnsiTheme="majorHAnsi" w:cstheme="majorHAnsi"/>
        </w:rPr>
        <w:t>tym samym umożliwiające zwiększenie liczby łóżek realizowane są ob</w:t>
      </w:r>
      <w:r w:rsidR="001676E7">
        <w:rPr>
          <w:rFonts w:asciiTheme="majorHAnsi" w:hAnsiTheme="majorHAnsi" w:cstheme="majorHAnsi"/>
        </w:rPr>
        <w:t>ecnie w dwóch szpitalach, tj. w </w:t>
      </w:r>
      <w:r w:rsidRPr="00F25EBD">
        <w:rPr>
          <w:rFonts w:asciiTheme="majorHAnsi" w:hAnsiTheme="majorHAnsi" w:cstheme="majorHAnsi"/>
        </w:rPr>
        <w:t>Nidzicy i w Szczytnie. ZOZ w</w:t>
      </w:r>
      <w:r w:rsidR="007B04A7">
        <w:rPr>
          <w:rFonts w:asciiTheme="majorHAnsi" w:hAnsiTheme="majorHAnsi" w:cstheme="majorHAnsi"/>
        </w:rPr>
        <w:t xml:space="preserve"> </w:t>
      </w:r>
      <w:r w:rsidRPr="00F25EBD">
        <w:rPr>
          <w:rFonts w:asciiTheme="majorHAnsi" w:hAnsiTheme="majorHAnsi" w:cstheme="majorHAnsi"/>
        </w:rPr>
        <w:t>Nidzicy, korzystając ze wsparcia RPO Warmia i Mazury 2014-2020 (Poddziałanie 9.1.1 Rozwój specjalistycznych usług medycznych), kończy przedsięwzięcie pn. „Rozbudowa i doposażenie budynku Zespołu Opieki Zdrowotnej w Nidzicy na potrzeby udzielania świadczeń zdrowotnych dla osób starszych i niepełnosprawnych</w:t>
      </w:r>
      <w:r w:rsidR="00336D76" w:rsidRPr="00F25EBD">
        <w:rPr>
          <w:rFonts w:asciiTheme="majorHAnsi" w:hAnsiTheme="majorHAnsi" w:cstheme="majorHAnsi"/>
        </w:rPr>
        <w:t xml:space="preserve"> - </w:t>
      </w:r>
      <w:r w:rsidRPr="00F25EBD">
        <w:rPr>
          <w:rFonts w:asciiTheme="majorHAnsi" w:hAnsiTheme="majorHAnsi" w:cstheme="majorHAnsi"/>
        </w:rPr>
        <w:t>utworzenie Oddziału Geriatrycznego oraz pracowni TK”. W nowym budynku znajdzie się m.in. 28-łóżkowy oddział geriatryczny stanowiący odpowiedź na potrzeby zdrowotne starzejącego się społeczeństwa. W nowej części znajdzie się także miejsce na jeszcze jeden oddział (32-łóżkowy) oraz nowoczesny blok operacyjny. Z</w:t>
      </w:r>
      <w:r w:rsidR="007B04A7">
        <w:rPr>
          <w:rFonts w:asciiTheme="majorHAnsi" w:hAnsiTheme="majorHAnsi" w:cstheme="majorHAnsi"/>
        </w:rPr>
        <w:t xml:space="preserve"> </w:t>
      </w:r>
      <w:r w:rsidRPr="00F25EBD">
        <w:rPr>
          <w:rFonts w:asciiTheme="majorHAnsi" w:hAnsiTheme="majorHAnsi" w:cstheme="majorHAnsi"/>
        </w:rPr>
        <w:t>kolei powiat Szczycieński realizuje projekt pn. „Rozbudowa szpitala powiatowego ZOZ w Szczytnie”, w ramach którego zostanie wybudowane i oddane do użytku nowe skrzydło szpitala. Zlokalizowane zostaną w nim: oddział dziecięcy, oddział wewnętrzny, apteka szpitalna, laboratorium analityczne i</w:t>
      </w:r>
      <w:r w:rsidR="007B04A7">
        <w:rPr>
          <w:rFonts w:asciiTheme="majorHAnsi" w:hAnsiTheme="majorHAnsi" w:cstheme="majorHAnsi"/>
        </w:rPr>
        <w:t xml:space="preserve"> </w:t>
      </w:r>
      <w:r w:rsidR="00964063">
        <w:rPr>
          <w:rFonts w:asciiTheme="majorHAnsi" w:hAnsiTheme="majorHAnsi" w:cstheme="majorHAnsi"/>
        </w:rPr>
        <w:t xml:space="preserve">mikrobiologiczne, </w:t>
      </w:r>
      <w:r w:rsidRPr="00F25EBD">
        <w:rPr>
          <w:rFonts w:asciiTheme="majorHAnsi" w:hAnsiTheme="majorHAnsi" w:cstheme="majorHAnsi"/>
        </w:rPr>
        <w:t>pracownia endoskopowa, a zwolnione miejsce w starej części zajmie zakład opiekuńczo-leczniczy.</w:t>
      </w:r>
    </w:p>
    <w:p w14:paraId="0D546768" w14:textId="11B2FE21" w:rsidR="002B4B88" w:rsidRPr="002B4B88" w:rsidRDefault="00835E3B" w:rsidP="00DE0854">
      <w:pPr>
        <w:spacing w:line="276" w:lineRule="auto"/>
        <w:jc w:val="both"/>
        <w:rPr>
          <w:rFonts w:asciiTheme="majorHAnsi" w:hAnsiTheme="majorHAnsi" w:cstheme="majorHAnsi"/>
        </w:rPr>
      </w:pPr>
      <w:r w:rsidRPr="002B4B88">
        <w:rPr>
          <w:rFonts w:asciiTheme="majorHAnsi" w:hAnsiTheme="majorHAnsi" w:cstheme="majorHAnsi"/>
        </w:rPr>
        <w:t>W 2020</w:t>
      </w:r>
      <w:r w:rsidR="00F7062F">
        <w:rPr>
          <w:rFonts w:asciiTheme="majorHAnsi" w:hAnsiTheme="majorHAnsi" w:cstheme="majorHAnsi"/>
        </w:rPr>
        <w:t>r.</w:t>
      </w:r>
      <w:r w:rsidRPr="002B4B88">
        <w:rPr>
          <w:rFonts w:asciiTheme="majorHAnsi" w:hAnsiTheme="majorHAnsi" w:cstheme="majorHAnsi"/>
        </w:rPr>
        <w:t xml:space="preserve"> w SP ZOZ Szpitalu Powiatowym w Piszu zrealizowano projekt „Doposażenie SP ZOZ Szpitala Powiatowego w Piszu w narzędzia wspomagające walkę z COVID-19”. Doposażono szpital m.in. w sprzęt medyczny, urządzenia do dezynfekcji oraz ambulans transportowy do przewozu osób chorych (pacjentów zakaźnych wymagających leczenia w specjalistycznym szpitalu wyższego stopnia). Doposażenie służy pracy oddziału obserwacyjno-zakaźnego, izolatorium oraz całodobowego punktu pobrań materiału biologicznego.</w:t>
      </w:r>
      <w:r>
        <w:rPr>
          <w:rFonts w:asciiTheme="majorHAnsi" w:hAnsiTheme="majorHAnsi" w:cstheme="majorHAnsi"/>
        </w:rPr>
        <w:t xml:space="preserve"> </w:t>
      </w:r>
      <w:r w:rsidR="002B4B88" w:rsidRPr="002B4B88">
        <w:rPr>
          <w:rFonts w:asciiTheme="majorHAnsi" w:hAnsiTheme="majorHAnsi" w:cstheme="majorHAnsi"/>
        </w:rPr>
        <w:t xml:space="preserve">Jednym z najważniejszych w ostatnim czasie przedsięwzięć jest obecnie realizowany w SP ZOZ Szpitalu Powiatowym w Piszu, duży projekt „Przebudowa i rozbudowa oddziału obserwacyjno-zakaźnego na terenie SP ZOZ Szpitala Powiatowego w Piszu”. Kompleksowy remont zakłada przebudowę, rozbudowę i doposażenie oddziału obserwacyjno-zakaźnego. Celem głównym przedsięwzięcia jest podniesienie poziomu bezpieczeństwa osób zagrożonych chorobami zakaźnymi na obszarze Wielkich Jezior Mazurskich i całego województwa warmińsko-mazurskiego. Przedsięwzięcie odpowiada rosnącej potrzebie leczenia pacjentów z chorobami zakaźnymi (w tym </w:t>
      </w:r>
      <w:proofErr w:type="spellStart"/>
      <w:r w:rsidR="002B4B88" w:rsidRPr="002B4B88">
        <w:rPr>
          <w:rFonts w:asciiTheme="majorHAnsi" w:hAnsiTheme="majorHAnsi" w:cstheme="majorHAnsi"/>
        </w:rPr>
        <w:t>odkleszczowymi</w:t>
      </w:r>
      <w:proofErr w:type="spellEnd"/>
      <w:r w:rsidR="002B4B88" w:rsidRPr="002B4B88">
        <w:rPr>
          <w:rFonts w:asciiTheme="majorHAnsi" w:hAnsiTheme="majorHAnsi" w:cstheme="majorHAnsi"/>
        </w:rPr>
        <w:t xml:space="preserve">) </w:t>
      </w:r>
      <w:r w:rsidR="00EB3C7C">
        <w:rPr>
          <w:rFonts w:asciiTheme="majorHAnsi" w:hAnsiTheme="majorHAnsi" w:cstheme="majorHAnsi"/>
        </w:rPr>
        <w:br/>
      </w:r>
      <w:r w:rsidR="002B4B88" w:rsidRPr="002B4B88">
        <w:rPr>
          <w:rFonts w:asciiTheme="majorHAnsi" w:hAnsiTheme="majorHAnsi" w:cstheme="majorHAnsi"/>
        </w:rPr>
        <w:t xml:space="preserve">na terenie całego województwa warmińsko-mazurskiego. W wyniku rozbudowy oddziału nastąpią wzrost jakości usług medycznych w obszarze chorób zakaźnych oraz poprawa warunków leczenia chorób zakaźnych u pacjentów z całego </w:t>
      </w:r>
      <w:r>
        <w:rPr>
          <w:rFonts w:asciiTheme="majorHAnsi" w:hAnsiTheme="majorHAnsi" w:cstheme="majorHAnsi"/>
        </w:rPr>
        <w:t xml:space="preserve">województwa </w:t>
      </w:r>
      <w:r w:rsidR="002B4B88" w:rsidRPr="002B4B88">
        <w:rPr>
          <w:rFonts w:asciiTheme="majorHAnsi" w:hAnsiTheme="majorHAnsi" w:cstheme="majorHAnsi"/>
        </w:rPr>
        <w:t>warm</w:t>
      </w:r>
      <w:r>
        <w:rPr>
          <w:rFonts w:asciiTheme="majorHAnsi" w:hAnsiTheme="majorHAnsi" w:cstheme="majorHAnsi"/>
        </w:rPr>
        <w:t>ińsko</w:t>
      </w:r>
      <w:r w:rsidR="002B4B88" w:rsidRPr="002B4B88">
        <w:rPr>
          <w:rFonts w:asciiTheme="majorHAnsi" w:hAnsiTheme="majorHAnsi" w:cstheme="majorHAnsi"/>
        </w:rPr>
        <w:t>-maz</w:t>
      </w:r>
      <w:r>
        <w:rPr>
          <w:rFonts w:asciiTheme="majorHAnsi" w:hAnsiTheme="majorHAnsi" w:cstheme="majorHAnsi"/>
        </w:rPr>
        <w:t>urskiego</w:t>
      </w:r>
      <w:r w:rsidR="002B4B88" w:rsidRPr="002B4B88">
        <w:rPr>
          <w:rFonts w:asciiTheme="majorHAnsi" w:hAnsiTheme="majorHAnsi" w:cstheme="majorHAnsi"/>
        </w:rPr>
        <w:t>. (w tym zwiększeni</w:t>
      </w:r>
      <w:r>
        <w:rPr>
          <w:rFonts w:asciiTheme="majorHAnsi" w:hAnsiTheme="majorHAnsi" w:cstheme="majorHAnsi"/>
        </w:rPr>
        <w:t xml:space="preserve">e liczby pomieszczeń i łóżek). </w:t>
      </w:r>
    </w:p>
    <w:p w14:paraId="63C40CBB" w14:textId="1C151CE8" w:rsidR="00EA2B5F" w:rsidRPr="00F25EBD" w:rsidRDefault="00EA2B5F" w:rsidP="00DE0854">
      <w:pPr>
        <w:spacing w:line="276" w:lineRule="auto"/>
        <w:jc w:val="both"/>
        <w:rPr>
          <w:rFonts w:asciiTheme="majorHAnsi" w:hAnsiTheme="majorHAnsi" w:cstheme="majorHAnsi"/>
        </w:rPr>
      </w:pPr>
      <w:r w:rsidRPr="00F25EBD">
        <w:rPr>
          <w:rFonts w:asciiTheme="majorHAnsi" w:hAnsiTheme="majorHAnsi" w:cstheme="majorHAnsi"/>
        </w:rPr>
        <w:t xml:space="preserve">Jakość usług medycznych wszystkich szczebli i sprawne działanie placówek ochrony zdrowia zależy </w:t>
      </w:r>
      <w:r w:rsidR="00EB3C7C">
        <w:rPr>
          <w:rFonts w:asciiTheme="majorHAnsi" w:hAnsiTheme="majorHAnsi" w:cstheme="majorHAnsi"/>
        </w:rPr>
        <w:br/>
      </w:r>
      <w:r w:rsidRPr="00F25EBD">
        <w:rPr>
          <w:rFonts w:asciiTheme="majorHAnsi" w:hAnsiTheme="majorHAnsi" w:cstheme="majorHAnsi"/>
        </w:rPr>
        <w:t>w</w:t>
      </w:r>
      <w:r w:rsidR="007B04A7">
        <w:rPr>
          <w:rFonts w:asciiTheme="majorHAnsi" w:hAnsiTheme="majorHAnsi" w:cstheme="majorHAnsi"/>
        </w:rPr>
        <w:t xml:space="preserve"> </w:t>
      </w:r>
      <w:r w:rsidRPr="00F25EBD">
        <w:rPr>
          <w:rFonts w:asciiTheme="majorHAnsi" w:hAnsiTheme="majorHAnsi" w:cstheme="majorHAnsi"/>
        </w:rPr>
        <w:t>głównej mierze od zatrudnionej tam kadry medycznej. W 2019</w:t>
      </w:r>
      <w:r w:rsidR="00F7062F">
        <w:rPr>
          <w:rFonts w:asciiTheme="majorHAnsi" w:hAnsiTheme="majorHAnsi" w:cstheme="majorHAnsi"/>
        </w:rPr>
        <w:t>r.</w:t>
      </w:r>
      <w:r w:rsidRPr="00F25EBD">
        <w:rPr>
          <w:rFonts w:asciiTheme="majorHAnsi" w:hAnsiTheme="majorHAnsi" w:cstheme="majorHAnsi"/>
        </w:rPr>
        <w:t xml:space="preserve"> na 10 tys. mieszkańców PM przypadało średnio 23 lekarzy oraz 43 pielęgniarki i położne, co plasowało Południowe Mazury znacznie poniżej średniej krajowej (58 lekarzy/10 tys. mieszkańców; 72 pielęgniarki i położne/10 tys. mieszkańców) i wojewódzkiej (37 lekarzy/10 tys. mieszkańców, 61 pielęgniarki i położne/10 tys. mieszkańców). Najkorzystniejsza sytuacja w zakresie opieki lekarskiej panowała w powiecie nidzickim, w którym na 10 tys. mieszkańców przypadało 26 lekarzy, natomiast najmniej korzystna w</w:t>
      </w:r>
      <w:r w:rsidR="007B04A7">
        <w:rPr>
          <w:rFonts w:asciiTheme="majorHAnsi" w:hAnsiTheme="majorHAnsi" w:cstheme="majorHAnsi"/>
        </w:rPr>
        <w:t xml:space="preserve"> </w:t>
      </w:r>
      <w:proofErr w:type="spellStart"/>
      <w:r w:rsidRPr="00F25EBD">
        <w:rPr>
          <w:rFonts w:asciiTheme="majorHAnsi" w:hAnsiTheme="majorHAnsi" w:cstheme="majorHAnsi"/>
        </w:rPr>
        <w:t>piskim</w:t>
      </w:r>
      <w:proofErr w:type="spellEnd"/>
      <w:r w:rsidR="00336D76" w:rsidRPr="00F25EBD">
        <w:rPr>
          <w:rFonts w:asciiTheme="majorHAnsi" w:hAnsiTheme="majorHAnsi" w:cstheme="majorHAnsi"/>
        </w:rPr>
        <w:t xml:space="preserve"> - </w:t>
      </w:r>
      <w:r w:rsidRPr="00F25EBD">
        <w:rPr>
          <w:rFonts w:asciiTheme="majorHAnsi" w:hAnsiTheme="majorHAnsi" w:cstheme="majorHAnsi"/>
        </w:rPr>
        <w:t>20 lekarzy/10 tys. mieszkańców. Z kolei największa liczba pielęgniarek i</w:t>
      </w:r>
      <w:r w:rsidR="007B04A7">
        <w:rPr>
          <w:rFonts w:asciiTheme="majorHAnsi" w:hAnsiTheme="majorHAnsi" w:cstheme="majorHAnsi"/>
        </w:rPr>
        <w:t xml:space="preserve"> </w:t>
      </w:r>
      <w:r w:rsidRPr="00F25EBD">
        <w:rPr>
          <w:rFonts w:asciiTheme="majorHAnsi" w:hAnsiTheme="majorHAnsi" w:cstheme="majorHAnsi"/>
        </w:rPr>
        <w:t>położnych w</w:t>
      </w:r>
      <w:r w:rsidR="007B04A7">
        <w:rPr>
          <w:rFonts w:asciiTheme="majorHAnsi" w:hAnsiTheme="majorHAnsi" w:cstheme="majorHAnsi"/>
        </w:rPr>
        <w:t xml:space="preserve"> </w:t>
      </w:r>
      <w:r w:rsidRPr="00F25EBD">
        <w:rPr>
          <w:rFonts w:asciiTheme="majorHAnsi" w:hAnsiTheme="majorHAnsi" w:cstheme="majorHAnsi"/>
        </w:rPr>
        <w:t>przeliczeniu na 10 tys. mieszkańców pracowała w powiecie działdowskim (57), natomiast najniższa w nidzickim (31). Liczba kadry medycznej (lekarzy, pielęgniarek i położnych) zmieniała się w czasie. Porównanie analizowanych wskaźników w dwóch momentach czasowych, tj. roku bazowym (2010) i</w:t>
      </w:r>
      <w:r w:rsidR="007B04A7">
        <w:rPr>
          <w:rFonts w:asciiTheme="majorHAnsi" w:hAnsiTheme="majorHAnsi" w:cstheme="majorHAnsi"/>
        </w:rPr>
        <w:t xml:space="preserve"> </w:t>
      </w:r>
      <w:r w:rsidRPr="00F25EBD">
        <w:rPr>
          <w:rFonts w:asciiTheme="majorHAnsi" w:hAnsiTheme="majorHAnsi" w:cstheme="majorHAnsi"/>
        </w:rPr>
        <w:t>końcowym (2019) wykazało wzrost liczby lekarzy o 4,5% i redukcję personelu pielęgniarskiego o</w:t>
      </w:r>
      <w:r w:rsidR="007B04A7">
        <w:rPr>
          <w:rFonts w:asciiTheme="majorHAnsi" w:hAnsiTheme="majorHAnsi" w:cstheme="majorHAnsi"/>
        </w:rPr>
        <w:t xml:space="preserve"> </w:t>
      </w:r>
      <w:r w:rsidRPr="00F25EBD">
        <w:rPr>
          <w:rFonts w:asciiTheme="majorHAnsi" w:hAnsiTheme="majorHAnsi" w:cstheme="majorHAnsi"/>
        </w:rPr>
        <w:t>6,2%. Zmiany liczebności kadry medycznej w poszczególnych powiatach przedstawione są na poniższych rysunkach.</w:t>
      </w:r>
    </w:p>
    <w:p w14:paraId="12E0AA55" w14:textId="591048AE" w:rsidR="00EA2B5F" w:rsidRPr="00F25EBD" w:rsidRDefault="00EA2B5F" w:rsidP="005D522F">
      <w:pPr>
        <w:pStyle w:val="nad"/>
      </w:pPr>
      <w:bookmarkStart w:id="69" w:name="_Toc81301554"/>
      <w:r w:rsidRPr="00F25EBD">
        <w:t xml:space="preserve">Rysunek </w:t>
      </w:r>
      <w:r w:rsidRPr="00F25EBD">
        <w:rPr>
          <w:noProof/>
        </w:rPr>
        <w:fldChar w:fldCharType="begin"/>
      </w:r>
      <w:r w:rsidRPr="00F25EBD">
        <w:rPr>
          <w:noProof/>
        </w:rPr>
        <w:instrText xml:space="preserve"> SEQ Rysunek \* ARABIC </w:instrText>
      </w:r>
      <w:r w:rsidRPr="00F25EBD">
        <w:rPr>
          <w:noProof/>
        </w:rPr>
        <w:fldChar w:fldCharType="separate"/>
      </w:r>
      <w:r w:rsidR="006C7815">
        <w:rPr>
          <w:noProof/>
        </w:rPr>
        <w:t>26</w:t>
      </w:r>
      <w:r w:rsidRPr="00F25EBD">
        <w:rPr>
          <w:noProof/>
        </w:rPr>
        <w:fldChar w:fldCharType="end"/>
      </w:r>
      <w:r w:rsidRPr="00F25EBD">
        <w:t>. Liczba lekarzy (personel pracujący ogółem) na 10 tys. mieszkańców w latach 2010-2018</w:t>
      </w:r>
      <w:bookmarkEnd w:id="69"/>
    </w:p>
    <w:p w14:paraId="4FF3466F" w14:textId="77777777" w:rsidR="00EA2B5F" w:rsidRPr="00F25EBD" w:rsidRDefault="00EA2B5F" w:rsidP="00FC7062">
      <w:pPr>
        <w:spacing w:after="0" w:line="276" w:lineRule="auto"/>
        <w:jc w:val="center"/>
        <w:rPr>
          <w:rFonts w:asciiTheme="majorHAnsi" w:hAnsiTheme="majorHAnsi" w:cstheme="majorHAnsi"/>
        </w:rPr>
      </w:pPr>
      <w:r w:rsidRPr="00F25EBD">
        <w:rPr>
          <w:rFonts w:asciiTheme="majorHAnsi" w:hAnsiTheme="majorHAnsi" w:cstheme="majorHAnsi"/>
          <w:noProof/>
          <w:lang w:eastAsia="pl-PL"/>
        </w:rPr>
        <w:drawing>
          <wp:inline distT="0" distB="0" distL="0" distR="0" wp14:anchorId="7F6DFEB9" wp14:editId="40909B5E">
            <wp:extent cx="5759450" cy="2606040"/>
            <wp:effectExtent l="0" t="0" r="12700" b="3810"/>
            <wp:docPr id="29" name="Wykres 29">
              <a:extLst xmlns:a="http://schemas.openxmlformats.org/drawingml/2006/main">
                <a:ext uri="{FF2B5EF4-FFF2-40B4-BE49-F238E27FC236}">
                  <a16:creationId xmlns:a16="http://schemas.microsoft.com/office/drawing/2014/main" id="{72F70F4C-A039-4A5A-A63F-1E9BC4FE920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42E1FC12" w14:textId="77777777" w:rsidR="00EA2B5F" w:rsidRPr="00F25EBD" w:rsidRDefault="00EA2B5F" w:rsidP="005D522F">
      <w:pPr>
        <w:pStyle w:val="rdo"/>
      </w:pPr>
      <w:r w:rsidRPr="00F25EBD">
        <w:t>Źródło: opracowanie własne na podstawie danych BDL.</w:t>
      </w:r>
    </w:p>
    <w:p w14:paraId="30647EE2" w14:textId="0B11ABE2" w:rsidR="00EA2B5F" w:rsidRPr="00F25EBD" w:rsidRDefault="00EA2B5F" w:rsidP="005D522F">
      <w:pPr>
        <w:pStyle w:val="nad"/>
      </w:pPr>
      <w:bookmarkStart w:id="70" w:name="_Toc81301555"/>
      <w:r w:rsidRPr="00F25EBD">
        <w:t xml:space="preserve">Rysunek </w:t>
      </w:r>
      <w:r w:rsidRPr="00F25EBD">
        <w:rPr>
          <w:noProof/>
        </w:rPr>
        <w:fldChar w:fldCharType="begin"/>
      </w:r>
      <w:r w:rsidRPr="00F25EBD">
        <w:rPr>
          <w:noProof/>
        </w:rPr>
        <w:instrText xml:space="preserve"> SEQ Rysunek \* ARABIC </w:instrText>
      </w:r>
      <w:r w:rsidRPr="00F25EBD">
        <w:rPr>
          <w:noProof/>
        </w:rPr>
        <w:fldChar w:fldCharType="separate"/>
      </w:r>
      <w:r w:rsidR="006C7815">
        <w:rPr>
          <w:noProof/>
        </w:rPr>
        <w:t>27</w:t>
      </w:r>
      <w:r w:rsidRPr="00F25EBD">
        <w:rPr>
          <w:noProof/>
        </w:rPr>
        <w:fldChar w:fldCharType="end"/>
      </w:r>
      <w:r w:rsidRPr="00F25EBD">
        <w:t>. Liczba pielęgniarek i położnych (personel pracujący ogółem) na 10 tys. mieszkańców w latach 2010-2018</w:t>
      </w:r>
      <w:bookmarkEnd w:id="70"/>
    </w:p>
    <w:p w14:paraId="1A64722E" w14:textId="77777777" w:rsidR="00EA2B5F" w:rsidRPr="00F25EBD" w:rsidRDefault="00EA2B5F" w:rsidP="00FC7062">
      <w:pPr>
        <w:spacing w:after="0" w:line="276" w:lineRule="auto"/>
        <w:jc w:val="center"/>
        <w:rPr>
          <w:rFonts w:asciiTheme="majorHAnsi" w:hAnsiTheme="majorHAnsi" w:cstheme="majorHAnsi"/>
        </w:rPr>
      </w:pPr>
      <w:r w:rsidRPr="00F25EBD">
        <w:rPr>
          <w:rFonts w:asciiTheme="majorHAnsi" w:hAnsiTheme="majorHAnsi" w:cstheme="majorHAnsi"/>
          <w:noProof/>
          <w:lang w:eastAsia="pl-PL"/>
        </w:rPr>
        <w:drawing>
          <wp:inline distT="0" distB="0" distL="0" distR="0" wp14:anchorId="46BC2246" wp14:editId="58765133">
            <wp:extent cx="5760000" cy="2606400"/>
            <wp:effectExtent l="0" t="0" r="12700" b="3810"/>
            <wp:docPr id="31" name="Wykres 31">
              <a:extLst xmlns:a="http://schemas.openxmlformats.org/drawingml/2006/main">
                <a:ext uri="{FF2B5EF4-FFF2-40B4-BE49-F238E27FC236}">
                  <a16:creationId xmlns:a16="http://schemas.microsoft.com/office/drawing/2014/main" id="{DA282489-B62B-46C7-A719-D206FE011FF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1A7D0C88" w14:textId="77777777" w:rsidR="00EA2B5F" w:rsidRPr="00F25EBD" w:rsidRDefault="00EA2B5F" w:rsidP="005D522F">
      <w:pPr>
        <w:pStyle w:val="rdo"/>
      </w:pPr>
      <w:r w:rsidRPr="00F25EBD">
        <w:t>Źródło: opracowanie własne na podstawie danych BDL.</w:t>
      </w:r>
    </w:p>
    <w:p w14:paraId="4A566B43" w14:textId="77777777" w:rsidR="00EA2B5F" w:rsidRPr="00F25EBD" w:rsidRDefault="00EA2B5F" w:rsidP="00FC7062">
      <w:pPr>
        <w:spacing w:after="0" w:line="276" w:lineRule="auto"/>
        <w:jc w:val="both"/>
        <w:rPr>
          <w:rFonts w:asciiTheme="majorHAnsi" w:hAnsiTheme="majorHAnsi" w:cstheme="majorHAnsi"/>
        </w:rPr>
      </w:pPr>
    </w:p>
    <w:p w14:paraId="705DC978" w14:textId="21D77C54" w:rsidR="00EA2B5F" w:rsidRPr="00F25EBD" w:rsidRDefault="00EA2B5F" w:rsidP="00FC7062">
      <w:pPr>
        <w:spacing w:after="0" w:line="276" w:lineRule="auto"/>
        <w:jc w:val="both"/>
        <w:rPr>
          <w:rFonts w:asciiTheme="majorHAnsi" w:hAnsiTheme="majorHAnsi" w:cstheme="majorHAnsi"/>
        </w:rPr>
      </w:pPr>
      <w:r w:rsidRPr="00F25EBD">
        <w:rPr>
          <w:rFonts w:asciiTheme="majorHAnsi" w:hAnsiTheme="majorHAnsi" w:cstheme="majorHAnsi"/>
        </w:rPr>
        <w:t>Uzupełnienie infrastruktury ochrony zdrowia stanowią apteki i punkty apteczne. W 2019</w:t>
      </w:r>
      <w:r w:rsidR="00F7062F">
        <w:rPr>
          <w:rFonts w:asciiTheme="majorHAnsi" w:hAnsiTheme="majorHAnsi" w:cstheme="majorHAnsi"/>
        </w:rPr>
        <w:t>r.</w:t>
      </w:r>
      <w:r w:rsidRPr="00F25EBD">
        <w:rPr>
          <w:rFonts w:asciiTheme="majorHAnsi" w:hAnsiTheme="majorHAnsi" w:cstheme="majorHAnsi"/>
        </w:rPr>
        <w:t xml:space="preserve"> na terenie Południowych Mazur na jedną aptekę ogólnodostępną przypadało 3.725 osób, tj. o 601 więcej niż ogółem w kraju i o 280 więcej niż średnio w regionie. Najmniejszym nasyceniem tymi obiektami</w:t>
      </w:r>
      <w:r w:rsidR="00EB3C7C">
        <w:rPr>
          <w:rFonts w:asciiTheme="majorHAnsi" w:hAnsiTheme="majorHAnsi" w:cstheme="majorHAnsi"/>
        </w:rPr>
        <w:br/>
      </w:r>
      <w:r w:rsidRPr="00F25EBD">
        <w:rPr>
          <w:rFonts w:asciiTheme="majorHAnsi" w:hAnsiTheme="majorHAnsi" w:cstheme="majorHAnsi"/>
        </w:rPr>
        <w:t xml:space="preserve"> i</w:t>
      </w:r>
      <w:r w:rsidR="007B04A7">
        <w:rPr>
          <w:rFonts w:asciiTheme="majorHAnsi" w:hAnsiTheme="majorHAnsi" w:cstheme="majorHAnsi"/>
        </w:rPr>
        <w:t xml:space="preserve"> </w:t>
      </w:r>
      <w:r w:rsidRPr="00F25EBD">
        <w:rPr>
          <w:rFonts w:asciiTheme="majorHAnsi" w:hAnsiTheme="majorHAnsi" w:cstheme="majorHAnsi"/>
        </w:rPr>
        <w:t>największą stabilnością w tym zakresie charakteryzował się powiat piski, w którym na jedną aptekę przypadało 4.678 mieszkańców, redukcja liczby tych obiektów w latach 2010-2019 wyniosła 4,1%. Z</w:t>
      </w:r>
      <w:r w:rsidR="007B04A7">
        <w:rPr>
          <w:rFonts w:asciiTheme="majorHAnsi" w:hAnsiTheme="majorHAnsi" w:cstheme="majorHAnsi"/>
        </w:rPr>
        <w:t xml:space="preserve"> </w:t>
      </w:r>
      <w:r w:rsidRPr="00F25EBD">
        <w:rPr>
          <w:rFonts w:asciiTheme="majorHAnsi" w:hAnsiTheme="majorHAnsi" w:cstheme="majorHAnsi"/>
        </w:rPr>
        <w:t>kolei największe nasycenie i najmniej stabilna sytuacja panowały w powiecie działdowskim, w</w:t>
      </w:r>
      <w:r w:rsidR="007B04A7">
        <w:rPr>
          <w:rFonts w:asciiTheme="majorHAnsi" w:hAnsiTheme="majorHAnsi" w:cstheme="majorHAnsi"/>
        </w:rPr>
        <w:t xml:space="preserve"> </w:t>
      </w:r>
      <w:r w:rsidRPr="00F25EBD">
        <w:rPr>
          <w:rFonts w:asciiTheme="majorHAnsi" w:hAnsiTheme="majorHAnsi" w:cstheme="majorHAnsi"/>
        </w:rPr>
        <w:t>którym w 2019</w:t>
      </w:r>
      <w:r w:rsidR="00F7062F">
        <w:rPr>
          <w:rFonts w:asciiTheme="majorHAnsi" w:hAnsiTheme="majorHAnsi" w:cstheme="majorHAnsi"/>
        </w:rPr>
        <w:t>r.</w:t>
      </w:r>
      <w:r w:rsidRPr="00F25EBD">
        <w:rPr>
          <w:rFonts w:asciiTheme="majorHAnsi" w:hAnsiTheme="majorHAnsi" w:cstheme="majorHAnsi"/>
        </w:rPr>
        <w:t xml:space="preserve"> na jedną aptekę przypadało 3.102 osoby, a ubytek tych obiektów w latach 2010-2019 wyniósł 30,4%.</w:t>
      </w:r>
    </w:p>
    <w:p w14:paraId="59070285" w14:textId="77777777" w:rsidR="00EA2B5F" w:rsidRPr="00F25EBD" w:rsidRDefault="00EA2B5F" w:rsidP="00FC7062">
      <w:pPr>
        <w:spacing w:after="0" w:line="276" w:lineRule="auto"/>
        <w:jc w:val="both"/>
        <w:rPr>
          <w:rFonts w:asciiTheme="majorHAnsi" w:hAnsiTheme="majorHAnsi" w:cstheme="majorHAnsi"/>
        </w:rPr>
      </w:pPr>
    </w:p>
    <w:p w14:paraId="7CF880F4" w14:textId="4E15EB71" w:rsidR="00EA2B5F" w:rsidRPr="00F25EBD" w:rsidRDefault="005D522F" w:rsidP="005D522F">
      <w:pPr>
        <w:pStyle w:val="Nagwek2"/>
        <w:spacing w:before="0"/>
        <w:jc w:val="both"/>
        <w:rPr>
          <w:rFonts w:cstheme="majorHAnsi"/>
        </w:rPr>
      </w:pPr>
      <w:bookmarkStart w:id="71" w:name="_Toc77070618"/>
      <w:r>
        <w:rPr>
          <w:rFonts w:cstheme="majorHAnsi"/>
        </w:rPr>
        <w:t xml:space="preserve">6.5 </w:t>
      </w:r>
      <w:r w:rsidR="00EA2B5F" w:rsidRPr="00F25EBD">
        <w:rPr>
          <w:rFonts w:cstheme="majorHAnsi"/>
        </w:rPr>
        <w:t>Opieka i pomoc społeczna</w:t>
      </w:r>
      <w:bookmarkEnd w:id="71"/>
    </w:p>
    <w:p w14:paraId="6C7BA82D" w14:textId="3317AA5C" w:rsidR="00EA2B5F" w:rsidRPr="00F25EBD" w:rsidRDefault="00EA2B5F" w:rsidP="00FC7062">
      <w:pPr>
        <w:spacing w:after="0" w:line="276" w:lineRule="auto"/>
        <w:jc w:val="both"/>
        <w:rPr>
          <w:rFonts w:asciiTheme="majorHAnsi" w:hAnsiTheme="majorHAnsi" w:cstheme="majorHAnsi"/>
        </w:rPr>
      </w:pPr>
      <w:r w:rsidRPr="00F25EBD">
        <w:rPr>
          <w:rFonts w:asciiTheme="majorHAnsi" w:hAnsiTheme="majorHAnsi" w:cstheme="majorHAnsi"/>
        </w:rPr>
        <w:t xml:space="preserve">Na terenie Południowych Mazur występują liczne problemy społeczne spowodowane w głównej mierze przez niskie zarobki uniemożliwiające zapewnienie rodzinom godnej egzystencji (26,5% przyczyn, </w:t>
      </w:r>
      <w:r w:rsidR="00EB3C7C">
        <w:rPr>
          <w:rFonts w:asciiTheme="majorHAnsi" w:hAnsiTheme="majorHAnsi" w:cstheme="majorHAnsi"/>
        </w:rPr>
        <w:br/>
      </w:r>
      <w:r w:rsidRPr="00F25EBD">
        <w:rPr>
          <w:rFonts w:asciiTheme="majorHAnsi" w:hAnsiTheme="majorHAnsi" w:cstheme="majorHAnsi"/>
        </w:rPr>
        <w:t>z</w:t>
      </w:r>
      <w:r w:rsidR="007B04A7">
        <w:rPr>
          <w:rFonts w:asciiTheme="majorHAnsi" w:hAnsiTheme="majorHAnsi" w:cstheme="majorHAnsi"/>
        </w:rPr>
        <w:t xml:space="preserve"> </w:t>
      </w:r>
      <w:r w:rsidRPr="00F25EBD">
        <w:rPr>
          <w:rFonts w:asciiTheme="majorHAnsi" w:hAnsiTheme="majorHAnsi" w:cstheme="majorHAnsi"/>
        </w:rPr>
        <w:t>powodu których w 2019</w:t>
      </w:r>
      <w:r w:rsidR="00F7062F">
        <w:rPr>
          <w:rFonts w:asciiTheme="majorHAnsi" w:hAnsiTheme="majorHAnsi" w:cstheme="majorHAnsi"/>
        </w:rPr>
        <w:t>r.</w:t>
      </w:r>
      <w:r w:rsidRPr="00F25EBD">
        <w:rPr>
          <w:rFonts w:asciiTheme="majorHAnsi" w:hAnsiTheme="majorHAnsi" w:cstheme="majorHAnsi"/>
        </w:rPr>
        <w:t xml:space="preserve"> przyznano świadczenie z pomocy społecznej), bezrobocie (19,1%), </w:t>
      </w:r>
      <w:r w:rsidRPr="00F25EBD">
        <w:rPr>
          <w:rFonts w:asciiTheme="majorHAnsi" w:eastAsia="Times New Roman" w:hAnsiTheme="majorHAnsi" w:cstheme="majorHAnsi"/>
          <w:lang w:eastAsia="pl-PL"/>
        </w:rPr>
        <w:t>długotrwałą lub ciężką chorobę (18,5%), niepełnosprawność (16,0%), a także bezradność w</w:t>
      </w:r>
      <w:r w:rsidR="007B04A7">
        <w:rPr>
          <w:rFonts w:asciiTheme="majorHAnsi" w:eastAsia="Times New Roman" w:hAnsiTheme="majorHAnsi" w:cstheme="majorHAnsi"/>
          <w:lang w:eastAsia="pl-PL"/>
        </w:rPr>
        <w:t xml:space="preserve"> </w:t>
      </w:r>
      <w:r w:rsidRPr="00F25EBD">
        <w:rPr>
          <w:rFonts w:asciiTheme="majorHAnsi" w:eastAsia="Times New Roman" w:hAnsiTheme="majorHAnsi" w:cstheme="majorHAnsi"/>
          <w:lang w:eastAsia="pl-PL"/>
        </w:rPr>
        <w:t>sprawach opiekuńczo-wychowawczych i prowadzenia gospodarstwa domowego (9,0%). W</w:t>
      </w:r>
      <w:r w:rsidR="007B04A7">
        <w:rPr>
          <w:rFonts w:asciiTheme="majorHAnsi" w:eastAsia="Times New Roman" w:hAnsiTheme="majorHAnsi" w:cstheme="majorHAnsi"/>
          <w:lang w:eastAsia="pl-PL"/>
        </w:rPr>
        <w:t xml:space="preserve"> </w:t>
      </w:r>
      <w:r w:rsidRPr="00F25EBD">
        <w:rPr>
          <w:rFonts w:asciiTheme="majorHAnsi" w:eastAsia="Times New Roman" w:hAnsiTheme="majorHAnsi" w:cstheme="majorHAnsi"/>
          <w:lang w:eastAsia="pl-PL"/>
        </w:rPr>
        <w:t>ostatnich latach dzięki korzystnej sytuacji gospodarczej i rządowym programom socjalnym położenie osób borykających się z</w:t>
      </w:r>
      <w:r w:rsidR="007B7167">
        <w:rPr>
          <w:rFonts w:asciiTheme="majorHAnsi" w:eastAsia="Times New Roman" w:hAnsiTheme="majorHAnsi" w:cstheme="majorHAnsi"/>
          <w:lang w:eastAsia="pl-PL"/>
        </w:rPr>
        <w:t> </w:t>
      </w:r>
      <w:r w:rsidRPr="00F25EBD">
        <w:rPr>
          <w:rFonts w:asciiTheme="majorHAnsi" w:eastAsia="Times New Roman" w:hAnsiTheme="majorHAnsi" w:cstheme="majorHAnsi"/>
          <w:lang w:eastAsia="pl-PL"/>
        </w:rPr>
        <w:t>problemami uległo poprawie. Liczba rodzin, które uzyskały wsparcie z tytułu bezrobocia była w</w:t>
      </w:r>
      <w:r w:rsidR="007B04A7">
        <w:rPr>
          <w:rFonts w:asciiTheme="majorHAnsi" w:eastAsia="Times New Roman" w:hAnsiTheme="majorHAnsi" w:cstheme="majorHAnsi"/>
          <w:lang w:eastAsia="pl-PL"/>
        </w:rPr>
        <w:t xml:space="preserve"> </w:t>
      </w:r>
      <w:r w:rsidRPr="00F25EBD">
        <w:rPr>
          <w:rFonts w:asciiTheme="majorHAnsi" w:eastAsia="Times New Roman" w:hAnsiTheme="majorHAnsi" w:cstheme="majorHAnsi"/>
          <w:lang w:eastAsia="pl-PL"/>
        </w:rPr>
        <w:t>2019</w:t>
      </w:r>
      <w:r w:rsidR="00F7062F">
        <w:rPr>
          <w:rFonts w:asciiTheme="majorHAnsi" w:eastAsia="Times New Roman" w:hAnsiTheme="majorHAnsi" w:cstheme="majorHAnsi"/>
          <w:lang w:eastAsia="pl-PL"/>
        </w:rPr>
        <w:t>r.</w:t>
      </w:r>
      <w:r w:rsidRPr="00F25EBD">
        <w:rPr>
          <w:rFonts w:asciiTheme="majorHAnsi" w:eastAsia="Times New Roman" w:hAnsiTheme="majorHAnsi" w:cstheme="majorHAnsi"/>
          <w:lang w:eastAsia="pl-PL"/>
        </w:rPr>
        <w:t xml:space="preserve"> o ponad połowę (57,2%) niższa od zarejestrowanej w</w:t>
      </w:r>
      <w:r w:rsidR="007B04A7">
        <w:rPr>
          <w:rFonts w:asciiTheme="majorHAnsi" w:eastAsia="Times New Roman" w:hAnsiTheme="majorHAnsi" w:cstheme="majorHAnsi"/>
          <w:lang w:eastAsia="pl-PL"/>
        </w:rPr>
        <w:t xml:space="preserve"> </w:t>
      </w:r>
      <w:r w:rsidRPr="00F25EBD">
        <w:rPr>
          <w:rFonts w:asciiTheme="majorHAnsi" w:eastAsia="Times New Roman" w:hAnsiTheme="majorHAnsi" w:cstheme="majorHAnsi"/>
          <w:lang w:eastAsia="pl-PL"/>
        </w:rPr>
        <w:t>2014</w:t>
      </w:r>
      <w:r w:rsidR="00F7062F">
        <w:rPr>
          <w:rFonts w:asciiTheme="majorHAnsi" w:eastAsia="Times New Roman" w:hAnsiTheme="majorHAnsi" w:cstheme="majorHAnsi"/>
          <w:lang w:eastAsia="pl-PL"/>
        </w:rPr>
        <w:t>r.</w:t>
      </w:r>
      <w:r w:rsidRPr="00F25EBD">
        <w:rPr>
          <w:rFonts w:asciiTheme="majorHAnsi" w:eastAsia="Times New Roman" w:hAnsiTheme="majorHAnsi" w:cstheme="majorHAnsi"/>
          <w:lang w:eastAsia="pl-PL"/>
        </w:rPr>
        <w:t xml:space="preserve"> Znacznemu zmniejszeniu uległa również liczba decyzji o udzielenie pomocy w związku z</w:t>
      </w:r>
      <w:r w:rsidR="007B04A7">
        <w:rPr>
          <w:rFonts w:asciiTheme="majorHAnsi" w:eastAsia="Times New Roman" w:hAnsiTheme="majorHAnsi" w:cstheme="majorHAnsi"/>
          <w:lang w:eastAsia="pl-PL"/>
        </w:rPr>
        <w:t xml:space="preserve"> </w:t>
      </w:r>
      <w:r w:rsidRPr="00F25EBD">
        <w:rPr>
          <w:rFonts w:asciiTheme="majorHAnsi" w:eastAsia="Times New Roman" w:hAnsiTheme="majorHAnsi" w:cstheme="majorHAnsi"/>
          <w:lang w:eastAsia="pl-PL"/>
        </w:rPr>
        <w:t>ubóstwem (-37,6%), bezradnością (-37,1%), a</w:t>
      </w:r>
      <w:r w:rsidR="007B04A7">
        <w:rPr>
          <w:rFonts w:asciiTheme="majorHAnsi" w:eastAsia="Times New Roman" w:hAnsiTheme="majorHAnsi" w:cstheme="majorHAnsi"/>
          <w:lang w:eastAsia="pl-PL"/>
        </w:rPr>
        <w:t xml:space="preserve"> </w:t>
      </w:r>
      <w:r w:rsidRPr="00F25EBD">
        <w:rPr>
          <w:rFonts w:asciiTheme="majorHAnsi" w:eastAsia="Times New Roman" w:hAnsiTheme="majorHAnsi" w:cstheme="majorHAnsi"/>
          <w:lang w:eastAsia="pl-PL"/>
        </w:rPr>
        <w:t>także potrzebą ochrony macierzyństwa (-30,2%). Zmiany liczby decyzji na mocy których w latach 2014-2019 przyznawane były rodzinom świadczenia z</w:t>
      </w:r>
      <w:r w:rsidR="007B04A7">
        <w:rPr>
          <w:rFonts w:asciiTheme="majorHAnsi" w:eastAsia="Times New Roman" w:hAnsiTheme="majorHAnsi" w:cstheme="majorHAnsi"/>
          <w:lang w:eastAsia="pl-PL"/>
        </w:rPr>
        <w:t xml:space="preserve"> </w:t>
      </w:r>
      <w:r w:rsidRPr="00F25EBD">
        <w:rPr>
          <w:rFonts w:asciiTheme="majorHAnsi" w:eastAsia="Times New Roman" w:hAnsiTheme="majorHAnsi" w:cstheme="majorHAnsi"/>
          <w:lang w:eastAsia="pl-PL"/>
        </w:rPr>
        <w:t>pomocy społecznej przedstawione są na poniższym rysunku.</w:t>
      </w:r>
    </w:p>
    <w:p w14:paraId="2E6C05AE" w14:textId="3CCD3B20" w:rsidR="00EA2B5F" w:rsidRPr="00F25EBD" w:rsidRDefault="00EA2B5F" w:rsidP="005D522F">
      <w:pPr>
        <w:pStyle w:val="nad"/>
      </w:pPr>
      <w:bookmarkStart w:id="72" w:name="_Toc81301556"/>
      <w:r w:rsidRPr="00F25EBD">
        <w:t xml:space="preserve">Rysunek </w:t>
      </w:r>
      <w:r w:rsidRPr="00F25EBD">
        <w:rPr>
          <w:noProof/>
        </w:rPr>
        <w:fldChar w:fldCharType="begin"/>
      </w:r>
      <w:r w:rsidRPr="00F25EBD">
        <w:rPr>
          <w:noProof/>
        </w:rPr>
        <w:instrText xml:space="preserve"> SEQ Rysunek \* ARABIC </w:instrText>
      </w:r>
      <w:r w:rsidRPr="00F25EBD">
        <w:rPr>
          <w:noProof/>
        </w:rPr>
        <w:fldChar w:fldCharType="separate"/>
      </w:r>
      <w:r w:rsidR="006C7815">
        <w:rPr>
          <w:noProof/>
        </w:rPr>
        <w:t>28</w:t>
      </w:r>
      <w:r w:rsidRPr="00F25EBD">
        <w:rPr>
          <w:noProof/>
        </w:rPr>
        <w:fldChar w:fldCharType="end"/>
      </w:r>
      <w:r w:rsidRPr="00F25EBD">
        <w:t>. Rodziny, którym na podstawie decyzji przyznano pomoc wg przyczyn (2014-2019)</w:t>
      </w:r>
      <w:bookmarkEnd w:id="72"/>
    </w:p>
    <w:p w14:paraId="0122BE34" w14:textId="77777777" w:rsidR="00EA2B5F" w:rsidRPr="00F25EBD" w:rsidRDefault="00EA2B5F" w:rsidP="00FC7062">
      <w:pPr>
        <w:spacing w:after="0" w:line="276" w:lineRule="auto"/>
        <w:jc w:val="center"/>
        <w:rPr>
          <w:rFonts w:asciiTheme="majorHAnsi" w:hAnsiTheme="majorHAnsi" w:cstheme="majorHAnsi"/>
        </w:rPr>
      </w:pPr>
      <w:r w:rsidRPr="00F25EBD">
        <w:rPr>
          <w:rFonts w:asciiTheme="majorHAnsi" w:hAnsiTheme="majorHAnsi" w:cstheme="majorHAnsi"/>
          <w:noProof/>
          <w:lang w:eastAsia="pl-PL"/>
        </w:rPr>
        <w:drawing>
          <wp:inline distT="0" distB="0" distL="0" distR="0" wp14:anchorId="391DF547" wp14:editId="7511EE9E">
            <wp:extent cx="5759450" cy="2647507"/>
            <wp:effectExtent l="0" t="0" r="12700" b="635"/>
            <wp:docPr id="32" name="Wykres 32">
              <a:extLst xmlns:a="http://schemas.openxmlformats.org/drawingml/2006/main">
                <a:ext uri="{FF2B5EF4-FFF2-40B4-BE49-F238E27FC236}">
                  <a16:creationId xmlns:a16="http://schemas.microsoft.com/office/drawing/2014/main" id="{70A97010-7240-4C94-B1E0-301A4C79621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2CE78A23" w14:textId="77777777" w:rsidR="00EA2B5F" w:rsidRPr="00F25EBD" w:rsidRDefault="00EA2B5F" w:rsidP="00FC7062">
      <w:pPr>
        <w:spacing w:after="0" w:line="276" w:lineRule="auto"/>
        <w:jc w:val="both"/>
        <w:rPr>
          <w:rFonts w:asciiTheme="majorHAnsi" w:hAnsiTheme="majorHAnsi" w:cstheme="majorHAnsi"/>
          <w:sz w:val="18"/>
          <w:szCs w:val="18"/>
        </w:rPr>
      </w:pPr>
      <w:r w:rsidRPr="00F25EBD">
        <w:rPr>
          <w:rFonts w:asciiTheme="majorHAnsi" w:hAnsiTheme="majorHAnsi" w:cstheme="majorHAnsi"/>
          <w:sz w:val="18"/>
          <w:szCs w:val="18"/>
        </w:rPr>
        <w:t>Źródło: opracowanie własne na podstawie danych BDL.</w:t>
      </w:r>
    </w:p>
    <w:p w14:paraId="49AB31DD" w14:textId="77777777" w:rsidR="00EA2B5F" w:rsidRPr="00F25EBD" w:rsidRDefault="00EA2B5F" w:rsidP="00FC7062">
      <w:pPr>
        <w:spacing w:after="0" w:line="276" w:lineRule="auto"/>
        <w:jc w:val="both"/>
        <w:rPr>
          <w:rFonts w:asciiTheme="majorHAnsi" w:hAnsiTheme="majorHAnsi" w:cstheme="majorHAnsi"/>
        </w:rPr>
      </w:pPr>
    </w:p>
    <w:p w14:paraId="47A4C5C3" w14:textId="52BF1C03" w:rsidR="00EA2B5F" w:rsidRPr="00F25EBD" w:rsidRDefault="00EA2B5F" w:rsidP="00DE0854">
      <w:pPr>
        <w:autoSpaceDE w:val="0"/>
        <w:autoSpaceDN w:val="0"/>
        <w:adjustRightInd w:val="0"/>
        <w:spacing w:line="276" w:lineRule="auto"/>
        <w:jc w:val="both"/>
        <w:rPr>
          <w:rFonts w:asciiTheme="majorHAnsi" w:hAnsiTheme="majorHAnsi" w:cstheme="majorHAnsi"/>
        </w:rPr>
      </w:pPr>
      <w:r w:rsidRPr="00F25EBD">
        <w:rPr>
          <w:rFonts w:asciiTheme="majorHAnsi" w:hAnsiTheme="majorHAnsi" w:cstheme="majorHAnsi"/>
        </w:rPr>
        <w:t>Zadania z zakresu pomocy i wsparcia na rzecz mieszkańców zagrożonych wykluczeniem społecznym realizowane są na terenie Południowych Mazur zarówno przez jednostki organizacyjne szczebla gminnego (miejskie i gminne ośrodki pomocy społecznej), jak i powiatowego (powiatowe centra pomocy rodzinie). Ośrodki pomocy społecznej realizują świadczenia w postaci środowiskowej pomocy społecznej w miejscu zamieszkania (pobytu) świadczeniobiorcy. Pomoc ta wraz ze stacjonarnymi formami pomocy społecznej tworzą System Pomocy Społecznej, który funkcjonuje w</w:t>
      </w:r>
      <w:r w:rsidR="007B04A7">
        <w:rPr>
          <w:rFonts w:asciiTheme="majorHAnsi" w:hAnsiTheme="majorHAnsi" w:cstheme="majorHAnsi"/>
        </w:rPr>
        <w:t xml:space="preserve"> </w:t>
      </w:r>
      <w:r w:rsidRPr="00F25EBD">
        <w:rPr>
          <w:rFonts w:asciiTheme="majorHAnsi" w:hAnsiTheme="majorHAnsi" w:cstheme="majorHAnsi"/>
        </w:rPr>
        <w:t>oparciu o ustawę o pomocy społecznej z 12 marca 2004</w:t>
      </w:r>
      <w:r w:rsidR="00F7062F">
        <w:rPr>
          <w:rFonts w:asciiTheme="majorHAnsi" w:hAnsiTheme="majorHAnsi" w:cstheme="majorHAnsi"/>
        </w:rPr>
        <w:t>r.</w:t>
      </w:r>
      <w:r w:rsidRPr="00F25EBD">
        <w:rPr>
          <w:rStyle w:val="Odwoanieprzypisudolnego"/>
          <w:rFonts w:asciiTheme="majorHAnsi" w:hAnsiTheme="majorHAnsi" w:cstheme="majorHAnsi"/>
        </w:rPr>
        <w:footnoteReference w:id="44"/>
      </w:r>
      <w:r w:rsidRPr="00F25EBD">
        <w:rPr>
          <w:rFonts w:asciiTheme="majorHAnsi" w:hAnsiTheme="majorHAnsi" w:cstheme="majorHAnsi"/>
        </w:rPr>
        <w:t>.</w:t>
      </w:r>
    </w:p>
    <w:p w14:paraId="17F10723" w14:textId="5838CDD2" w:rsidR="00EA2B5F" w:rsidRDefault="00EA2B5F" w:rsidP="00DE0854">
      <w:pPr>
        <w:autoSpaceDE w:val="0"/>
        <w:autoSpaceDN w:val="0"/>
        <w:adjustRightInd w:val="0"/>
        <w:spacing w:line="276" w:lineRule="auto"/>
        <w:jc w:val="both"/>
        <w:rPr>
          <w:rFonts w:asciiTheme="majorHAnsi" w:hAnsiTheme="majorHAnsi" w:cstheme="majorHAnsi"/>
        </w:rPr>
      </w:pPr>
      <w:r w:rsidRPr="00F25EBD">
        <w:rPr>
          <w:rFonts w:asciiTheme="majorHAnsi" w:hAnsiTheme="majorHAnsi" w:cstheme="majorHAnsi"/>
        </w:rPr>
        <w:t>W 2018</w:t>
      </w:r>
      <w:r w:rsidR="00F7062F">
        <w:rPr>
          <w:rFonts w:asciiTheme="majorHAnsi" w:hAnsiTheme="majorHAnsi" w:cstheme="majorHAnsi"/>
        </w:rPr>
        <w:t>r.</w:t>
      </w:r>
      <w:r w:rsidRPr="00F25EBD">
        <w:rPr>
          <w:rFonts w:asciiTheme="majorHAnsi" w:hAnsiTheme="majorHAnsi" w:cstheme="majorHAnsi"/>
        </w:rPr>
        <w:t xml:space="preserve"> na 10 tys. mieszkańców przypadało 954 beneficjentów środowiskowej pomocy społecznej, tj. o 441 więcej niż średnio w kraju i o 81 więcej niż średnio w regionie. Najwięcej osób korzystających ze wsparcia zamieszkiwało powiat szczycieński (1.062 osoby/10 tys. mieszkańców), natomiast najmniej działdowski (849 osób/10 tys. mieszkańców). Pozytywne jest to, że począwszy od 2013</w:t>
      </w:r>
      <w:r w:rsidR="00F7062F">
        <w:rPr>
          <w:rFonts w:asciiTheme="majorHAnsi" w:hAnsiTheme="majorHAnsi" w:cstheme="majorHAnsi"/>
        </w:rPr>
        <w:t>r.</w:t>
      </w:r>
      <w:r w:rsidRPr="00F25EBD">
        <w:rPr>
          <w:rFonts w:asciiTheme="majorHAnsi" w:hAnsiTheme="majorHAnsi" w:cstheme="majorHAnsi"/>
        </w:rPr>
        <w:t xml:space="preserve"> wszystkie jednostki administracyjne PM odnotowały spadek liczby osób objętych wsparciem, przy czym największa redukcja (-43,1%) nastąpiła w powiecie </w:t>
      </w:r>
      <w:proofErr w:type="spellStart"/>
      <w:r w:rsidRPr="00F25EBD">
        <w:rPr>
          <w:rFonts w:asciiTheme="majorHAnsi" w:hAnsiTheme="majorHAnsi" w:cstheme="majorHAnsi"/>
        </w:rPr>
        <w:t>piskim</w:t>
      </w:r>
      <w:proofErr w:type="spellEnd"/>
      <w:r w:rsidRPr="00F25EBD">
        <w:rPr>
          <w:rFonts w:asciiTheme="majorHAnsi" w:hAnsiTheme="majorHAnsi" w:cstheme="majorHAnsi"/>
        </w:rPr>
        <w:t xml:space="preserve">. Zmiany te (z wyjątkiem powiatu działdowskiego) przewyższyły wartość wskaźnika wyznaczonego zarówno dla kraju (-38,3%), jak i dla województwa </w:t>
      </w:r>
      <w:r w:rsidR="009042CB">
        <w:rPr>
          <w:rFonts w:asciiTheme="majorHAnsi" w:hAnsiTheme="majorHAnsi" w:cstheme="majorHAnsi"/>
        </w:rPr>
        <w:br/>
      </w:r>
      <w:r w:rsidRPr="00F25EBD">
        <w:rPr>
          <w:rFonts w:asciiTheme="majorHAnsi" w:hAnsiTheme="majorHAnsi" w:cstheme="majorHAnsi"/>
        </w:rPr>
        <w:t>(-37,5%). Krótkotrwały wzrost liczby beneficjentów w latach 2012-2013 wynikał głównie z</w:t>
      </w:r>
      <w:r w:rsidR="001676E7">
        <w:rPr>
          <w:rFonts w:asciiTheme="majorHAnsi" w:hAnsiTheme="majorHAnsi" w:cstheme="majorHAnsi"/>
        </w:rPr>
        <w:t> </w:t>
      </w:r>
      <w:r w:rsidRPr="00F25EBD">
        <w:rPr>
          <w:rFonts w:asciiTheme="majorHAnsi" w:hAnsiTheme="majorHAnsi" w:cstheme="majorHAnsi"/>
        </w:rPr>
        <w:t>podwyższenia, po 6-letniej przerwie, kryterium dochodowego w 2012</w:t>
      </w:r>
      <w:r w:rsidR="00F7062F">
        <w:rPr>
          <w:rFonts w:asciiTheme="majorHAnsi" w:hAnsiTheme="majorHAnsi" w:cstheme="majorHAnsi"/>
        </w:rPr>
        <w:t>r.</w:t>
      </w:r>
      <w:r w:rsidRPr="00F25EBD">
        <w:rPr>
          <w:rFonts w:asciiTheme="majorHAnsi" w:hAnsiTheme="majorHAnsi" w:cstheme="majorHAnsi"/>
        </w:rPr>
        <w:t xml:space="preserve"> Kolejne podwyżki kwoty kryterium dochodowego, w latach 2015 i 2018 nie zaburzyły już tendencji spadkowej</w:t>
      </w:r>
      <w:r w:rsidRPr="00F25EBD">
        <w:rPr>
          <w:rStyle w:val="Odwoanieprzypisudolnego"/>
          <w:rFonts w:asciiTheme="majorHAnsi" w:hAnsiTheme="majorHAnsi" w:cstheme="majorHAnsi"/>
        </w:rPr>
        <w:footnoteReference w:id="45"/>
      </w:r>
      <w:r w:rsidRPr="00F25EBD">
        <w:rPr>
          <w:rFonts w:asciiTheme="majorHAnsi" w:hAnsiTheme="majorHAnsi" w:cstheme="majorHAnsi"/>
        </w:rPr>
        <w:t>. Liczba beneficjentów środowiskowej pomocy społecznej w powiatach PM w latach 2010-2018 przedstawiona jest na poniższym rysunku.</w:t>
      </w:r>
    </w:p>
    <w:p w14:paraId="317EC0A7" w14:textId="7B69984B" w:rsidR="00EA2B5F" w:rsidRPr="00F25EBD" w:rsidRDefault="00EA2B5F" w:rsidP="005D522F">
      <w:pPr>
        <w:pStyle w:val="nad"/>
      </w:pPr>
      <w:bookmarkStart w:id="73" w:name="_Toc81301557"/>
      <w:r w:rsidRPr="00F25EBD">
        <w:t xml:space="preserve">Rysunek </w:t>
      </w:r>
      <w:r w:rsidRPr="00F25EBD">
        <w:rPr>
          <w:noProof/>
        </w:rPr>
        <w:fldChar w:fldCharType="begin"/>
      </w:r>
      <w:r w:rsidRPr="00F25EBD">
        <w:rPr>
          <w:noProof/>
        </w:rPr>
        <w:instrText xml:space="preserve"> SEQ Rysunek \* ARABIC </w:instrText>
      </w:r>
      <w:r w:rsidRPr="00F25EBD">
        <w:rPr>
          <w:noProof/>
        </w:rPr>
        <w:fldChar w:fldCharType="separate"/>
      </w:r>
      <w:r w:rsidR="006C7815">
        <w:rPr>
          <w:noProof/>
        </w:rPr>
        <w:t>29</w:t>
      </w:r>
      <w:r w:rsidRPr="00F25EBD">
        <w:rPr>
          <w:noProof/>
        </w:rPr>
        <w:fldChar w:fldCharType="end"/>
      </w:r>
      <w:r w:rsidRPr="00F25EBD">
        <w:t>. Beneficjenci środowiskowej pomocy społecznej w powiatach PM w latach 2010-2018</w:t>
      </w:r>
      <w:bookmarkEnd w:id="73"/>
    </w:p>
    <w:p w14:paraId="66B1883A" w14:textId="77777777" w:rsidR="00EA2B5F" w:rsidRPr="00F25EBD" w:rsidRDefault="00EA2B5F" w:rsidP="00FC7062">
      <w:pPr>
        <w:autoSpaceDE w:val="0"/>
        <w:autoSpaceDN w:val="0"/>
        <w:adjustRightInd w:val="0"/>
        <w:spacing w:after="0" w:line="276" w:lineRule="auto"/>
        <w:jc w:val="center"/>
        <w:rPr>
          <w:rFonts w:asciiTheme="majorHAnsi" w:hAnsiTheme="majorHAnsi" w:cstheme="majorHAnsi"/>
        </w:rPr>
      </w:pPr>
      <w:r w:rsidRPr="00F25EBD">
        <w:rPr>
          <w:rFonts w:asciiTheme="majorHAnsi" w:hAnsiTheme="majorHAnsi" w:cstheme="majorHAnsi"/>
          <w:noProof/>
          <w:lang w:eastAsia="pl-PL"/>
        </w:rPr>
        <w:drawing>
          <wp:inline distT="0" distB="0" distL="0" distR="0" wp14:anchorId="30C73CD8" wp14:editId="3AD7A688">
            <wp:extent cx="5759450" cy="2169041"/>
            <wp:effectExtent l="0" t="0" r="12700" b="3175"/>
            <wp:docPr id="34" name="Wykres 34">
              <a:extLst xmlns:a="http://schemas.openxmlformats.org/drawingml/2006/main">
                <a:ext uri="{FF2B5EF4-FFF2-40B4-BE49-F238E27FC236}">
                  <a16:creationId xmlns:a16="http://schemas.microsoft.com/office/drawing/2014/main" id="{29D4120C-7C85-426F-9D97-A70EC4FA08D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43C416CD" w14:textId="77777777" w:rsidR="00EA2B5F" w:rsidRPr="00F25EBD" w:rsidRDefault="00EA2B5F" w:rsidP="005D522F">
      <w:pPr>
        <w:pStyle w:val="rdo"/>
      </w:pPr>
      <w:r w:rsidRPr="00F25EBD">
        <w:t>Źródło: opracowanie własne na podstawie danych BDL.</w:t>
      </w:r>
    </w:p>
    <w:p w14:paraId="539B6C71" w14:textId="4A9C9655" w:rsidR="00EA2B5F" w:rsidRPr="00F25EBD" w:rsidRDefault="00EA2B5F" w:rsidP="00DE0854">
      <w:pPr>
        <w:autoSpaceDE w:val="0"/>
        <w:autoSpaceDN w:val="0"/>
        <w:adjustRightInd w:val="0"/>
        <w:spacing w:line="276" w:lineRule="auto"/>
        <w:jc w:val="both"/>
        <w:rPr>
          <w:rFonts w:asciiTheme="majorHAnsi" w:hAnsiTheme="majorHAnsi" w:cstheme="majorHAnsi"/>
        </w:rPr>
      </w:pPr>
      <w:r w:rsidRPr="00F25EBD">
        <w:rPr>
          <w:rFonts w:asciiTheme="majorHAnsi" w:hAnsiTheme="majorHAnsi" w:cstheme="majorHAnsi"/>
        </w:rPr>
        <w:t>Większość beneficjentów korzystających ze wsparcia to osoby w wieku przedprodukcyjnym (35,4% ogółu korzystających ze środowiskowej pomocy społecznej), a następnie produkcyjnym mobilnym (33,2%) i produkcyjnym niemobilnym (22,4%). Niemal ¾ tych osób uzyskało pomoc ze względu na kryterium dochodowe, co oznacza że ich miesięczny dochód był niższy niż 701,00 zł (w przypadku osoby samotnie gospodarującej) lub 528,00 zł dla osoby w rodzinie. Łącznie teren Południowych Mazur zamieszkiwało 15.750 takich osób, co stanowiło 7,1% ogółu mieszkańców. Na przestrzeni lat 2010-2018 ich udział w grupie objętej wsparciem zmniejszył się o 0,4 pkt. proc., przy czym w</w:t>
      </w:r>
      <w:r w:rsidR="007B04A7">
        <w:rPr>
          <w:rFonts w:asciiTheme="majorHAnsi" w:hAnsiTheme="majorHAnsi" w:cstheme="majorHAnsi"/>
        </w:rPr>
        <w:t xml:space="preserve"> </w:t>
      </w:r>
      <w:r w:rsidRPr="00F25EBD">
        <w:rPr>
          <w:rFonts w:asciiTheme="majorHAnsi" w:hAnsiTheme="majorHAnsi" w:cstheme="majorHAnsi"/>
        </w:rPr>
        <w:t xml:space="preserve">poszczególnych powiatach PM pojawiły się dosyć znaczne rozpiętości w tym zakresie. Największy ubytek (-7,1 pkt. proc.) wystąpił w powiecie nidzickim, natomiast wzrost w działdowskim (+3,8 pkt. proc.). </w:t>
      </w:r>
    </w:p>
    <w:p w14:paraId="5A9C57AB" w14:textId="77777777" w:rsidR="00EA2B5F" w:rsidRPr="00F25EBD" w:rsidRDefault="00EA2B5F" w:rsidP="00DE0854">
      <w:pPr>
        <w:autoSpaceDE w:val="0"/>
        <w:autoSpaceDN w:val="0"/>
        <w:adjustRightInd w:val="0"/>
        <w:spacing w:line="276" w:lineRule="auto"/>
        <w:jc w:val="both"/>
        <w:rPr>
          <w:rFonts w:asciiTheme="majorHAnsi" w:hAnsiTheme="majorHAnsi" w:cstheme="majorHAnsi"/>
        </w:rPr>
      </w:pPr>
      <w:r w:rsidRPr="00F25EBD">
        <w:rPr>
          <w:rFonts w:asciiTheme="majorHAnsi" w:hAnsiTheme="majorHAnsi" w:cstheme="majorHAnsi"/>
        </w:rPr>
        <w:t xml:space="preserve">Drugim wymiarem systemu pomocy społecznej jest pomoc stacjonarna polegająca na zapewnianiu miejsca, utrzymania oraz całodobowej pomocy i opieki lub pomocy i opieki w zorganizowanych formach w ciągu dnia (np. w placówkach wsparcia dziennego), dla pojedynczych osób. </w:t>
      </w:r>
    </w:p>
    <w:p w14:paraId="2A339AFC" w14:textId="37AAE73E" w:rsidR="005D522F" w:rsidRDefault="00EA2B5F" w:rsidP="00DE0854">
      <w:pPr>
        <w:autoSpaceDE w:val="0"/>
        <w:autoSpaceDN w:val="0"/>
        <w:adjustRightInd w:val="0"/>
        <w:spacing w:line="276" w:lineRule="auto"/>
        <w:jc w:val="both"/>
        <w:rPr>
          <w:rFonts w:asciiTheme="majorHAnsi" w:hAnsiTheme="majorHAnsi" w:cstheme="majorHAnsi"/>
        </w:rPr>
      </w:pPr>
      <w:r w:rsidRPr="00F25EBD">
        <w:rPr>
          <w:rFonts w:asciiTheme="majorHAnsi" w:hAnsiTheme="majorHAnsi" w:cstheme="majorHAnsi"/>
        </w:rPr>
        <w:t>W 2019</w:t>
      </w:r>
      <w:r w:rsidR="00F7062F">
        <w:rPr>
          <w:rFonts w:asciiTheme="majorHAnsi" w:hAnsiTheme="majorHAnsi" w:cstheme="majorHAnsi"/>
        </w:rPr>
        <w:t>r.</w:t>
      </w:r>
      <w:r w:rsidRPr="00F25EBD">
        <w:rPr>
          <w:rFonts w:asciiTheme="majorHAnsi" w:hAnsiTheme="majorHAnsi" w:cstheme="majorHAnsi"/>
        </w:rPr>
        <w:t xml:space="preserve"> na terenie Południowych Mazur funkcjonowało 7 palcówek stacjonarnej pomocy społecznej, w tym cztery domy pomocy społecznej (po jednym w każdym powiecie). Dysponowały one 402 miejscami, które zajmowało 391 osób. Większość mieszkańców stanowili przewlekle psychicznie chorzy (324) oraz niepełnosprawni intelektualnie dorośli, dzieci i młodzież (29). Samorząd powiatu pełnił funkcję organu nadzorującego w dwóch przypadkach, tj. dla Domu Pomocy Społecznej dla osób przewlekle psychicznie chorych w Uzdowie (powiat </w:t>
      </w:r>
      <w:r w:rsidR="009042CB">
        <w:rPr>
          <w:rFonts w:asciiTheme="majorHAnsi" w:hAnsiTheme="majorHAnsi" w:cstheme="majorHAnsi"/>
        </w:rPr>
        <w:t>d</w:t>
      </w:r>
      <w:r w:rsidRPr="00F25EBD">
        <w:rPr>
          <w:rFonts w:asciiTheme="majorHAnsi" w:hAnsiTheme="majorHAnsi" w:cstheme="majorHAnsi"/>
        </w:rPr>
        <w:t xml:space="preserve">ziałdowski) oraz Dom Pomocy Społecznej im. Jana Pawła II w Szczytnie (powiat </w:t>
      </w:r>
      <w:r w:rsidR="009042CB">
        <w:rPr>
          <w:rFonts w:asciiTheme="majorHAnsi" w:hAnsiTheme="majorHAnsi" w:cstheme="majorHAnsi"/>
        </w:rPr>
        <w:t>s</w:t>
      </w:r>
      <w:r w:rsidRPr="00F25EBD">
        <w:rPr>
          <w:rFonts w:asciiTheme="majorHAnsi" w:hAnsiTheme="majorHAnsi" w:cstheme="majorHAnsi"/>
        </w:rPr>
        <w:t>zczycieński). Pozostałe placówki prowadzone były prze organy niepubliczne.</w:t>
      </w:r>
      <w:r w:rsidR="005D522F">
        <w:rPr>
          <w:rFonts w:asciiTheme="majorHAnsi" w:hAnsiTheme="majorHAnsi" w:cstheme="majorHAnsi"/>
        </w:rPr>
        <w:br w:type="page"/>
      </w:r>
    </w:p>
    <w:p w14:paraId="350CE02B" w14:textId="7E1C8FB0" w:rsidR="00EA2B5F" w:rsidRPr="00F25EBD" w:rsidRDefault="005D522F" w:rsidP="005D522F">
      <w:pPr>
        <w:pStyle w:val="Nagwek1"/>
        <w:spacing w:line="276" w:lineRule="auto"/>
        <w:jc w:val="both"/>
        <w:rPr>
          <w:rFonts w:cstheme="majorHAnsi"/>
        </w:rPr>
      </w:pPr>
      <w:bookmarkStart w:id="74" w:name="_Toc77070619"/>
      <w:r>
        <w:rPr>
          <w:rFonts w:cstheme="majorHAnsi"/>
        </w:rPr>
        <w:t xml:space="preserve">7. </w:t>
      </w:r>
      <w:r w:rsidR="00EA2B5F" w:rsidRPr="00F25EBD">
        <w:rPr>
          <w:rFonts w:cstheme="majorHAnsi"/>
        </w:rPr>
        <w:t>Zarządzanie</w:t>
      </w:r>
      <w:bookmarkEnd w:id="74"/>
    </w:p>
    <w:p w14:paraId="153A9100" w14:textId="45996FA4" w:rsidR="00EA2B5F" w:rsidRPr="005D522F" w:rsidRDefault="005D522F" w:rsidP="005D522F">
      <w:pPr>
        <w:pStyle w:val="Nagwek2"/>
      </w:pPr>
      <w:bookmarkStart w:id="75" w:name="_Toc77070620"/>
      <w:r w:rsidRPr="005D522F">
        <w:t xml:space="preserve">7.1 </w:t>
      </w:r>
      <w:r w:rsidR="00EA2B5F" w:rsidRPr="005D522F">
        <w:t>Analiza dochodów i wydatków budżetów powiatów</w:t>
      </w:r>
      <w:bookmarkEnd w:id="75"/>
    </w:p>
    <w:p w14:paraId="6B287987" w14:textId="7774663A" w:rsidR="00EA2B5F" w:rsidRPr="00F25EBD" w:rsidRDefault="00EA2B5F" w:rsidP="00FC7062">
      <w:pPr>
        <w:spacing w:after="0" w:line="276" w:lineRule="auto"/>
        <w:jc w:val="both"/>
        <w:rPr>
          <w:rFonts w:asciiTheme="majorHAnsi" w:hAnsiTheme="majorHAnsi" w:cstheme="majorHAnsi"/>
        </w:rPr>
      </w:pPr>
      <w:r w:rsidRPr="00F25EBD">
        <w:rPr>
          <w:rFonts w:asciiTheme="majorHAnsi" w:hAnsiTheme="majorHAnsi" w:cstheme="majorHAnsi"/>
        </w:rPr>
        <w:t>W 2019</w:t>
      </w:r>
      <w:r w:rsidR="00F7062F">
        <w:rPr>
          <w:rFonts w:asciiTheme="majorHAnsi" w:hAnsiTheme="majorHAnsi" w:cstheme="majorHAnsi"/>
        </w:rPr>
        <w:t>r.</w:t>
      </w:r>
      <w:r w:rsidRPr="00F25EBD">
        <w:rPr>
          <w:rFonts w:asciiTheme="majorHAnsi" w:hAnsiTheme="majorHAnsi" w:cstheme="majorHAnsi"/>
        </w:rPr>
        <w:t xml:space="preserve"> powiaty Południowych Mazur wygenerowały łączne dochody w wysokości 287.204.746,40</w:t>
      </w:r>
      <w:r w:rsidR="007B04A7">
        <w:rPr>
          <w:rFonts w:asciiTheme="majorHAnsi" w:hAnsiTheme="majorHAnsi" w:cstheme="majorHAnsi"/>
        </w:rPr>
        <w:t xml:space="preserve"> </w:t>
      </w:r>
      <w:r w:rsidRPr="00F25EBD">
        <w:rPr>
          <w:rFonts w:asciiTheme="majorHAnsi" w:hAnsiTheme="majorHAnsi" w:cstheme="majorHAnsi"/>
        </w:rPr>
        <w:t>zł, co stanowiło 18,3% dochodów wypracowanych przez wszystkie powiaty województwa warmińsko-mazurskiego. Z tej kwoty 29,0% przypadało na powiat szczycieński, 26,0% na działdowski, 25,6% na piski i 19,4% na nidzicki. Z</w:t>
      </w:r>
      <w:r w:rsidR="007B04A7">
        <w:rPr>
          <w:rFonts w:asciiTheme="majorHAnsi" w:hAnsiTheme="majorHAnsi" w:cstheme="majorHAnsi"/>
        </w:rPr>
        <w:t xml:space="preserve"> </w:t>
      </w:r>
      <w:r w:rsidRPr="00F25EBD">
        <w:rPr>
          <w:rFonts w:asciiTheme="majorHAnsi" w:hAnsiTheme="majorHAnsi" w:cstheme="majorHAnsi"/>
        </w:rPr>
        <w:t>uwagi na to, że wielkość dochodów budżetowych w ujęciu bezwzględnym nie obrazuje w pełni sytuacji danej jednostki wynikającej np. z jej wielkości, wskazana była ich relatywizacja względem liczby mieszkańców (W</w:t>
      </w:r>
      <w:r w:rsidRPr="00F25EBD">
        <w:rPr>
          <w:rFonts w:asciiTheme="majorHAnsi" w:hAnsiTheme="majorHAnsi" w:cstheme="majorHAnsi"/>
          <w:vertAlign w:val="subscript"/>
        </w:rPr>
        <w:t>D/M</w:t>
      </w:r>
      <w:r w:rsidRPr="00F25EBD">
        <w:rPr>
          <w:rFonts w:asciiTheme="majorHAnsi" w:hAnsiTheme="majorHAnsi" w:cstheme="majorHAnsi"/>
        </w:rPr>
        <w:t>). W takim ujęciu, najkorzystniejsza sytuacja panowała w</w:t>
      </w:r>
      <w:r w:rsidR="007B04A7">
        <w:rPr>
          <w:rFonts w:asciiTheme="majorHAnsi" w:hAnsiTheme="majorHAnsi" w:cstheme="majorHAnsi"/>
        </w:rPr>
        <w:t xml:space="preserve"> </w:t>
      </w:r>
      <w:r w:rsidRPr="00F25EBD">
        <w:rPr>
          <w:rFonts w:asciiTheme="majorHAnsi" w:hAnsiTheme="majorHAnsi" w:cstheme="majorHAnsi"/>
        </w:rPr>
        <w:t>powiecie nidzickim</w:t>
      </w:r>
      <w:r w:rsidR="00336D76" w:rsidRPr="00F25EBD">
        <w:rPr>
          <w:rFonts w:asciiTheme="majorHAnsi" w:hAnsiTheme="majorHAnsi" w:cstheme="majorHAnsi"/>
        </w:rPr>
        <w:t xml:space="preserve"> - </w:t>
      </w:r>
      <w:r w:rsidRPr="00F25EBD">
        <w:rPr>
          <w:rFonts w:asciiTheme="majorHAnsi" w:hAnsiTheme="majorHAnsi" w:cstheme="majorHAnsi"/>
        </w:rPr>
        <w:t>1.692,88 zł/osobę, a następne w</w:t>
      </w:r>
      <w:r w:rsidR="007B04A7">
        <w:rPr>
          <w:rFonts w:asciiTheme="majorHAnsi" w:hAnsiTheme="majorHAnsi" w:cstheme="majorHAnsi"/>
        </w:rPr>
        <w:t xml:space="preserve"> </w:t>
      </w:r>
      <w:r w:rsidRPr="00F25EBD">
        <w:rPr>
          <w:rFonts w:asciiTheme="majorHAnsi" w:hAnsiTheme="majorHAnsi" w:cstheme="majorHAnsi"/>
        </w:rPr>
        <w:t>kolejności były: piski</w:t>
      </w:r>
      <w:r w:rsidR="00336D76" w:rsidRPr="00F25EBD">
        <w:rPr>
          <w:rFonts w:asciiTheme="majorHAnsi" w:hAnsiTheme="majorHAnsi" w:cstheme="majorHAnsi"/>
        </w:rPr>
        <w:t xml:space="preserve"> - </w:t>
      </w:r>
      <w:r w:rsidRPr="00F25EBD">
        <w:rPr>
          <w:rFonts w:asciiTheme="majorHAnsi" w:eastAsia="Times New Roman" w:hAnsiTheme="majorHAnsi" w:cstheme="majorHAnsi"/>
          <w:lang w:eastAsia="pl-PL"/>
        </w:rPr>
        <w:t>1.303,68 zł</w:t>
      </w:r>
      <w:r w:rsidRPr="00F25EBD">
        <w:rPr>
          <w:rFonts w:asciiTheme="majorHAnsi" w:hAnsiTheme="majorHAnsi" w:cstheme="majorHAnsi"/>
        </w:rPr>
        <w:t>/osobę</w:t>
      </w:r>
      <w:r w:rsidRPr="00F25EBD">
        <w:rPr>
          <w:rFonts w:asciiTheme="majorHAnsi" w:eastAsia="Times New Roman" w:hAnsiTheme="majorHAnsi" w:cstheme="majorHAnsi"/>
          <w:lang w:eastAsia="pl-PL"/>
        </w:rPr>
        <w:t>, szczycieński</w:t>
      </w:r>
      <w:r w:rsidR="00336D76" w:rsidRPr="00F25EBD">
        <w:rPr>
          <w:rFonts w:asciiTheme="majorHAnsi" w:eastAsia="Times New Roman" w:hAnsiTheme="majorHAnsi" w:cstheme="majorHAnsi"/>
          <w:lang w:eastAsia="pl-PL"/>
        </w:rPr>
        <w:t xml:space="preserve"> - </w:t>
      </w:r>
      <w:r w:rsidRPr="00F25EBD">
        <w:rPr>
          <w:rFonts w:asciiTheme="majorHAnsi" w:eastAsia="Times New Roman" w:hAnsiTheme="majorHAnsi" w:cstheme="majorHAnsi"/>
          <w:lang w:eastAsia="pl-PL"/>
        </w:rPr>
        <w:t>1.195,27 zł</w:t>
      </w:r>
      <w:r w:rsidRPr="00F25EBD">
        <w:rPr>
          <w:rFonts w:asciiTheme="majorHAnsi" w:hAnsiTheme="majorHAnsi" w:cstheme="majorHAnsi"/>
        </w:rPr>
        <w:t>/osobę</w:t>
      </w:r>
      <w:r w:rsidRPr="00F25EBD">
        <w:rPr>
          <w:rFonts w:asciiTheme="majorHAnsi" w:eastAsia="Times New Roman" w:hAnsiTheme="majorHAnsi" w:cstheme="majorHAnsi"/>
          <w:lang w:eastAsia="pl-PL"/>
        </w:rPr>
        <w:t xml:space="preserve"> i działdowski</w:t>
      </w:r>
      <w:r w:rsidR="00336D76" w:rsidRPr="00F25EBD">
        <w:rPr>
          <w:rFonts w:asciiTheme="majorHAnsi" w:eastAsia="Times New Roman" w:hAnsiTheme="majorHAnsi" w:cstheme="majorHAnsi"/>
          <w:lang w:eastAsia="pl-PL"/>
        </w:rPr>
        <w:t xml:space="preserve"> - </w:t>
      </w:r>
      <w:r w:rsidRPr="00F25EBD">
        <w:rPr>
          <w:rFonts w:asciiTheme="majorHAnsi" w:eastAsia="Times New Roman" w:hAnsiTheme="majorHAnsi" w:cstheme="majorHAnsi"/>
          <w:lang w:eastAsia="pl-PL"/>
        </w:rPr>
        <w:t>1.144,52 zł</w:t>
      </w:r>
      <w:r w:rsidRPr="00F25EBD">
        <w:rPr>
          <w:rFonts w:asciiTheme="majorHAnsi" w:hAnsiTheme="majorHAnsi" w:cstheme="majorHAnsi"/>
        </w:rPr>
        <w:t>/osobę</w:t>
      </w:r>
      <w:r w:rsidRPr="00F25EBD">
        <w:rPr>
          <w:rFonts w:asciiTheme="majorHAnsi" w:eastAsia="Times New Roman" w:hAnsiTheme="majorHAnsi" w:cstheme="majorHAnsi"/>
          <w:lang w:eastAsia="pl-PL"/>
        </w:rPr>
        <w:t>. W większości jednostek (z</w:t>
      </w:r>
      <w:r w:rsidR="007B04A7">
        <w:rPr>
          <w:rFonts w:asciiTheme="majorHAnsi" w:eastAsia="Times New Roman" w:hAnsiTheme="majorHAnsi" w:cstheme="majorHAnsi"/>
          <w:lang w:eastAsia="pl-PL"/>
        </w:rPr>
        <w:t xml:space="preserve"> </w:t>
      </w:r>
      <w:r w:rsidRPr="00F25EBD">
        <w:rPr>
          <w:rFonts w:asciiTheme="majorHAnsi" w:eastAsia="Times New Roman" w:hAnsiTheme="majorHAnsi" w:cstheme="majorHAnsi"/>
          <w:lang w:eastAsia="pl-PL"/>
        </w:rPr>
        <w:t xml:space="preserve">wyjątkiem powiatu szczycieńskiego) wartość wskaźnika </w:t>
      </w:r>
      <w:r w:rsidRPr="00F25EBD">
        <w:rPr>
          <w:rFonts w:asciiTheme="majorHAnsi" w:hAnsiTheme="majorHAnsi" w:cstheme="majorHAnsi"/>
        </w:rPr>
        <w:t>W</w:t>
      </w:r>
      <w:r w:rsidRPr="00F25EBD">
        <w:rPr>
          <w:rFonts w:asciiTheme="majorHAnsi" w:hAnsiTheme="majorHAnsi" w:cstheme="majorHAnsi"/>
          <w:vertAlign w:val="subscript"/>
        </w:rPr>
        <w:t>D/M</w:t>
      </w:r>
      <w:r w:rsidRPr="00F25EBD">
        <w:rPr>
          <w:rFonts w:asciiTheme="majorHAnsi" w:eastAsia="Times New Roman" w:hAnsiTheme="majorHAnsi" w:cstheme="majorHAnsi"/>
          <w:lang w:eastAsia="pl-PL"/>
        </w:rPr>
        <w:t xml:space="preserve"> uległa w</w:t>
      </w:r>
      <w:r w:rsidR="007B04A7">
        <w:rPr>
          <w:rFonts w:asciiTheme="majorHAnsi" w:eastAsia="Times New Roman" w:hAnsiTheme="majorHAnsi" w:cstheme="majorHAnsi"/>
          <w:lang w:eastAsia="pl-PL"/>
        </w:rPr>
        <w:t xml:space="preserve"> </w:t>
      </w:r>
      <w:r w:rsidRPr="00F25EBD">
        <w:rPr>
          <w:rFonts w:asciiTheme="majorHAnsi" w:eastAsia="Times New Roman" w:hAnsiTheme="majorHAnsi" w:cstheme="majorHAnsi"/>
          <w:lang w:eastAsia="pl-PL"/>
        </w:rPr>
        <w:t>latach 2010-2019 podwyższeniu, przy czym wzrost przekraczający średnią wojewódzką (32,0%) miał miejsce w</w:t>
      </w:r>
      <w:r w:rsidR="007B04A7">
        <w:rPr>
          <w:rFonts w:asciiTheme="majorHAnsi" w:eastAsia="Times New Roman" w:hAnsiTheme="majorHAnsi" w:cstheme="majorHAnsi"/>
          <w:lang w:eastAsia="pl-PL"/>
        </w:rPr>
        <w:t xml:space="preserve"> </w:t>
      </w:r>
      <w:r w:rsidRPr="00F25EBD">
        <w:rPr>
          <w:rFonts w:asciiTheme="majorHAnsi" w:eastAsia="Times New Roman" w:hAnsiTheme="majorHAnsi" w:cstheme="majorHAnsi"/>
          <w:lang w:eastAsia="pl-PL"/>
        </w:rPr>
        <w:t>powiecie działdowskim (41,6%) oraz nidzickim (40,2%). Zmiany wartości dochodów w przeliczeniu na mieszkańca w poszczególnych jednostkach administracyjnych PM przedstawione są na poniższym rysunku.</w:t>
      </w:r>
    </w:p>
    <w:p w14:paraId="302C27F5" w14:textId="17148009" w:rsidR="00EA2B5F" w:rsidRPr="00F25EBD" w:rsidRDefault="00EA2B5F" w:rsidP="005D522F">
      <w:pPr>
        <w:pStyle w:val="nad"/>
      </w:pPr>
      <w:bookmarkStart w:id="76" w:name="_Toc81301558"/>
      <w:r w:rsidRPr="00F25EBD">
        <w:t xml:space="preserve">Rysunek </w:t>
      </w:r>
      <w:r w:rsidRPr="00F25EBD">
        <w:rPr>
          <w:noProof/>
        </w:rPr>
        <w:fldChar w:fldCharType="begin"/>
      </w:r>
      <w:r w:rsidRPr="00F25EBD">
        <w:rPr>
          <w:noProof/>
        </w:rPr>
        <w:instrText xml:space="preserve"> SEQ Rysunek \* ARABIC </w:instrText>
      </w:r>
      <w:r w:rsidRPr="00F25EBD">
        <w:rPr>
          <w:noProof/>
        </w:rPr>
        <w:fldChar w:fldCharType="separate"/>
      </w:r>
      <w:r w:rsidR="006C7815">
        <w:rPr>
          <w:noProof/>
        </w:rPr>
        <w:t>30</w:t>
      </w:r>
      <w:r w:rsidRPr="00F25EBD">
        <w:rPr>
          <w:noProof/>
        </w:rPr>
        <w:fldChar w:fldCharType="end"/>
      </w:r>
      <w:r w:rsidRPr="00F25EBD">
        <w:t>. Dochody własne powiatów PM w przeliczeniu na mieszkańca (2010-2019)</w:t>
      </w:r>
      <w:bookmarkEnd w:id="76"/>
    </w:p>
    <w:p w14:paraId="2905AA16" w14:textId="77777777" w:rsidR="00EA2B5F" w:rsidRPr="00F25EBD" w:rsidRDefault="00EA2B5F" w:rsidP="00FC7062">
      <w:pPr>
        <w:spacing w:after="0" w:line="276" w:lineRule="auto"/>
        <w:jc w:val="center"/>
        <w:rPr>
          <w:rFonts w:asciiTheme="majorHAnsi" w:hAnsiTheme="majorHAnsi" w:cstheme="majorHAnsi"/>
        </w:rPr>
      </w:pPr>
      <w:r w:rsidRPr="00F25EBD">
        <w:rPr>
          <w:rFonts w:asciiTheme="majorHAnsi" w:hAnsiTheme="majorHAnsi" w:cstheme="majorHAnsi"/>
          <w:noProof/>
          <w:lang w:eastAsia="pl-PL"/>
        </w:rPr>
        <w:drawing>
          <wp:inline distT="0" distB="0" distL="0" distR="0" wp14:anchorId="56375766" wp14:editId="3E378E2D">
            <wp:extent cx="5760000" cy="2606400"/>
            <wp:effectExtent l="0" t="0" r="12700" b="3810"/>
            <wp:docPr id="33" name="Wykres 33">
              <a:extLst xmlns:a="http://schemas.openxmlformats.org/drawingml/2006/main">
                <a:ext uri="{FF2B5EF4-FFF2-40B4-BE49-F238E27FC236}">
                  <a16:creationId xmlns:a16="http://schemas.microsoft.com/office/drawing/2014/main" id="{89E07407-19E0-4442-8352-60AE7A4442E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595ADDCA" w14:textId="77777777" w:rsidR="00EA2B5F" w:rsidRPr="00F25EBD" w:rsidRDefault="00EA2B5F" w:rsidP="005D522F">
      <w:pPr>
        <w:pStyle w:val="rdo"/>
      </w:pPr>
      <w:r w:rsidRPr="00F25EBD">
        <w:t>Źródło: opracowanie własne na podstawie danych BDL.</w:t>
      </w:r>
    </w:p>
    <w:p w14:paraId="0DFB7962" w14:textId="77777777" w:rsidR="00EA2B5F" w:rsidRPr="00F25EBD" w:rsidRDefault="00EA2B5F" w:rsidP="00FC7062">
      <w:pPr>
        <w:spacing w:after="0" w:line="276" w:lineRule="auto"/>
        <w:jc w:val="both"/>
        <w:rPr>
          <w:rFonts w:asciiTheme="majorHAnsi" w:hAnsiTheme="majorHAnsi" w:cstheme="majorHAnsi"/>
        </w:rPr>
      </w:pPr>
    </w:p>
    <w:p w14:paraId="036C66C4" w14:textId="7EEDA6CB" w:rsidR="00EA2B5F" w:rsidRPr="00F25EBD" w:rsidRDefault="00EA2B5F" w:rsidP="00DE0854">
      <w:pPr>
        <w:spacing w:line="276" w:lineRule="auto"/>
        <w:jc w:val="both"/>
        <w:rPr>
          <w:rFonts w:asciiTheme="majorHAnsi" w:hAnsiTheme="majorHAnsi" w:cstheme="majorHAnsi"/>
        </w:rPr>
      </w:pPr>
      <w:r w:rsidRPr="00F25EBD">
        <w:rPr>
          <w:rFonts w:asciiTheme="majorHAnsi" w:hAnsiTheme="majorHAnsi" w:cstheme="majorHAnsi"/>
        </w:rPr>
        <w:t>Zgodnie z art. 3. Ustawy z dnia 13 listopada 2003</w:t>
      </w:r>
      <w:r w:rsidR="00F7062F">
        <w:rPr>
          <w:rFonts w:asciiTheme="majorHAnsi" w:hAnsiTheme="majorHAnsi" w:cstheme="majorHAnsi"/>
        </w:rPr>
        <w:t>r.</w:t>
      </w:r>
      <w:r w:rsidRPr="00F25EBD">
        <w:rPr>
          <w:rFonts w:asciiTheme="majorHAnsi" w:hAnsiTheme="majorHAnsi" w:cstheme="majorHAnsi"/>
        </w:rPr>
        <w:t xml:space="preserve"> o dochodach jednostek samorządu terytorialnego, na dochody powiatu składają się: dochody własne, subwencja ogólna, dotacje celowe z budżetu państwa, a także środki pochodzące ze źródeł zagranicznych niepodlegające zwrotowi, środki pochodzące z budżetu Unii Europejskiej oraz inne środki określone w odrębnych przepisach. </w:t>
      </w:r>
    </w:p>
    <w:p w14:paraId="0BC18B27" w14:textId="605DA3DA" w:rsidR="00EA2B5F" w:rsidRPr="00F25EBD" w:rsidRDefault="00EA2B5F" w:rsidP="00FC7062">
      <w:pPr>
        <w:spacing w:after="0" w:line="276" w:lineRule="auto"/>
        <w:jc w:val="both"/>
        <w:rPr>
          <w:rFonts w:asciiTheme="majorHAnsi" w:hAnsiTheme="majorHAnsi" w:cstheme="majorHAnsi"/>
        </w:rPr>
      </w:pPr>
      <w:r w:rsidRPr="00F25EBD">
        <w:rPr>
          <w:rFonts w:asciiTheme="majorHAnsi" w:hAnsiTheme="majorHAnsi" w:cstheme="majorHAnsi"/>
        </w:rPr>
        <w:t>W latach 2010-2019 główną składową dochodów budżetów powiatów PM stanowiła subwencja ogólna, której udział w dochodach ogółem wahał się od 47,3% do 55,8%. W jej ramach, największe znaczenie miała część oświatowa przekazywana powiatom w związku z realizowanymi przez nie zadaniami oświatowymi. Jej średni udział w subwencji ogólnej uzyskanej przez powiaty PM wyniósł w</w:t>
      </w:r>
      <w:r w:rsidR="007B04A7">
        <w:rPr>
          <w:rFonts w:asciiTheme="majorHAnsi" w:hAnsiTheme="majorHAnsi" w:cstheme="majorHAnsi"/>
        </w:rPr>
        <w:t xml:space="preserve"> </w:t>
      </w:r>
      <w:r w:rsidRPr="00F25EBD">
        <w:rPr>
          <w:rFonts w:asciiTheme="majorHAnsi" w:hAnsiTheme="majorHAnsi" w:cstheme="majorHAnsi"/>
        </w:rPr>
        <w:t>2019</w:t>
      </w:r>
      <w:r w:rsidR="00F7062F">
        <w:rPr>
          <w:rFonts w:asciiTheme="majorHAnsi" w:hAnsiTheme="majorHAnsi" w:cstheme="majorHAnsi"/>
        </w:rPr>
        <w:t>r.</w:t>
      </w:r>
      <w:r w:rsidRPr="00F25EBD">
        <w:rPr>
          <w:rFonts w:asciiTheme="majorHAnsi" w:hAnsiTheme="majorHAnsi" w:cstheme="majorHAnsi"/>
        </w:rPr>
        <w:t xml:space="preserve"> 62,0%, przy czym najwyższa wartość dotyczyła powiatu nidzickiego (67,5%), natomiast najniższa powiatu </w:t>
      </w:r>
      <w:proofErr w:type="spellStart"/>
      <w:r w:rsidRPr="00F25EBD">
        <w:rPr>
          <w:rFonts w:asciiTheme="majorHAnsi" w:hAnsiTheme="majorHAnsi" w:cstheme="majorHAnsi"/>
        </w:rPr>
        <w:t>piskiego</w:t>
      </w:r>
      <w:proofErr w:type="spellEnd"/>
      <w:r w:rsidRPr="00F25EBD">
        <w:rPr>
          <w:rFonts w:asciiTheme="majorHAnsi" w:hAnsiTheme="majorHAnsi" w:cstheme="majorHAnsi"/>
        </w:rPr>
        <w:t xml:space="preserve"> (56,1%). Zmiany wielkości udziału subwencji ogólnej w</w:t>
      </w:r>
      <w:r w:rsidR="007B04A7">
        <w:rPr>
          <w:rFonts w:asciiTheme="majorHAnsi" w:hAnsiTheme="majorHAnsi" w:cstheme="majorHAnsi"/>
        </w:rPr>
        <w:t xml:space="preserve"> </w:t>
      </w:r>
      <w:r w:rsidRPr="00F25EBD">
        <w:rPr>
          <w:rFonts w:asciiTheme="majorHAnsi" w:hAnsiTheme="majorHAnsi" w:cstheme="majorHAnsi"/>
        </w:rPr>
        <w:t>dochodach ogółem budżetów powiatów Południowych Mazur przedstawiony jest na poniższym rysunku.</w:t>
      </w:r>
    </w:p>
    <w:p w14:paraId="02E00739" w14:textId="3B12C86B" w:rsidR="00EA2B5F" w:rsidRPr="00F25EBD" w:rsidRDefault="00EA2B5F" w:rsidP="005D522F">
      <w:pPr>
        <w:pStyle w:val="nad"/>
      </w:pPr>
      <w:bookmarkStart w:id="77" w:name="_Toc81301559"/>
      <w:r w:rsidRPr="00F25EBD">
        <w:t xml:space="preserve">Rysunek </w:t>
      </w:r>
      <w:r w:rsidRPr="00F25EBD">
        <w:rPr>
          <w:noProof/>
        </w:rPr>
        <w:fldChar w:fldCharType="begin"/>
      </w:r>
      <w:r w:rsidRPr="00F25EBD">
        <w:rPr>
          <w:noProof/>
        </w:rPr>
        <w:instrText xml:space="preserve"> SEQ Rysunek \* ARABIC </w:instrText>
      </w:r>
      <w:r w:rsidRPr="00F25EBD">
        <w:rPr>
          <w:noProof/>
        </w:rPr>
        <w:fldChar w:fldCharType="separate"/>
      </w:r>
      <w:r w:rsidR="006C7815">
        <w:rPr>
          <w:noProof/>
        </w:rPr>
        <w:t>31</w:t>
      </w:r>
      <w:r w:rsidRPr="00F25EBD">
        <w:rPr>
          <w:noProof/>
        </w:rPr>
        <w:fldChar w:fldCharType="end"/>
      </w:r>
      <w:r w:rsidRPr="00F25EBD">
        <w:t>. Udział subwencji ogólnej w dochodach ogółem budżetów powiatów w latach 2010-2019</w:t>
      </w:r>
      <w:bookmarkEnd w:id="77"/>
    </w:p>
    <w:p w14:paraId="6781D312" w14:textId="77777777" w:rsidR="00EA2B5F" w:rsidRPr="00F25EBD" w:rsidRDefault="00EA2B5F" w:rsidP="00FC7062">
      <w:pPr>
        <w:spacing w:after="0" w:line="276" w:lineRule="auto"/>
        <w:jc w:val="center"/>
        <w:rPr>
          <w:rFonts w:asciiTheme="majorHAnsi" w:hAnsiTheme="majorHAnsi" w:cstheme="majorHAnsi"/>
        </w:rPr>
      </w:pPr>
      <w:r w:rsidRPr="00F25EBD">
        <w:rPr>
          <w:rFonts w:asciiTheme="majorHAnsi" w:hAnsiTheme="majorHAnsi" w:cstheme="majorHAnsi"/>
          <w:noProof/>
          <w:lang w:eastAsia="pl-PL"/>
        </w:rPr>
        <w:drawing>
          <wp:inline distT="0" distB="0" distL="0" distR="0" wp14:anchorId="19A88EC5" wp14:editId="4708BACF">
            <wp:extent cx="5760000" cy="2606400"/>
            <wp:effectExtent l="0" t="0" r="12700" b="3810"/>
            <wp:docPr id="36" name="Wykres 36">
              <a:extLst xmlns:a="http://schemas.openxmlformats.org/drawingml/2006/main">
                <a:ext uri="{FF2B5EF4-FFF2-40B4-BE49-F238E27FC236}">
                  <a16:creationId xmlns:a16="http://schemas.microsoft.com/office/drawing/2014/main" id="{4B1A99F6-B9BC-4400-97E8-CA3EAFBA47C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7A8B50AD" w14:textId="77777777" w:rsidR="00EA2B5F" w:rsidRPr="00F25EBD" w:rsidRDefault="00EA2B5F" w:rsidP="005D522F">
      <w:pPr>
        <w:pStyle w:val="rdo"/>
      </w:pPr>
      <w:r w:rsidRPr="00F25EBD">
        <w:t>Źródło: opracowanie własne na podstawie danych BDL.</w:t>
      </w:r>
    </w:p>
    <w:p w14:paraId="4DA2E659" w14:textId="77777777" w:rsidR="00EA2B5F" w:rsidRPr="00F25EBD" w:rsidRDefault="00EA2B5F" w:rsidP="00FC7062">
      <w:pPr>
        <w:spacing w:after="0" w:line="276" w:lineRule="auto"/>
        <w:jc w:val="both"/>
        <w:rPr>
          <w:rFonts w:asciiTheme="majorHAnsi" w:hAnsiTheme="majorHAnsi" w:cstheme="majorHAnsi"/>
        </w:rPr>
      </w:pPr>
    </w:p>
    <w:p w14:paraId="7D6BB494" w14:textId="23C9FB99" w:rsidR="00EA2B5F" w:rsidRPr="00F25EBD" w:rsidRDefault="00EA2B5F" w:rsidP="00FC7062">
      <w:pPr>
        <w:spacing w:after="0" w:line="276" w:lineRule="auto"/>
        <w:jc w:val="both"/>
        <w:rPr>
          <w:rFonts w:asciiTheme="majorHAnsi" w:hAnsiTheme="majorHAnsi" w:cstheme="majorHAnsi"/>
        </w:rPr>
      </w:pPr>
      <w:r w:rsidRPr="00F25EBD">
        <w:rPr>
          <w:rFonts w:asciiTheme="majorHAnsi" w:hAnsiTheme="majorHAnsi" w:cstheme="majorHAnsi"/>
        </w:rPr>
        <w:t>Drugim, pod względem wielkości, źródłem zasilającym budżety powiatów PM były dochody własne, które w 2019</w:t>
      </w:r>
      <w:r w:rsidR="00F7062F">
        <w:rPr>
          <w:rFonts w:asciiTheme="majorHAnsi" w:hAnsiTheme="majorHAnsi" w:cstheme="majorHAnsi"/>
        </w:rPr>
        <w:t>r.</w:t>
      </w:r>
      <w:r w:rsidRPr="00F25EBD">
        <w:rPr>
          <w:rFonts w:asciiTheme="majorHAnsi" w:hAnsiTheme="majorHAnsi" w:cstheme="majorHAnsi"/>
        </w:rPr>
        <w:t xml:space="preserve"> stanowiły ok. </w:t>
      </w:r>
      <w:r w:rsidRPr="00F25EBD">
        <w:rPr>
          <w:rFonts w:asciiTheme="majorHAnsi" w:hAnsiTheme="majorHAnsi" w:cstheme="majorHAnsi"/>
          <w:vertAlign w:val="superscript"/>
        </w:rPr>
        <w:t>1</w:t>
      </w:r>
      <w:r w:rsidRPr="00F25EBD">
        <w:rPr>
          <w:rFonts w:asciiTheme="majorHAnsi" w:hAnsiTheme="majorHAnsi" w:cstheme="majorHAnsi"/>
        </w:rPr>
        <w:t>/</w:t>
      </w:r>
      <w:r w:rsidRPr="00F25EBD">
        <w:rPr>
          <w:rFonts w:asciiTheme="majorHAnsi" w:hAnsiTheme="majorHAnsi" w:cstheme="majorHAnsi"/>
          <w:vertAlign w:val="subscript"/>
        </w:rPr>
        <w:t>3</w:t>
      </w:r>
      <w:r w:rsidRPr="00F25EBD">
        <w:rPr>
          <w:rFonts w:asciiTheme="majorHAnsi" w:hAnsiTheme="majorHAnsi" w:cstheme="majorHAnsi"/>
        </w:rPr>
        <w:t xml:space="preserve"> wszystkich wpływów. Niemal połowa z nich pochodziła z</w:t>
      </w:r>
      <w:r w:rsidR="007B04A7">
        <w:rPr>
          <w:rFonts w:asciiTheme="majorHAnsi" w:hAnsiTheme="majorHAnsi" w:cstheme="majorHAnsi"/>
        </w:rPr>
        <w:t xml:space="preserve"> </w:t>
      </w:r>
      <w:r w:rsidRPr="00F25EBD">
        <w:rPr>
          <w:rFonts w:asciiTheme="majorHAnsi" w:hAnsiTheme="majorHAnsi" w:cstheme="majorHAnsi"/>
        </w:rPr>
        <w:t>(wynoszącego 10,25%) udziału we wpływach z podatku dochodowego od osób fizycznych zamieszkałych na obszarze powiatu. Indywidualna sytuacja poszczególnych jednostek administracyjnych PM była w tym zakresie zróżnicowana. W latach 2010-2019 największy udział wpływów z podatku dochodowego w dochodach własnych miał powiat działdowski (średnia za wskazany okres wyniosła 54,3%), a następne w kolejności były: powiat nidzicki (46,4%), piski (43,4%) oraz szczycieński (41,3%). Relatywizacja tej kategorii dochodów względem liczby mieszkańców zmieniła nieco kolejność poszczególnych jednostek</w:t>
      </w:r>
      <w:r w:rsidR="00336D76" w:rsidRPr="00F25EBD">
        <w:rPr>
          <w:rFonts w:asciiTheme="majorHAnsi" w:hAnsiTheme="majorHAnsi" w:cstheme="majorHAnsi"/>
        </w:rPr>
        <w:t xml:space="preserve"> - </w:t>
      </w:r>
      <w:r w:rsidRPr="00F25EBD">
        <w:rPr>
          <w:rFonts w:asciiTheme="majorHAnsi" w:hAnsiTheme="majorHAnsi" w:cstheme="majorHAnsi"/>
        </w:rPr>
        <w:t>w takim ujęciu liderem nadal pozostawał powiat działdowski (średnio w latach 2010-2019 przypadało tu na mieszkańca 130,30 zł), a następne miejsca zajmowały: powiat szczycieński (</w:t>
      </w:r>
      <w:r w:rsidR="00F37B88">
        <w:rPr>
          <w:rFonts w:asciiTheme="majorHAnsi" w:hAnsiTheme="majorHAnsi" w:cstheme="majorHAnsi"/>
        </w:rPr>
        <w:t>127,42 zł), piski (110,25 zł) i </w:t>
      </w:r>
      <w:r w:rsidRPr="00F25EBD">
        <w:rPr>
          <w:rFonts w:asciiTheme="majorHAnsi" w:hAnsiTheme="majorHAnsi" w:cstheme="majorHAnsi"/>
        </w:rPr>
        <w:t>nidzicki (107,42 zł). Zmiany wartości dochodów własnych</w:t>
      </w:r>
      <w:r w:rsidR="00F37B88">
        <w:rPr>
          <w:rFonts w:asciiTheme="majorHAnsi" w:hAnsiTheme="majorHAnsi" w:cstheme="majorHAnsi"/>
        </w:rPr>
        <w:t xml:space="preserve"> w przeliczeniu na mieszkańca w </w:t>
      </w:r>
      <w:r w:rsidRPr="00F25EBD">
        <w:rPr>
          <w:rFonts w:asciiTheme="majorHAnsi" w:hAnsiTheme="majorHAnsi" w:cstheme="majorHAnsi"/>
        </w:rPr>
        <w:t>poszczególnych powiatach PM w latach 2010-2019 przedstawia poniższy rysunek.</w:t>
      </w:r>
    </w:p>
    <w:p w14:paraId="1DFBF840" w14:textId="2CC8EA14" w:rsidR="00EA2B5F" w:rsidRPr="00F25EBD" w:rsidRDefault="00EA2B5F" w:rsidP="00F37B88">
      <w:pPr>
        <w:pStyle w:val="nad"/>
      </w:pPr>
      <w:bookmarkStart w:id="78" w:name="_Toc81301560"/>
      <w:r w:rsidRPr="00F25EBD">
        <w:t xml:space="preserve">Rysunek </w:t>
      </w:r>
      <w:r w:rsidRPr="00F25EBD">
        <w:rPr>
          <w:noProof/>
        </w:rPr>
        <w:fldChar w:fldCharType="begin"/>
      </w:r>
      <w:r w:rsidRPr="00F25EBD">
        <w:rPr>
          <w:noProof/>
        </w:rPr>
        <w:instrText xml:space="preserve"> SEQ Rysunek \* ARABIC </w:instrText>
      </w:r>
      <w:r w:rsidRPr="00F25EBD">
        <w:rPr>
          <w:noProof/>
        </w:rPr>
        <w:fldChar w:fldCharType="separate"/>
      </w:r>
      <w:r w:rsidR="006C7815">
        <w:rPr>
          <w:noProof/>
        </w:rPr>
        <w:t>32</w:t>
      </w:r>
      <w:r w:rsidRPr="00F25EBD">
        <w:rPr>
          <w:noProof/>
        </w:rPr>
        <w:fldChar w:fldCharType="end"/>
      </w:r>
      <w:r w:rsidRPr="00F25EBD">
        <w:t>. Dochody własne powiatów na mieszkańca w latach 2010-2019</w:t>
      </w:r>
      <w:bookmarkEnd w:id="78"/>
    </w:p>
    <w:p w14:paraId="666F6951" w14:textId="77777777" w:rsidR="00EA2B5F" w:rsidRPr="00F25EBD" w:rsidRDefault="00EA2B5F" w:rsidP="00FC7062">
      <w:pPr>
        <w:spacing w:after="0" w:line="276" w:lineRule="auto"/>
        <w:jc w:val="center"/>
        <w:rPr>
          <w:rFonts w:asciiTheme="majorHAnsi" w:hAnsiTheme="majorHAnsi" w:cstheme="majorHAnsi"/>
        </w:rPr>
      </w:pPr>
      <w:r w:rsidRPr="00F25EBD">
        <w:rPr>
          <w:rFonts w:asciiTheme="majorHAnsi" w:hAnsiTheme="majorHAnsi" w:cstheme="majorHAnsi"/>
          <w:noProof/>
          <w:lang w:eastAsia="pl-PL"/>
        </w:rPr>
        <w:drawing>
          <wp:inline distT="0" distB="0" distL="0" distR="0" wp14:anchorId="44FD56B2" wp14:editId="3B373897">
            <wp:extent cx="5760000" cy="2606400"/>
            <wp:effectExtent l="0" t="0" r="12700" b="3810"/>
            <wp:docPr id="37" name="Wykres 37">
              <a:extLst xmlns:a="http://schemas.openxmlformats.org/drawingml/2006/main">
                <a:ext uri="{FF2B5EF4-FFF2-40B4-BE49-F238E27FC236}">
                  <a16:creationId xmlns:a16="http://schemas.microsoft.com/office/drawing/2014/main" id="{5B8EB1E3-17D0-4A5A-8F01-9F23552D38C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5B283FDC" w14:textId="77777777" w:rsidR="00EA2B5F" w:rsidRPr="00F25EBD" w:rsidRDefault="00EA2B5F" w:rsidP="00F37B88">
      <w:pPr>
        <w:pStyle w:val="rdo"/>
      </w:pPr>
      <w:r w:rsidRPr="00F25EBD">
        <w:t>Źródło: opracowanie własne na podstawie danych BDL.</w:t>
      </w:r>
    </w:p>
    <w:p w14:paraId="3226C94B" w14:textId="77777777" w:rsidR="00EA2B5F" w:rsidRPr="00F25EBD" w:rsidRDefault="00EA2B5F" w:rsidP="00FC7062">
      <w:pPr>
        <w:spacing w:after="0" w:line="276" w:lineRule="auto"/>
        <w:jc w:val="both"/>
        <w:rPr>
          <w:rFonts w:asciiTheme="majorHAnsi" w:hAnsiTheme="majorHAnsi" w:cstheme="majorHAnsi"/>
        </w:rPr>
      </w:pPr>
    </w:p>
    <w:p w14:paraId="15050B14" w14:textId="42B6A87A" w:rsidR="00EA2B5F" w:rsidRPr="00F25EBD" w:rsidRDefault="00EA2B5F" w:rsidP="00DE0854">
      <w:pPr>
        <w:spacing w:line="276" w:lineRule="auto"/>
        <w:jc w:val="both"/>
        <w:rPr>
          <w:rFonts w:asciiTheme="majorHAnsi" w:eastAsia="Times New Roman" w:hAnsiTheme="majorHAnsi" w:cstheme="majorHAnsi"/>
          <w:lang w:eastAsia="pl-PL"/>
        </w:rPr>
      </w:pPr>
      <w:r w:rsidRPr="00F25EBD">
        <w:rPr>
          <w:rFonts w:asciiTheme="majorHAnsi" w:hAnsiTheme="majorHAnsi" w:cstheme="majorHAnsi"/>
        </w:rPr>
        <w:t>Sprawna realizacja zadań przez jednostki samorządu terytorialnego, oprócz zabezpieczenia wpływów do budżetu, wiąże się również z ponoszeniem określonych wydatków. W 2019</w:t>
      </w:r>
      <w:r w:rsidR="00F7062F">
        <w:rPr>
          <w:rFonts w:asciiTheme="majorHAnsi" w:hAnsiTheme="majorHAnsi" w:cstheme="majorHAnsi"/>
        </w:rPr>
        <w:t>r.</w:t>
      </w:r>
      <w:r w:rsidRPr="00F25EBD">
        <w:rPr>
          <w:rFonts w:asciiTheme="majorHAnsi" w:hAnsiTheme="majorHAnsi" w:cstheme="majorHAnsi"/>
        </w:rPr>
        <w:t xml:space="preserve"> powiaty Południowych Mazur wydatkowały łącznie </w:t>
      </w:r>
      <w:r w:rsidRPr="00F25EBD">
        <w:rPr>
          <w:rFonts w:asciiTheme="majorHAnsi" w:eastAsia="Times New Roman" w:hAnsiTheme="majorHAnsi" w:cstheme="majorHAnsi"/>
          <w:lang w:eastAsia="pl-PL"/>
        </w:rPr>
        <w:t xml:space="preserve">289.864.956,57 zł, co stanowiło 18,5% wydatków poniesionych przez wszystkie powiaty województwa warmińsko-mazurskiego. Z ogólnej kwoty 32,9% przypadało na powiat szczycieński, 25,3% na piski, 25,0% na działdowski i 16,8% na nidzicki. </w:t>
      </w:r>
    </w:p>
    <w:p w14:paraId="368DF2F8" w14:textId="5CDE5CA4" w:rsidR="00EA2B5F" w:rsidRPr="00F25EBD" w:rsidRDefault="00EA2B5F" w:rsidP="00DE0854">
      <w:pPr>
        <w:spacing w:line="276" w:lineRule="auto"/>
        <w:jc w:val="both"/>
        <w:rPr>
          <w:rFonts w:asciiTheme="majorHAnsi" w:hAnsiTheme="majorHAnsi" w:cstheme="majorHAnsi"/>
        </w:rPr>
      </w:pPr>
      <w:r w:rsidRPr="00F25EBD">
        <w:rPr>
          <w:rFonts w:asciiTheme="majorHAnsi" w:eastAsia="Times New Roman" w:hAnsiTheme="majorHAnsi" w:cstheme="majorHAnsi"/>
          <w:lang w:eastAsia="pl-PL"/>
        </w:rPr>
        <w:t>Nieco inaczej wyglądała kolejność powiatów po zrelatywizowaniu wydatków względem liczby mieszkańców. W takim ujęciu na pierwszym miejscu znalazł się powiat nidzicki (</w:t>
      </w:r>
      <w:r w:rsidRPr="00F25EBD">
        <w:rPr>
          <w:rFonts w:asciiTheme="majorHAnsi" w:hAnsiTheme="majorHAnsi" w:cstheme="majorHAnsi"/>
        </w:rPr>
        <w:t>1.479,10 zł), a</w:t>
      </w:r>
      <w:r w:rsidR="007B04A7">
        <w:rPr>
          <w:rFonts w:asciiTheme="majorHAnsi" w:hAnsiTheme="majorHAnsi" w:cstheme="majorHAnsi"/>
        </w:rPr>
        <w:t xml:space="preserve"> </w:t>
      </w:r>
      <w:r w:rsidRPr="00F25EBD">
        <w:rPr>
          <w:rFonts w:asciiTheme="majorHAnsi" w:hAnsiTheme="majorHAnsi" w:cstheme="majorHAnsi"/>
        </w:rPr>
        <w:t>następne w kolejności były: szczycieński</w:t>
      </w:r>
      <w:r w:rsidR="00336D76" w:rsidRPr="00F25EBD">
        <w:rPr>
          <w:rFonts w:asciiTheme="majorHAnsi" w:hAnsiTheme="majorHAnsi" w:cstheme="majorHAnsi"/>
        </w:rPr>
        <w:t xml:space="preserve"> - </w:t>
      </w:r>
      <w:r w:rsidRPr="00F25EBD">
        <w:rPr>
          <w:rFonts w:asciiTheme="majorHAnsi" w:hAnsiTheme="majorHAnsi" w:cstheme="majorHAnsi"/>
        </w:rPr>
        <w:t>1.368.56 zł, piski</w:t>
      </w:r>
      <w:r w:rsidR="00336D76" w:rsidRPr="00F25EBD">
        <w:rPr>
          <w:rFonts w:asciiTheme="majorHAnsi" w:hAnsiTheme="majorHAnsi" w:cstheme="majorHAnsi"/>
        </w:rPr>
        <w:t xml:space="preserve"> - </w:t>
      </w:r>
      <w:r w:rsidRPr="00F25EBD">
        <w:rPr>
          <w:rFonts w:asciiTheme="majorHAnsi" w:hAnsiTheme="majorHAnsi" w:cstheme="majorHAnsi"/>
        </w:rPr>
        <w:t>1.303.,01 zł i działdowski</w:t>
      </w:r>
      <w:r w:rsidR="00336D76" w:rsidRPr="00F25EBD">
        <w:rPr>
          <w:rFonts w:asciiTheme="majorHAnsi" w:hAnsiTheme="majorHAnsi" w:cstheme="majorHAnsi"/>
        </w:rPr>
        <w:t xml:space="preserve"> - </w:t>
      </w:r>
      <w:r w:rsidRPr="00F25EBD">
        <w:rPr>
          <w:rFonts w:asciiTheme="majorHAnsi" w:hAnsiTheme="majorHAnsi" w:cstheme="majorHAnsi"/>
        </w:rPr>
        <w:t>1.108,77</w:t>
      </w:r>
      <w:r w:rsidR="007B04A7">
        <w:rPr>
          <w:rFonts w:asciiTheme="majorHAnsi" w:hAnsiTheme="majorHAnsi" w:cstheme="majorHAnsi"/>
        </w:rPr>
        <w:t xml:space="preserve"> </w:t>
      </w:r>
      <w:r w:rsidRPr="00F25EBD">
        <w:rPr>
          <w:rFonts w:asciiTheme="majorHAnsi" w:hAnsiTheme="majorHAnsi" w:cstheme="majorHAnsi"/>
        </w:rPr>
        <w:t xml:space="preserve">zł. Na przestrzeni lat 2010-2019 każdy powiat PM odnotował wzrost wydatków, przy czym najwyższy przyrost miał miejsce w powiecie działdowskim (35,2%), a następnie </w:t>
      </w:r>
      <w:proofErr w:type="spellStart"/>
      <w:r w:rsidRPr="00F25EBD">
        <w:rPr>
          <w:rFonts w:asciiTheme="majorHAnsi" w:hAnsiTheme="majorHAnsi" w:cstheme="majorHAnsi"/>
        </w:rPr>
        <w:t>piskim</w:t>
      </w:r>
      <w:proofErr w:type="spellEnd"/>
      <w:r w:rsidRPr="00F25EBD">
        <w:rPr>
          <w:rFonts w:asciiTheme="majorHAnsi" w:hAnsiTheme="majorHAnsi" w:cstheme="majorHAnsi"/>
        </w:rPr>
        <w:t xml:space="preserve"> (15,1%), nidzickim (7,9%) i szczycieńskim (1,2%). Zmiany wydatków budżetowych </w:t>
      </w:r>
      <w:r w:rsidRPr="00F25EBD">
        <w:rPr>
          <w:rFonts w:asciiTheme="majorHAnsi" w:hAnsiTheme="majorHAnsi" w:cstheme="majorHAnsi"/>
          <w:i/>
          <w:iCs/>
        </w:rPr>
        <w:t xml:space="preserve">per capita </w:t>
      </w:r>
      <w:r w:rsidRPr="00F25EBD">
        <w:rPr>
          <w:rFonts w:asciiTheme="majorHAnsi" w:hAnsiTheme="majorHAnsi" w:cstheme="majorHAnsi"/>
        </w:rPr>
        <w:t>w latach 2010-2019 przedstawione są na poniższym rysunku.</w:t>
      </w:r>
    </w:p>
    <w:p w14:paraId="6A8A9D8A" w14:textId="6C8670F3" w:rsidR="00EA2B5F" w:rsidRPr="00F25EBD" w:rsidRDefault="00EA2B5F" w:rsidP="00F37B88">
      <w:pPr>
        <w:pStyle w:val="nad"/>
      </w:pPr>
      <w:bookmarkStart w:id="79" w:name="_Toc81301561"/>
      <w:r w:rsidRPr="00F25EBD">
        <w:t xml:space="preserve">Rysunek </w:t>
      </w:r>
      <w:r w:rsidRPr="00F25EBD">
        <w:rPr>
          <w:noProof/>
        </w:rPr>
        <w:fldChar w:fldCharType="begin"/>
      </w:r>
      <w:r w:rsidRPr="00F25EBD">
        <w:rPr>
          <w:noProof/>
        </w:rPr>
        <w:instrText xml:space="preserve"> SEQ Rysunek \* ARABIC </w:instrText>
      </w:r>
      <w:r w:rsidRPr="00F25EBD">
        <w:rPr>
          <w:noProof/>
        </w:rPr>
        <w:fldChar w:fldCharType="separate"/>
      </w:r>
      <w:r w:rsidR="006C7815">
        <w:rPr>
          <w:noProof/>
        </w:rPr>
        <w:t>33</w:t>
      </w:r>
      <w:r w:rsidRPr="00F25EBD">
        <w:rPr>
          <w:noProof/>
        </w:rPr>
        <w:fldChar w:fldCharType="end"/>
      </w:r>
      <w:r w:rsidRPr="00F25EBD">
        <w:t>. Wydatki budżetów powiatów w przeliczeniu na mieszkańca w latach 2010-2019</w:t>
      </w:r>
      <w:bookmarkEnd w:id="79"/>
    </w:p>
    <w:p w14:paraId="62CAA37A" w14:textId="77777777" w:rsidR="00EA2B5F" w:rsidRPr="00F25EBD" w:rsidRDefault="00EA2B5F" w:rsidP="00FC7062">
      <w:pPr>
        <w:spacing w:after="0" w:line="276" w:lineRule="auto"/>
        <w:jc w:val="center"/>
        <w:rPr>
          <w:rFonts w:asciiTheme="majorHAnsi" w:hAnsiTheme="majorHAnsi" w:cstheme="majorHAnsi"/>
        </w:rPr>
      </w:pPr>
      <w:r w:rsidRPr="00F25EBD">
        <w:rPr>
          <w:rFonts w:asciiTheme="majorHAnsi" w:hAnsiTheme="majorHAnsi" w:cstheme="majorHAnsi"/>
          <w:noProof/>
          <w:lang w:eastAsia="pl-PL"/>
        </w:rPr>
        <w:drawing>
          <wp:inline distT="0" distB="0" distL="0" distR="0" wp14:anchorId="33A99BD4" wp14:editId="2AC64337">
            <wp:extent cx="5759450" cy="2234242"/>
            <wp:effectExtent l="0" t="0" r="12700" b="13970"/>
            <wp:docPr id="35" name="Wykres 35">
              <a:extLst xmlns:a="http://schemas.openxmlformats.org/drawingml/2006/main">
                <a:ext uri="{FF2B5EF4-FFF2-40B4-BE49-F238E27FC236}">
                  <a16:creationId xmlns:a16="http://schemas.microsoft.com/office/drawing/2014/main" id="{BCFF7C92-48ED-494C-AF62-6A5F383FC60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12EE7230" w14:textId="77777777" w:rsidR="00EA2B5F" w:rsidRPr="00F25EBD" w:rsidRDefault="00EA2B5F" w:rsidP="00F37B88">
      <w:pPr>
        <w:pStyle w:val="rdo"/>
      </w:pPr>
      <w:r w:rsidRPr="00F25EBD">
        <w:t>Źródło: opracowanie własne na podstawie danych BDL.</w:t>
      </w:r>
    </w:p>
    <w:p w14:paraId="5D40FA8C" w14:textId="27843CB5" w:rsidR="00EA2B5F" w:rsidRPr="00F25EBD" w:rsidRDefault="00EA2B5F" w:rsidP="00DE0854">
      <w:pPr>
        <w:spacing w:line="276" w:lineRule="auto"/>
        <w:jc w:val="both"/>
        <w:rPr>
          <w:rFonts w:asciiTheme="majorHAnsi" w:eastAsia="Times New Roman" w:hAnsiTheme="majorHAnsi" w:cstheme="majorHAnsi"/>
          <w:lang w:eastAsia="pl-PL"/>
        </w:rPr>
      </w:pPr>
      <w:r w:rsidRPr="00F25EBD">
        <w:rPr>
          <w:rFonts w:asciiTheme="majorHAnsi" w:hAnsiTheme="majorHAnsi" w:cstheme="majorHAnsi"/>
        </w:rPr>
        <w:t>W strukturze wydatków ogółem zdecydowaną większość stanowiły wydatki bieżące. W 2019</w:t>
      </w:r>
      <w:r w:rsidR="00F7062F">
        <w:rPr>
          <w:rFonts w:asciiTheme="majorHAnsi" w:hAnsiTheme="majorHAnsi" w:cstheme="majorHAnsi"/>
        </w:rPr>
        <w:t>r.</w:t>
      </w:r>
      <w:r w:rsidRPr="00F25EBD">
        <w:rPr>
          <w:rFonts w:asciiTheme="majorHAnsi" w:hAnsiTheme="majorHAnsi" w:cstheme="majorHAnsi"/>
        </w:rPr>
        <w:t xml:space="preserve"> ich średni udział wyniósł 83,0%, przy czym najwyższy był w powiecie nidzickim</w:t>
      </w:r>
      <w:r w:rsidR="00F37B88">
        <w:rPr>
          <w:rFonts w:asciiTheme="majorHAnsi" w:hAnsiTheme="majorHAnsi" w:cstheme="majorHAnsi"/>
        </w:rPr>
        <w:t xml:space="preserve"> (87,2%), natomiast najniższy w </w:t>
      </w:r>
      <w:r w:rsidRPr="00F25EBD">
        <w:rPr>
          <w:rFonts w:asciiTheme="majorHAnsi" w:hAnsiTheme="majorHAnsi" w:cstheme="majorHAnsi"/>
        </w:rPr>
        <w:t xml:space="preserve">szczycieńskim (78,1%). Pozostałą część środków finansowych analizowane jednostki przeznaczały na różnego rodzaju inwestycje, łącznie w ciągu ostatnich 10 lat było to </w:t>
      </w:r>
      <w:r w:rsidRPr="00F25EBD">
        <w:rPr>
          <w:rFonts w:asciiTheme="majorHAnsi" w:eastAsia="Times New Roman" w:hAnsiTheme="majorHAnsi" w:cstheme="majorHAnsi"/>
          <w:lang w:eastAsia="pl-PL"/>
        </w:rPr>
        <w:t>415,67 mln zł. Niemal ¾ tej puli rozdysponowane zostało przez dwa powiaty, tj. powiat szczycieński (162,54 mln zł) oraz piski (130,23 mln zł), zaś udział dwóch pozostałych był zdecydowanie mniejszy (powiat działdowski</w:t>
      </w:r>
      <w:r w:rsidR="00336D76" w:rsidRPr="00F25EBD">
        <w:rPr>
          <w:rFonts w:asciiTheme="majorHAnsi" w:eastAsia="Times New Roman" w:hAnsiTheme="majorHAnsi" w:cstheme="majorHAnsi"/>
          <w:lang w:eastAsia="pl-PL"/>
        </w:rPr>
        <w:t xml:space="preserve"> - </w:t>
      </w:r>
      <w:r w:rsidRPr="00F25EBD">
        <w:rPr>
          <w:rFonts w:asciiTheme="majorHAnsi" w:eastAsia="Times New Roman" w:hAnsiTheme="majorHAnsi" w:cstheme="majorHAnsi"/>
          <w:lang w:eastAsia="pl-PL"/>
        </w:rPr>
        <w:t>77,95 mln zł, powiat nidzicki</w:t>
      </w:r>
      <w:r w:rsidR="00336D76" w:rsidRPr="00F25EBD">
        <w:rPr>
          <w:rFonts w:asciiTheme="majorHAnsi" w:eastAsia="Times New Roman" w:hAnsiTheme="majorHAnsi" w:cstheme="majorHAnsi"/>
          <w:lang w:eastAsia="pl-PL"/>
        </w:rPr>
        <w:t xml:space="preserve"> - </w:t>
      </w:r>
      <w:r w:rsidRPr="00F25EBD">
        <w:rPr>
          <w:rFonts w:asciiTheme="majorHAnsi" w:eastAsia="Times New Roman" w:hAnsiTheme="majorHAnsi" w:cstheme="majorHAnsi"/>
          <w:lang w:eastAsia="pl-PL"/>
        </w:rPr>
        <w:t>44,94 mln zł).</w:t>
      </w:r>
    </w:p>
    <w:p w14:paraId="3243956B" w14:textId="7DFF320A" w:rsidR="00EA2B5F" w:rsidRPr="00F25EBD" w:rsidRDefault="00EA2B5F" w:rsidP="00DE0854">
      <w:pPr>
        <w:spacing w:line="276" w:lineRule="auto"/>
        <w:jc w:val="both"/>
        <w:rPr>
          <w:rFonts w:asciiTheme="majorHAnsi" w:hAnsiTheme="majorHAnsi" w:cstheme="majorHAnsi"/>
        </w:rPr>
      </w:pPr>
      <w:r w:rsidRPr="00F25EBD">
        <w:rPr>
          <w:rFonts w:asciiTheme="majorHAnsi" w:hAnsiTheme="majorHAnsi" w:cstheme="majorHAnsi"/>
        </w:rPr>
        <w:t>W 2019</w:t>
      </w:r>
      <w:r w:rsidR="00F7062F">
        <w:rPr>
          <w:rFonts w:asciiTheme="majorHAnsi" w:hAnsiTheme="majorHAnsi" w:cstheme="majorHAnsi"/>
        </w:rPr>
        <w:t>r.</w:t>
      </w:r>
      <w:r w:rsidRPr="00F25EBD">
        <w:rPr>
          <w:rFonts w:asciiTheme="majorHAnsi" w:hAnsiTheme="majorHAnsi" w:cstheme="majorHAnsi"/>
        </w:rPr>
        <w:t xml:space="preserve"> w strukturze wydatków wg działów klasyfikacji budżetowej dominowały trzy obszary, tj.: oświata i wychowanie (29,5%), transport i łączność (15,1%) oraz administracja publiczna (9,6%), które pochłaniały niemal połowę wszystkich środków zgromadzonych przez powiaty PM. Szczegółową strukturę wydatków poszczególnych samorządów PM w 2010</w:t>
      </w:r>
      <w:r w:rsidR="00F7062F">
        <w:rPr>
          <w:rFonts w:asciiTheme="majorHAnsi" w:hAnsiTheme="majorHAnsi" w:cstheme="majorHAnsi"/>
        </w:rPr>
        <w:t>r.</w:t>
      </w:r>
      <w:r w:rsidRPr="00F25EBD">
        <w:rPr>
          <w:rFonts w:asciiTheme="majorHAnsi" w:hAnsiTheme="majorHAnsi" w:cstheme="majorHAnsi"/>
        </w:rPr>
        <w:t xml:space="preserve"> i w 2019</w:t>
      </w:r>
      <w:r w:rsidR="00F7062F">
        <w:rPr>
          <w:rFonts w:asciiTheme="majorHAnsi" w:hAnsiTheme="majorHAnsi" w:cstheme="majorHAnsi"/>
        </w:rPr>
        <w:t>r.</w:t>
      </w:r>
      <w:r w:rsidRPr="00F25EBD">
        <w:rPr>
          <w:rFonts w:asciiTheme="majorHAnsi" w:hAnsiTheme="majorHAnsi" w:cstheme="majorHAnsi"/>
        </w:rPr>
        <w:t xml:space="preserve"> oraz ich zmiany przedstawia poniższa tabela. Wynika z niej, że najbardziej porównywalna sytuacja panowała w sferze bezpieczeństwa publicznego i ochrony przeciwpożarowej, w której przyrost wydatków we wszystkich powiatach był podobny i mieścił się w przedziale 36,0%-47,3%. Pozostałe działy klasy</w:t>
      </w:r>
      <w:r w:rsidR="00F37B88">
        <w:rPr>
          <w:rFonts w:asciiTheme="majorHAnsi" w:hAnsiTheme="majorHAnsi" w:cstheme="majorHAnsi"/>
        </w:rPr>
        <w:t>fikacji budżetowej, w związku z </w:t>
      </w:r>
      <w:r w:rsidRPr="00F25EBD">
        <w:rPr>
          <w:rFonts w:asciiTheme="majorHAnsi" w:hAnsiTheme="majorHAnsi" w:cstheme="majorHAnsi"/>
        </w:rPr>
        <w:t>realizowanymi przez poszczególne jednostki przedsięwzięciami, odznaczały się albo wzrostem, albo też redukcją wydatkowanych środków. Na przestrzeni analizowanych lat, szczególnie duże rozpiętości pojawiły się w ochronie zdrowia oraz transporcie i łączności.</w:t>
      </w:r>
    </w:p>
    <w:p w14:paraId="08F4C117" w14:textId="036A3699" w:rsidR="00EA2B5F" w:rsidRPr="00F25EBD" w:rsidRDefault="004C64BD" w:rsidP="00F37B88">
      <w:pPr>
        <w:pStyle w:val="nad"/>
      </w:pPr>
      <w:r>
        <w:br w:type="page"/>
      </w:r>
      <w:bookmarkStart w:id="80" w:name="_Toc81300543"/>
      <w:r w:rsidR="00EA2B5F" w:rsidRPr="00F25EBD">
        <w:t xml:space="preserve">Tabela </w:t>
      </w:r>
      <w:r w:rsidR="00EA2B5F" w:rsidRPr="00F25EBD">
        <w:rPr>
          <w:noProof/>
        </w:rPr>
        <w:fldChar w:fldCharType="begin"/>
      </w:r>
      <w:r w:rsidR="00EA2B5F" w:rsidRPr="00F25EBD">
        <w:rPr>
          <w:noProof/>
        </w:rPr>
        <w:instrText xml:space="preserve"> SEQ Tabela \* ARABIC </w:instrText>
      </w:r>
      <w:r w:rsidR="00EA2B5F" w:rsidRPr="00F25EBD">
        <w:rPr>
          <w:noProof/>
        </w:rPr>
        <w:fldChar w:fldCharType="separate"/>
      </w:r>
      <w:r w:rsidR="006C7815">
        <w:rPr>
          <w:noProof/>
        </w:rPr>
        <w:t>17</w:t>
      </w:r>
      <w:r w:rsidR="00EA2B5F" w:rsidRPr="00F25EBD">
        <w:rPr>
          <w:noProof/>
        </w:rPr>
        <w:fldChar w:fldCharType="end"/>
      </w:r>
      <w:r w:rsidR="00EA2B5F" w:rsidRPr="00F25EBD">
        <w:t>. Struktura wydatków powiatów PM w układzie wybranych działów klasyfikacji budżetowej</w:t>
      </w:r>
      <w:bookmarkEnd w:id="80"/>
    </w:p>
    <w:tbl>
      <w:tblPr>
        <w:tblW w:w="5000" w:type="pct"/>
        <w:tblCellMar>
          <w:left w:w="70" w:type="dxa"/>
          <w:right w:w="70" w:type="dxa"/>
        </w:tblCellMar>
        <w:tblLook w:val="04A0" w:firstRow="1" w:lastRow="0" w:firstColumn="1" w:lastColumn="0" w:noHBand="0" w:noVBand="1"/>
      </w:tblPr>
      <w:tblGrid>
        <w:gridCol w:w="1648"/>
        <w:gridCol w:w="656"/>
        <w:gridCol w:w="1002"/>
        <w:gridCol w:w="687"/>
        <w:gridCol w:w="1002"/>
        <w:gridCol w:w="687"/>
        <w:gridCol w:w="1002"/>
        <w:gridCol w:w="687"/>
        <w:gridCol w:w="1002"/>
        <w:gridCol w:w="687"/>
      </w:tblGrid>
      <w:tr w:rsidR="00F37B88" w:rsidRPr="00F37B88" w14:paraId="048EC940" w14:textId="77777777" w:rsidTr="00F37B88">
        <w:trPr>
          <w:trHeight w:val="240"/>
        </w:trPr>
        <w:tc>
          <w:tcPr>
            <w:tcW w:w="1047" w:type="pct"/>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vAlign w:val="center"/>
          </w:tcPr>
          <w:p w14:paraId="30A03FAF" w14:textId="77777777" w:rsidR="00EA2B5F" w:rsidRPr="00F37B88" w:rsidRDefault="00EA2B5F" w:rsidP="00F37B88">
            <w:pPr>
              <w:spacing w:after="0" w:line="240" w:lineRule="auto"/>
              <w:jc w:val="center"/>
              <w:rPr>
                <w:rFonts w:asciiTheme="majorHAnsi" w:eastAsia="Times New Roman" w:hAnsiTheme="majorHAnsi" w:cstheme="majorHAnsi"/>
                <w:color w:val="FFFFFF" w:themeColor="background1"/>
                <w:sz w:val="18"/>
                <w:szCs w:val="18"/>
                <w:lang w:eastAsia="pl-PL"/>
              </w:rPr>
            </w:pPr>
            <w:r w:rsidRPr="00F37B88">
              <w:rPr>
                <w:rFonts w:asciiTheme="majorHAnsi" w:eastAsia="Times New Roman" w:hAnsiTheme="majorHAnsi" w:cstheme="majorHAnsi"/>
                <w:color w:val="FFFFFF" w:themeColor="background1"/>
                <w:sz w:val="18"/>
                <w:szCs w:val="18"/>
                <w:lang w:eastAsia="pl-PL"/>
              </w:rPr>
              <w:t xml:space="preserve">Dział klasyfikacji </w:t>
            </w:r>
            <w:proofErr w:type="spellStart"/>
            <w:r w:rsidRPr="00F37B88">
              <w:rPr>
                <w:rFonts w:asciiTheme="majorHAnsi" w:eastAsia="Times New Roman" w:hAnsiTheme="majorHAnsi" w:cstheme="majorHAnsi"/>
                <w:color w:val="FFFFFF" w:themeColor="background1"/>
                <w:sz w:val="18"/>
                <w:szCs w:val="18"/>
                <w:lang w:eastAsia="pl-PL"/>
              </w:rPr>
              <w:t>budzetowej</w:t>
            </w:r>
            <w:proofErr w:type="spellEnd"/>
          </w:p>
        </w:tc>
        <w:tc>
          <w:tcPr>
            <w:tcW w:w="474" w:type="pct"/>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noWrap/>
            <w:vAlign w:val="center"/>
          </w:tcPr>
          <w:p w14:paraId="0EB7FC7C" w14:textId="77777777" w:rsidR="00EA2B5F" w:rsidRPr="00F37B88" w:rsidRDefault="00EA2B5F" w:rsidP="00F37B88">
            <w:pPr>
              <w:spacing w:after="0" w:line="240" w:lineRule="auto"/>
              <w:jc w:val="center"/>
              <w:rPr>
                <w:rFonts w:asciiTheme="majorHAnsi" w:eastAsia="Times New Roman" w:hAnsiTheme="majorHAnsi" w:cstheme="majorHAnsi"/>
                <w:color w:val="FFFFFF" w:themeColor="background1"/>
                <w:sz w:val="18"/>
                <w:szCs w:val="18"/>
                <w:lang w:eastAsia="pl-PL"/>
              </w:rPr>
            </w:pPr>
            <w:r w:rsidRPr="00F37B88">
              <w:rPr>
                <w:rFonts w:asciiTheme="majorHAnsi" w:eastAsia="Times New Roman" w:hAnsiTheme="majorHAnsi" w:cstheme="majorHAnsi"/>
                <w:color w:val="FFFFFF" w:themeColor="background1"/>
                <w:sz w:val="18"/>
                <w:szCs w:val="18"/>
                <w:lang w:eastAsia="pl-PL"/>
              </w:rPr>
              <w:t>Rok</w:t>
            </w:r>
          </w:p>
        </w:tc>
        <w:tc>
          <w:tcPr>
            <w:tcW w:w="3478" w:type="pct"/>
            <w:gridSpan w:val="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noWrap/>
            <w:vAlign w:val="bottom"/>
            <w:hideMark/>
          </w:tcPr>
          <w:p w14:paraId="435DE7B4" w14:textId="77777777" w:rsidR="00EA2B5F" w:rsidRPr="00F37B88" w:rsidRDefault="00EA2B5F" w:rsidP="00F37B88">
            <w:pPr>
              <w:spacing w:after="0" w:line="240" w:lineRule="auto"/>
              <w:jc w:val="center"/>
              <w:rPr>
                <w:rFonts w:asciiTheme="majorHAnsi" w:eastAsia="Times New Roman" w:hAnsiTheme="majorHAnsi" w:cstheme="majorHAnsi"/>
                <w:color w:val="FFFFFF" w:themeColor="background1"/>
                <w:sz w:val="18"/>
                <w:szCs w:val="18"/>
                <w:lang w:eastAsia="pl-PL"/>
              </w:rPr>
            </w:pPr>
            <w:r w:rsidRPr="00F37B88">
              <w:rPr>
                <w:rFonts w:asciiTheme="majorHAnsi" w:eastAsia="Times New Roman" w:hAnsiTheme="majorHAnsi" w:cstheme="majorHAnsi"/>
                <w:color w:val="FFFFFF" w:themeColor="background1"/>
                <w:sz w:val="18"/>
                <w:szCs w:val="18"/>
                <w:lang w:eastAsia="pl-PL"/>
              </w:rPr>
              <w:t>Powiat</w:t>
            </w:r>
          </w:p>
        </w:tc>
      </w:tr>
      <w:tr w:rsidR="00EA2B5F" w:rsidRPr="00F25EBD" w14:paraId="70DA5FF1" w14:textId="77777777" w:rsidTr="00F37B88">
        <w:trPr>
          <w:trHeight w:val="240"/>
        </w:trPr>
        <w:tc>
          <w:tcPr>
            <w:tcW w:w="1047" w:type="pct"/>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hideMark/>
          </w:tcPr>
          <w:p w14:paraId="74CB3C17" w14:textId="77777777" w:rsidR="00EA2B5F" w:rsidRPr="00F25EBD" w:rsidRDefault="00EA2B5F" w:rsidP="00F37B88">
            <w:pPr>
              <w:spacing w:after="0" w:line="240" w:lineRule="auto"/>
              <w:jc w:val="center"/>
              <w:rPr>
                <w:rFonts w:asciiTheme="majorHAnsi" w:eastAsia="Times New Roman" w:hAnsiTheme="majorHAnsi" w:cstheme="majorHAnsi"/>
                <w:sz w:val="18"/>
                <w:szCs w:val="18"/>
                <w:lang w:eastAsia="pl-PL"/>
              </w:rPr>
            </w:pPr>
          </w:p>
        </w:tc>
        <w:tc>
          <w:tcPr>
            <w:tcW w:w="474" w:type="pct"/>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33CD4620" w14:textId="77777777" w:rsidR="00EA2B5F" w:rsidRPr="00F25EBD" w:rsidRDefault="00EA2B5F" w:rsidP="00F37B88">
            <w:pPr>
              <w:spacing w:after="0" w:line="240" w:lineRule="auto"/>
              <w:jc w:val="center"/>
              <w:rPr>
                <w:rFonts w:asciiTheme="majorHAnsi" w:eastAsia="Times New Roman" w:hAnsiTheme="majorHAnsi" w:cstheme="majorHAnsi"/>
                <w:sz w:val="18"/>
                <w:szCs w:val="18"/>
                <w:lang w:eastAsia="pl-PL"/>
              </w:rPr>
            </w:pPr>
          </w:p>
        </w:tc>
        <w:tc>
          <w:tcPr>
            <w:tcW w:w="870"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EEAF6" w:themeFill="accent1" w:themeFillTint="33"/>
            <w:noWrap/>
            <w:vAlign w:val="bottom"/>
            <w:hideMark/>
          </w:tcPr>
          <w:p w14:paraId="6508188F" w14:textId="77777777" w:rsidR="00EA2B5F" w:rsidRPr="00F25EBD" w:rsidRDefault="00EA2B5F" w:rsidP="00F37B88">
            <w:pPr>
              <w:spacing w:after="0" w:line="240" w:lineRule="auto"/>
              <w:jc w:val="center"/>
              <w:rPr>
                <w:rFonts w:asciiTheme="majorHAnsi" w:eastAsia="Times New Roman" w:hAnsiTheme="majorHAnsi" w:cstheme="majorHAnsi"/>
                <w:sz w:val="18"/>
                <w:szCs w:val="18"/>
                <w:lang w:eastAsia="pl-PL"/>
              </w:rPr>
            </w:pPr>
            <w:r w:rsidRPr="00F25EBD">
              <w:rPr>
                <w:rFonts w:asciiTheme="majorHAnsi" w:eastAsia="Times New Roman" w:hAnsiTheme="majorHAnsi" w:cstheme="majorHAnsi"/>
                <w:sz w:val="18"/>
                <w:szCs w:val="18"/>
                <w:lang w:eastAsia="pl-PL"/>
              </w:rPr>
              <w:t>działdowski</w:t>
            </w:r>
          </w:p>
        </w:tc>
        <w:tc>
          <w:tcPr>
            <w:tcW w:w="870"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EEAF6" w:themeFill="accent1" w:themeFillTint="33"/>
            <w:noWrap/>
            <w:vAlign w:val="bottom"/>
            <w:hideMark/>
          </w:tcPr>
          <w:p w14:paraId="02A3051D" w14:textId="77777777" w:rsidR="00EA2B5F" w:rsidRPr="00F25EBD" w:rsidRDefault="00EA2B5F" w:rsidP="00F37B88">
            <w:pPr>
              <w:spacing w:after="0" w:line="240" w:lineRule="auto"/>
              <w:jc w:val="center"/>
              <w:rPr>
                <w:rFonts w:asciiTheme="majorHAnsi" w:eastAsia="Times New Roman" w:hAnsiTheme="majorHAnsi" w:cstheme="majorHAnsi"/>
                <w:sz w:val="18"/>
                <w:szCs w:val="18"/>
                <w:lang w:eastAsia="pl-PL"/>
              </w:rPr>
            </w:pPr>
            <w:r w:rsidRPr="00F25EBD">
              <w:rPr>
                <w:rFonts w:asciiTheme="majorHAnsi" w:eastAsia="Times New Roman" w:hAnsiTheme="majorHAnsi" w:cstheme="majorHAnsi"/>
                <w:sz w:val="18"/>
                <w:szCs w:val="18"/>
                <w:lang w:eastAsia="pl-PL"/>
              </w:rPr>
              <w:t>nidzicki</w:t>
            </w:r>
          </w:p>
        </w:tc>
        <w:tc>
          <w:tcPr>
            <w:tcW w:w="870"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EEAF6" w:themeFill="accent1" w:themeFillTint="33"/>
            <w:noWrap/>
            <w:vAlign w:val="bottom"/>
            <w:hideMark/>
          </w:tcPr>
          <w:p w14:paraId="4307D0DF" w14:textId="77777777" w:rsidR="00EA2B5F" w:rsidRPr="00F25EBD" w:rsidRDefault="00EA2B5F" w:rsidP="00F37B88">
            <w:pPr>
              <w:spacing w:after="0" w:line="240" w:lineRule="auto"/>
              <w:jc w:val="center"/>
              <w:rPr>
                <w:rFonts w:asciiTheme="majorHAnsi" w:eastAsia="Times New Roman" w:hAnsiTheme="majorHAnsi" w:cstheme="majorHAnsi"/>
                <w:sz w:val="18"/>
                <w:szCs w:val="18"/>
                <w:lang w:eastAsia="pl-PL"/>
              </w:rPr>
            </w:pPr>
            <w:r w:rsidRPr="00F25EBD">
              <w:rPr>
                <w:rFonts w:asciiTheme="majorHAnsi" w:eastAsia="Times New Roman" w:hAnsiTheme="majorHAnsi" w:cstheme="majorHAnsi"/>
                <w:sz w:val="18"/>
                <w:szCs w:val="18"/>
                <w:lang w:eastAsia="pl-PL"/>
              </w:rPr>
              <w:t>piski</w:t>
            </w:r>
          </w:p>
        </w:tc>
        <w:tc>
          <w:tcPr>
            <w:tcW w:w="870"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EEAF6" w:themeFill="accent1" w:themeFillTint="33"/>
            <w:noWrap/>
            <w:vAlign w:val="bottom"/>
            <w:hideMark/>
          </w:tcPr>
          <w:p w14:paraId="1DE4E2B8" w14:textId="77777777" w:rsidR="00EA2B5F" w:rsidRPr="00F25EBD" w:rsidRDefault="00EA2B5F" w:rsidP="00F37B88">
            <w:pPr>
              <w:spacing w:after="0" w:line="240" w:lineRule="auto"/>
              <w:jc w:val="center"/>
              <w:rPr>
                <w:rFonts w:asciiTheme="majorHAnsi" w:eastAsia="Times New Roman" w:hAnsiTheme="majorHAnsi" w:cstheme="majorHAnsi"/>
                <w:sz w:val="18"/>
                <w:szCs w:val="18"/>
                <w:lang w:eastAsia="pl-PL"/>
              </w:rPr>
            </w:pPr>
            <w:r w:rsidRPr="00F25EBD">
              <w:rPr>
                <w:rFonts w:asciiTheme="majorHAnsi" w:eastAsia="Times New Roman" w:hAnsiTheme="majorHAnsi" w:cstheme="majorHAnsi"/>
                <w:sz w:val="18"/>
                <w:szCs w:val="18"/>
                <w:lang w:eastAsia="pl-PL"/>
              </w:rPr>
              <w:t>szczycieński</w:t>
            </w:r>
          </w:p>
        </w:tc>
      </w:tr>
      <w:tr w:rsidR="00EA2B5F" w:rsidRPr="00F25EBD" w14:paraId="56B7AB17" w14:textId="77777777" w:rsidTr="00F37B88">
        <w:trPr>
          <w:trHeight w:val="480"/>
        </w:trPr>
        <w:tc>
          <w:tcPr>
            <w:tcW w:w="1047" w:type="pct"/>
            <w:vMerge/>
            <w:tcBorders>
              <w:top w:val="single" w:sz="4" w:space="0" w:color="FFFFFF" w:themeColor="background1"/>
              <w:left w:val="single" w:sz="4" w:space="0" w:color="FFFFFF" w:themeColor="background1"/>
              <w:right w:val="single" w:sz="4" w:space="0" w:color="FFFFFF" w:themeColor="background1"/>
            </w:tcBorders>
            <w:shd w:val="clear" w:color="auto" w:fill="auto"/>
            <w:vAlign w:val="center"/>
            <w:hideMark/>
          </w:tcPr>
          <w:p w14:paraId="049F9C1D" w14:textId="77777777" w:rsidR="00EA2B5F" w:rsidRPr="00F25EBD" w:rsidRDefault="00EA2B5F" w:rsidP="00F37B88">
            <w:pPr>
              <w:spacing w:after="0" w:line="240" w:lineRule="auto"/>
              <w:jc w:val="center"/>
              <w:rPr>
                <w:rFonts w:asciiTheme="majorHAnsi" w:eastAsia="Times New Roman" w:hAnsiTheme="majorHAnsi" w:cstheme="majorHAnsi"/>
                <w:sz w:val="18"/>
                <w:szCs w:val="18"/>
                <w:lang w:eastAsia="pl-PL"/>
              </w:rPr>
            </w:pPr>
          </w:p>
        </w:tc>
        <w:tc>
          <w:tcPr>
            <w:tcW w:w="474" w:type="pct"/>
            <w:vMerge/>
            <w:tcBorders>
              <w:top w:val="single" w:sz="4" w:space="0" w:color="FFFFFF" w:themeColor="background1"/>
              <w:left w:val="single" w:sz="4" w:space="0" w:color="FFFFFF" w:themeColor="background1"/>
              <w:right w:val="single" w:sz="4" w:space="0" w:color="FFFFFF" w:themeColor="background1"/>
            </w:tcBorders>
            <w:shd w:val="clear" w:color="auto" w:fill="auto"/>
            <w:vAlign w:val="center"/>
            <w:hideMark/>
          </w:tcPr>
          <w:p w14:paraId="7A34A5E0" w14:textId="77777777" w:rsidR="00EA2B5F" w:rsidRPr="00F25EBD" w:rsidRDefault="00EA2B5F" w:rsidP="00F37B88">
            <w:pPr>
              <w:spacing w:after="0" w:line="240" w:lineRule="auto"/>
              <w:jc w:val="center"/>
              <w:rPr>
                <w:rFonts w:asciiTheme="majorHAnsi" w:eastAsia="Times New Roman" w:hAnsiTheme="majorHAnsi" w:cstheme="majorHAnsi"/>
                <w:sz w:val="18"/>
                <w:szCs w:val="18"/>
                <w:lang w:eastAsia="pl-PL"/>
              </w:rPr>
            </w:pPr>
          </w:p>
        </w:tc>
        <w:tc>
          <w:tcPr>
            <w:tcW w:w="514" w:type="pct"/>
            <w:tcBorders>
              <w:top w:val="single" w:sz="4" w:space="0" w:color="FFFFFF" w:themeColor="background1"/>
              <w:left w:val="single" w:sz="4" w:space="0" w:color="FFFFFF" w:themeColor="background1"/>
              <w:right w:val="single" w:sz="4" w:space="0" w:color="FFFFFF" w:themeColor="background1"/>
            </w:tcBorders>
            <w:shd w:val="clear" w:color="auto" w:fill="DEEAF6" w:themeFill="accent1" w:themeFillTint="33"/>
            <w:vAlign w:val="center"/>
            <w:hideMark/>
          </w:tcPr>
          <w:p w14:paraId="50CC7C0F" w14:textId="77777777" w:rsidR="00EA2B5F" w:rsidRPr="00F25EBD" w:rsidRDefault="00EA2B5F" w:rsidP="00F37B88">
            <w:pPr>
              <w:spacing w:after="0" w:line="240" w:lineRule="auto"/>
              <w:jc w:val="center"/>
              <w:rPr>
                <w:rFonts w:asciiTheme="majorHAnsi" w:eastAsia="Times New Roman" w:hAnsiTheme="majorHAnsi" w:cstheme="majorHAnsi"/>
                <w:sz w:val="18"/>
                <w:szCs w:val="18"/>
                <w:lang w:eastAsia="pl-PL"/>
              </w:rPr>
            </w:pPr>
            <w:r w:rsidRPr="00F25EBD">
              <w:rPr>
                <w:rFonts w:asciiTheme="majorHAnsi" w:eastAsia="Times New Roman" w:hAnsiTheme="majorHAnsi" w:cstheme="majorHAnsi"/>
                <w:sz w:val="18"/>
                <w:szCs w:val="18"/>
                <w:lang w:eastAsia="pl-PL"/>
              </w:rPr>
              <w:t>zł</w:t>
            </w:r>
          </w:p>
        </w:tc>
        <w:tc>
          <w:tcPr>
            <w:tcW w:w="356" w:type="pct"/>
            <w:tcBorders>
              <w:top w:val="single" w:sz="4" w:space="0" w:color="FFFFFF" w:themeColor="background1"/>
              <w:left w:val="single" w:sz="4" w:space="0" w:color="FFFFFF" w:themeColor="background1"/>
              <w:right w:val="single" w:sz="4" w:space="0" w:color="FFFFFF" w:themeColor="background1"/>
            </w:tcBorders>
            <w:shd w:val="clear" w:color="auto" w:fill="DEEAF6" w:themeFill="accent1" w:themeFillTint="33"/>
            <w:vAlign w:val="center"/>
            <w:hideMark/>
          </w:tcPr>
          <w:p w14:paraId="4FC024B0" w14:textId="77777777" w:rsidR="00EA2B5F" w:rsidRPr="00F25EBD" w:rsidRDefault="00EA2B5F" w:rsidP="00F37B88">
            <w:pPr>
              <w:spacing w:after="0" w:line="240" w:lineRule="auto"/>
              <w:jc w:val="center"/>
              <w:rPr>
                <w:rFonts w:asciiTheme="majorHAnsi" w:eastAsia="Times New Roman" w:hAnsiTheme="majorHAnsi" w:cstheme="majorHAnsi"/>
                <w:sz w:val="18"/>
                <w:szCs w:val="18"/>
                <w:lang w:eastAsia="pl-PL"/>
              </w:rPr>
            </w:pPr>
            <w:r w:rsidRPr="00F25EBD">
              <w:rPr>
                <w:rFonts w:asciiTheme="majorHAnsi" w:eastAsia="Times New Roman" w:hAnsiTheme="majorHAnsi" w:cstheme="majorHAnsi"/>
                <w:sz w:val="18"/>
                <w:szCs w:val="18"/>
                <w:lang w:eastAsia="pl-PL"/>
              </w:rPr>
              <w:t>% w ogółem</w:t>
            </w:r>
          </w:p>
        </w:tc>
        <w:tc>
          <w:tcPr>
            <w:tcW w:w="514" w:type="pct"/>
            <w:tcBorders>
              <w:top w:val="single" w:sz="4" w:space="0" w:color="FFFFFF" w:themeColor="background1"/>
              <w:left w:val="single" w:sz="4" w:space="0" w:color="FFFFFF" w:themeColor="background1"/>
              <w:right w:val="single" w:sz="4" w:space="0" w:color="FFFFFF" w:themeColor="background1"/>
            </w:tcBorders>
            <w:shd w:val="clear" w:color="auto" w:fill="DEEAF6" w:themeFill="accent1" w:themeFillTint="33"/>
            <w:vAlign w:val="center"/>
            <w:hideMark/>
          </w:tcPr>
          <w:p w14:paraId="194C5A98" w14:textId="77777777" w:rsidR="00EA2B5F" w:rsidRPr="00F25EBD" w:rsidRDefault="00EA2B5F" w:rsidP="00F37B88">
            <w:pPr>
              <w:spacing w:after="0" w:line="240" w:lineRule="auto"/>
              <w:jc w:val="center"/>
              <w:rPr>
                <w:rFonts w:asciiTheme="majorHAnsi" w:eastAsia="Times New Roman" w:hAnsiTheme="majorHAnsi" w:cstheme="majorHAnsi"/>
                <w:sz w:val="18"/>
                <w:szCs w:val="18"/>
                <w:lang w:eastAsia="pl-PL"/>
              </w:rPr>
            </w:pPr>
            <w:r w:rsidRPr="00F25EBD">
              <w:rPr>
                <w:rFonts w:asciiTheme="majorHAnsi" w:eastAsia="Times New Roman" w:hAnsiTheme="majorHAnsi" w:cstheme="majorHAnsi"/>
                <w:sz w:val="18"/>
                <w:szCs w:val="18"/>
                <w:lang w:eastAsia="pl-PL"/>
              </w:rPr>
              <w:t>zł</w:t>
            </w:r>
          </w:p>
        </w:tc>
        <w:tc>
          <w:tcPr>
            <w:tcW w:w="356" w:type="pct"/>
            <w:tcBorders>
              <w:top w:val="single" w:sz="4" w:space="0" w:color="FFFFFF" w:themeColor="background1"/>
              <w:left w:val="single" w:sz="4" w:space="0" w:color="FFFFFF" w:themeColor="background1"/>
              <w:right w:val="single" w:sz="4" w:space="0" w:color="FFFFFF" w:themeColor="background1"/>
            </w:tcBorders>
            <w:shd w:val="clear" w:color="auto" w:fill="DEEAF6" w:themeFill="accent1" w:themeFillTint="33"/>
            <w:vAlign w:val="center"/>
            <w:hideMark/>
          </w:tcPr>
          <w:p w14:paraId="213C26DA" w14:textId="77777777" w:rsidR="00EA2B5F" w:rsidRPr="00F25EBD" w:rsidRDefault="00EA2B5F" w:rsidP="00F37B88">
            <w:pPr>
              <w:spacing w:after="0" w:line="240" w:lineRule="auto"/>
              <w:jc w:val="center"/>
              <w:rPr>
                <w:rFonts w:asciiTheme="majorHAnsi" w:eastAsia="Times New Roman" w:hAnsiTheme="majorHAnsi" w:cstheme="majorHAnsi"/>
                <w:sz w:val="18"/>
                <w:szCs w:val="18"/>
                <w:lang w:eastAsia="pl-PL"/>
              </w:rPr>
            </w:pPr>
            <w:r w:rsidRPr="00F25EBD">
              <w:rPr>
                <w:rFonts w:asciiTheme="majorHAnsi" w:eastAsia="Times New Roman" w:hAnsiTheme="majorHAnsi" w:cstheme="majorHAnsi"/>
                <w:sz w:val="18"/>
                <w:szCs w:val="18"/>
                <w:lang w:eastAsia="pl-PL"/>
              </w:rPr>
              <w:t>% w ogółem</w:t>
            </w:r>
          </w:p>
        </w:tc>
        <w:tc>
          <w:tcPr>
            <w:tcW w:w="514" w:type="pct"/>
            <w:tcBorders>
              <w:top w:val="single" w:sz="4" w:space="0" w:color="FFFFFF" w:themeColor="background1"/>
              <w:left w:val="single" w:sz="4" w:space="0" w:color="FFFFFF" w:themeColor="background1"/>
              <w:right w:val="single" w:sz="4" w:space="0" w:color="FFFFFF" w:themeColor="background1"/>
            </w:tcBorders>
            <w:shd w:val="clear" w:color="auto" w:fill="DEEAF6" w:themeFill="accent1" w:themeFillTint="33"/>
            <w:vAlign w:val="center"/>
            <w:hideMark/>
          </w:tcPr>
          <w:p w14:paraId="1BAB446D" w14:textId="77777777" w:rsidR="00EA2B5F" w:rsidRPr="00F25EBD" w:rsidRDefault="00EA2B5F" w:rsidP="00F37B88">
            <w:pPr>
              <w:spacing w:after="0" w:line="240" w:lineRule="auto"/>
              <w:jc w:val="center"/>
              <w:rPr>
                <w:rFonts w:asciiTheme="majorHAnsi" w:eastAsia="Times New Roman" w:hAnsiTheme="majorHAnsi" w:cstheme="majorHAnsi"/>
                <w:sz w:val="18"/>
                <w:szCs w:val="18"/>
                <w:lang w:eastAsia="pl-PL"/>
              </w:rPr>
            </w:pPr>
            <w:r w:rsidRPr="00F25EBD">
              <w:rPr>
                <w:rFonts w:asciiTheme="majorHAnsi" w:eastAsia="Times New Roman" w:hAnsiTheme="majorHAnsi" w:cstheme="majorHAnsi"/>
                <w:sz w:val="18"/>
                <w:szCs w:val="18"/>
                <w:lang w:eastAsia="pl-PL"/>
              </w:rPr>
              <w:t>zł</w:t>
            </w:r>
          </w:p>
        </w:tc>
        <w:tc>
          <w:tcPr>
            <w:tcW w:w="356" w:type="pct"/>
            <w:tcBorders>
              <w:top w:val="single" w:sz="4" w:space="0" w:color="FFFFFF" w:themeColor="background1"/>
              <w:left w:val="single" w:sz="4" w:space="0" w:color="FFFFFF" w:themeColor="background1"/>
              <w:right w:val="single" w:sz="4" w:space="0" w:color="FFFFFF" w:themeColor="background1"/>
            </w:tcBorders>
            <w:shd w:val="clear" w:color="auto" w:fill="DEEAF6" w:themeFill="accent1" w:themeFillTint="33"/>
            <w:vAlign w:val="center"/>
            <w:hideMark/>
          </w:tcPr>
          <w:p w14:paraId="146CCB2A" w14:textId="77777777" w:rsidR="00EA2B5F" w:rsidRPr="00F25EBD" w:rsidRDefault="00EA2B5F" w:rsidP="00F37B88">
            <w:pPr>
              <w:spacing w:after="0" w:line="240" w:lineRule="auto"/>
              <w:jc w:val="center"/>
              <w:rPr>
                <w:rFonts w:asciiTheme="majorHAnsi" w:eastAsia="Times New Roman" w:hAnsiTheme="majorHAnsi" w:cstheme="majorHAnsi"/>
                <w:sz w:val="18"/>
                <w:szCs w:val="18"/>
                <w:lang w:eastAsia="pl-PL"/>
              </w:rPr>
            </w:pPr>
            <w:r w:rsidRPr="00F25EBD">
              <w:rPr>
                <w:rFonts w:asciiTheme="majorHAnsi" w:eastAsia="Times New Roman" w:hAnsiTheme="majorHAnsi" w:cstheme="majorHAnsi"/>
                <w:sz w:val="18"/>
                <w:szCs w:val="18"/>
                <w:lang w:eastAsia="pl-PL"/>
              </w:rPr>
              <w:t>% w ogółem</w:t>
            </w:r>
          </w:p>
        </w:tc>
        <w:tc>
          <w:tcPr>
            <w:tcW w:w="514" w:type="pct"/>
            <w:tcBorders>
              <w:top w:val="single" w:sz="4" w:space="0" w:color="FFFFFF" w:themeColor="background1"/>
              <w:left w:val="single" w:sz="4" w:space="0" w:color="FFFFFF" w:themeColor="background1"/>
              <w:right w:val="single" w:sz="4" w:space="0" w:color="FFFFFF" w:themeColor="background1"/>
            </w:tcBorders>
            <w:shd w:val="clear" w:color="auto" w:fill="DEEAF6" w:themeFill="accent1" w:themeFillTint="33"/>
            <w:vAlign w:val="center"/>
            <w:hideMark/>
          </w:tcPr>
          <w:p w14:paraId="2CBABB43" w14:textId="77777777" w:rsidR="00EA2B5F" w:rsidRPr="00F25EBD" w:rsidRDefault="00EA2B5F" w:rsidP="00F37B88">
            <w:pPr>
              <w:spacing w:after="0" w:line="240" w:lineRule="auto"/>
              <w:jc w:val="center"/>
              <w:rPr>
                <w:rFonts w:asciiTheme="majorHAnsi" w:eastAsia="Times New Roman" w:hAnsiTheme="majorHAnsi" w:cstheme="majorHAnsi"/>
                <w:sz w:val="18"/>
                <w:szCs w:val="18"/>
                <w:lang w:eastAsia="pl-PL"/>
              </w:rPr>
            </w:pPr>
            <w:r w:rsidRPr="00F25EBD">
              <w:rPr>
                <w:rFonts w:asciiTheme="majorHAnsi" w:eastAsia="Times New Roman" w:hAnsiTheme="majorHAnsi" w:cstheme="majorHAnsi"/>
                <w:sz w:val="18"/>
                <w:szCs w:val="18"/>
                <w:lang w:eastAsia="pl-PL"/>
              </w:rPr>
              <w:t>zł</w:t>
            </w:r>
          </w:p>
        </w:tc>
        <w:tc>
          <w:tcPr>
            <w:tcW w:w="356" w:type="pct"/>
            <w:tcBorders>
              <w:top w:val="single" w:sz="4" w:space="0" w:color="FFFFFF" w:themeColor="background1"/>
              <w:left w:val="single" w:sz="4" w:space="0" w:color="FFFFFF" w:themeColor="background1"/>
              <w:right w:val="single" w:sz="4" w:space="0" w:color="FFFFFF" w:themeColor="background1"/>
            </w:tcBorders>
            <w:shd w:val="clear" w:color="auto" w:fill="DEEAF6" w:themeFill="accent1" w:themeFillTint="33"/>
            <w:vAlign w:val="center"/>
            <w:hideMark/>
          </w:tcPr>
          <w:p w14:paraId="12AECB3D" w14:textId="77777777" w:rsidR="00EA2B5F" w:rsidRPr="00F25EBD" w:rsidRDefault="00EA2B5F" w:rsidP="00F37B88">
            <w:pPr>
              <w:spacing w:after="0" w:line="240" w:lineRule="auto"/>
              <w:jc w:val="center"/>
              <w:rPr>
                <w:rFonts w:asciiTheme="majorHAnsi" w:eastAsia="Times New Roman" w:hAnsiTheme="majorHAnsi" w:cstheme="majorHAnsi"/>
                <w:sz w:val="18"/>
                <w:szCs w:val="18"/>
                <w:lang w:eastAsia="pl-PL"/>
              </w:rPr>
            </w:pPr>
            <w:r w:rsidRPr="00F25EBD">
              <w:rPr>
                <w:rFonts w:asciiTheme="majorHAnsi" w:eastAsia="Times New Roman" w:hAnsiTheme="majorHAnsi" w:cstheme="majorHAnsi"/>
                <w:sz w:val="18"/>
                <w:szCs w:val="18"/>
                <w:lang w:eastAsia="pl-PL"/>
              </w:rPr>
              <w:t>% w ogółem</w:t>
            </w:r>
          </w:p>
        </w:tc>
      </w:tr>
      <w:tr w:rsidR="00EA2B5F" w:rsidRPr="00F25EBD" w14:paraId="73AA0821" w14:textId="77777777" w:rsidTr="00F37B88">
        <w:trPr>
          <w:trHeight w:val="240"/>
        </w:trPr>
        <w:tc>
          <w:tcPr>
            <w:tcW w:w="1047" w:type="pct"/>
            <w:vMerge w:val="restart"/>
            <w:tcBorders>
              <w:bottom w:val="single" w:sz="4" w:space="0" w:color="808080" w:themeColor="background1" w:themeShade="80"/>
            </w:tcBorders>
            <w:shd w:val="clear" w:color="auto" w:fill="auto"/>
            <w:vAlign w:val="center"/>
            <w:hideMark/>
          </w:tcPr>
          <w:p w14:paraId="5F2B7994" w14:textId="77777777" w:rsidR="00EA2B5F" w:rsidRPr="00F25EBD" w:rsidRDefault="00EA2B5F" w:rsidP="00F37B88">
            <w:pPr>
              <w:spacing w:after="0" w:line="240" w:lineRule="auto"/>
              <w:rPr>
                <w:rFonts w:asciiTheme="majorHAnsi" w:eastAsia="Times New Roman" w:hAnsiTheme="majorHAnsi" w:cstheme="majorHAnsi"/>
                <w:sz w:val="18"/>
                <w:szCs w:val="18"/>
                <w:lang w:eastAsia="pl-PL"/>
              </w:rPr>
            </w:pPr>
            <w:r w:rsidRPr="00F25EBD">
              <w:rPr>
                <w:rFonts w:asciiTheme="majorHAnsi" w:eastAsia="Times New Roman" w:hAnsiTheme="majorHAnsi" w:cstheme="majorHAnsi"/>
                <w:sz w:val="18"/>
                <w:szCs w:val="18"/>
                <w:lang w:eastAsia="pl-PL"/>
              </w:rPr>
              <w:t>ogółem</w:t>
            </w:r>
          </w:p>
        </w:tc>
        <w:tc>
          <w:tcPr>
            <w:tcW w:w="474" w:type="pct"/>
            <w:tcBorders>
              <w:bottom w:val="single" w:sz="4" w:space="0" w:color="808080" w:themeColor="background1" w:themeShade="80"/>
            </w:tcBorders>
            <w:shd w:val="clear" w:color="auto" w:fill="auto"/>
            <w:noWrap/>
            <w:vAlign w:val="center"/>
            <w:hideMark/>
          </w:tcPr>
          <w:p w14:paraId="21E41602" w14:textId="77777777" w:rsidR="00EA2B5F" w:rsidRPr="00F25EBD" w:rsidRDefault="00EA2B5F" w:rsidP="00F37B88">
            <w:pPr>
              <w:spacing w:after="0" w:line="240" w:lineRule="auto"/>
              <w:jc w:val="center"/>
              <w:rPr>
                <w:rFonts w:asciiTheme="majorHAnsi" w:eastAsia="Times New Roman" w:hAnsiTheme="majorHAnsi" w:cstheme="majorHAnsi"/>
                <w:sz w:val="18"/>
                <w:szCs w:val="18"/>
                <w:lang w:eastAsia="pl-PL"/>
              </w:rPr>
            </w:pPr>
            <w:r w:rsidRPr="00F25EBD">
              <w:rPr>
                <w:rFonts w:asciiTheme="majorHAnsi" w:eastAsia="Times New Roman" w:hAnsiTheme="majorHAnsi" w:cstheme="majorHAnsi"/>
                <w:sz w:val="18"/>
                <w:szCs w:val="18"/>
                <w:lang w:eastAsia="pl-PL"/>
              </w:rPr>
              <w:t>2010</w:t>
            </w:r>
          </w:p>
        </w:tc>
        <w:tc>
          <w:tcPr>
            <w:tcW w:w="514" w:type="pct"/>
            <w:tcBorders>
              <w:bottom w:val="single" w:sz="4" w:space="0" w:color="808080" w:themeColor="background1" w:themeShade="80"/>
            </w:tcBorders>
            <w:shd w:val="clear" w:color="auto" w:fill="auto"/>
            <w:noWrap/>
            <w:vAlign w:val="center"/>
            <w:hideMark/>
          </w:tcPr>
          <w:p w14:paraId="462D0C24" w14:textId="77777777" w:rsidR="00EA2B5F" w:rsidRPr="00F25EBD" w:rsidRDefault="00EA2B5F" w:rsidP="00F37B88">
            <w:pPr>
              <w:spacing w:after="0" w:line="240" w:lineRule="auto"/>
              <w:jc w:val="center"/>
              <w:rPr>
                <w:rFonts w:asciiTheme="majorHAnsi" w:eastAsia="Times New Roman" w:hAnsiTheme="majorHAnsi" w:cstheme="majorHAnsi"/>
                <w:sz w:val="16"/>
                <w:szCs w:val="16"/>
                <w:lang w:eastAsia="pl-PL"/>
              </w:rPr>
            </w:pPr>
            <w:r w:rsidRPr="00F25EBD">
              <w:rPr>
                <w:rFonts w:asciiTheme="majorHAnsi" w:eastAsia="Times New Roman" w:hAnsiTheme="majorHAnsi" w:cstheme="majorHAnsi"/>
                <w:sz w:val="16"/>
                <w:szCs w:val="16"/>
                <w:lang w:eastAsia="pl-PL"/>
              </w:rPr>
              <w:t>54.866.662,9</w:t>
            </w:r>
          </w:p>
        </w:tc>
        <w:tc>
          <w:tcPr>
            <w:tcW w:w="356" w:type="pct"/>
            <w:tcBorders>
              <w:bottom w:val="single" w:sz="4" w:space="0" w:color="808080" w:themeColor="background1" w:themeShade="80"/>
            </w:tcBorders>
            <w:shd w:val="clear" w:color="auto" w:fill="auto"/>
            <w:noWrap/>
            <w:vAlign w:val="center"/>
            <w:hideMark/>
          </w:tcPr>
          <w:p w14:paraId="49378A82" w14:textId="77777777" w:rsidR="00EA2B5F" w:rsidRPr="00F25EBD" w:rsidRDefault="00EA2B5F" w:rsidP="00F37B88">
            <w:pPr>
              <w:spacing w:after="0" w:line="240" w:lineRule="auto"/>
              <w:jc w:val="center"/>
              <w:rPr>
                <w:rFonts w:asciiTheme="majorHAnsi" w:eastAsia="Times New Roman" w:hAnsiTheme="majorHAnsi" w:cstheme="majorHAnsi"/>
                <w:sz w:val="18"/>
                <w:szCs w:val="18"/>
                <w:lang w:eastAsia="pl-PL"/>
              </w:rPr>
            </w:pPr>
            <w:r w:rsidRPr="00F25EBD">
              <w:rPr>
                <w:rFonts w:asciiTheme="majorHAnsi" w:eastAsia="Times New Roman" w:hAnsiTheme="majorHAnsi" w:cstheme="majorHAnsi"/>
                <w:sz w:val="18"/>
                <w:szCs w:val="18"/>
                <w:lang w:eastAsia="pl-PL"/>
              </w:rPr>
              <w:t>-</w:t>
            </w:r>
          </w:p>
        </w:tc>
        <w:tc>
          <w:tcPr>
            <w:tcW w:w="514" w:type="pct"/>
            <w:tcBorders>
              <w:bottom w:val="single" w:sz="4" w:space="0" w:color="808080" w:themeColor="background1" w:themeShade="80"/>
            </w:tcBorders>
            <w:shd w:val="clear" w:color="auto" w:fill="auto"/>
            <w:noWrap/>
            <w:vAlign w:val="center"/>
            <w:hideMark/>
          </w:tcPr>
          <w:p w14:paraId="72C9775D" w14:textId="77777777" w:rsidR="00EA2B5F" w:rsidRPr="00F25EBD" w:rsidRDefault="00EA2B5F" w:rsidP="00F37B88">
            <w:pPr>
              <w:spacing w:after="0" w:line="240" w:lineRule="auto"/>
              <w:jc w:val="center"/>
              <w:rPr>
                <w:rFonts w:asciiTheme="majorHAnsi" w:eastAsia="Times New Roman" w:hAnsiTheme="majorHAnsi" w:cstheme="majorHAnsi"/>
                <w:sz w:val="16"/>
                <w:szCs w:val="16"/>
                <w:lang w:eastAsia="pl-PL"/>
              </w:rPr>
            </w:pPr>
            <w:r w:rsidRPr="00F25EBD">
              <w:rPr>
                <w:rFonts w:asciiTheme="majorHAnsi" w:eastAsia="Times New Roman" w:hAnsiTheme="majorHAnsi" w:cstheme="majorHAnsi"/>
                <w:sz w:val="16"/>
                <w:szCs w:val="16"/>
                <w:lang w:eastAsia="pl-PL"/>
              </w:rPr>
              <w:t>47.331.673,5</w:t>
            </w:r>
          </w:p>
        </w:tc>
        <w:tc>
          <w:tcPr>
            <w:tcW w:w="356" w:type="pct"/>
            <w:tcBorders>
              <w:bottom w:val="single" w:sz="4" w:space="0" w:color="808080" w:themeColor="background1" w:themeShade="80"/>
            </w:tcBorders>
            <w:shd w:val="clear" w:color="auto" w:fill="auto"/>
            <w:noWrap/>
            <w:vAlign w:val="center"/>
            <w:hideMark/>
          </w:tcPr>
          <w:p w14:paraId="35F51855" w14:textId="77777777" w:rsidR="00EA2B5F" w:rsidRPr="00F25EBD" w:rsidRDefault="00EA2B5F" w:rsidP="00F37B88">
            <w:pPr>
              <w:spacing w:after="0" w:line="240" w:lineRule="auto"/>
              <w:jc w:val="center"/>
              <w:rPr>
                <w:rFonts w:asciiTheme="majorHAnsi" w:eastAsia="Times New Roman" w:hAnsiTheme="majorHAnsi" w:cstheme="majorHAnsi"/>
                <w:sz w:val="18"/>
                <w:szCs w:val="18"/>
                <w:lang w:eastAsia="pl-PL"/>
              </w:rPr>
            </w:pPr>
            <w:r w:rsidRPr="00F25EBD">
              <w:rPr>
                <w:rFonts w:asciiTheme="majorHAnsi" w:eastAsia="Times New Roman" w:hAnsiTheme="majorHAnsi" w:cstheme="majorHAnsi"/>
                <w:sz w:val="18"/>
                <w:szCs w:val="18"/>
                <w:lang w:eastAsia="pl-PL"/>
              </w:rPr>
              <w:t>-</w:t>
            </w:r>
          </w:p>
        </w:tc>
        <w:tc>
          <w:tcPr>
            <w:tcW w:w="514" w:type="pct"/>
            <w:tcBorders>
              <w:bottom w:val="single" w:sz="4" w:space="0" w:color="808080" w:themeColor="background1" w:themeShade="80"/>
            </w:tcBorders>
            <w:shd w:val="clear" w:color="auto" w:fill="auto"/>
            <w:noWrap/>
            <w:vAlign w:val="center"/>
            <w:hideMark/>
          </w:tcPr>
          <w:p w14:paraId="16B33DF0" w14:textId="77777777" w:rsidR="00EA2B5F" w:rsidRPr="00F25EBD" w:rsidRDefault="00EA2B5F" w:rsidP="00F37B88">
            <w:pPr>
              <w:spacing w:after="0" w:line="240" w:lineRule="auto"/>
              <w:jc w:val="center"/>
              <w:rPr>
                <w:rFonts w:asciiTheme="majorHAnsi" w:eastAsia="Times New Roman" w:hAnsiTheme="majorHAnsi" w:cstheme="majorHAnsi"/>
                <w:sz w:val="16"/>
                <w:szCs w:val="16"/>
                <w:lang w:eastAsia="pl-PL"/>
              </w:rPr>
            </w:pPr>
            <w:r w:rsidRPr="00F25EBD">
              <w:rPr>
                <w:rFonts w:asciiTheme="majorHAnsi" w:eastAsia="Times New Roman" w:hAnsiTheme="majorHAnsi" w:cstheme="majorHAnsi"/>
                <w:sz w:val="16"/>
                <w:szCs w:val="16"/>
                <w:lang w:eastAsia="pl-PL"/>
              </w:rPr>
              <w:t>66.318.369,0</w:t>
            </w:r>
          </w:p>
        </w:tc>
        <w:tc>
          <w:tcPr>
            <w:tcW w:w="356" w:type="pct"/>
            <w:tcBorders>
              <w:bottom w:val="single" w:sz="4" w:space="0" w:color="808080" w:themeColor="background1" w:themeShade="80"/>
            </w:tcBorders>
            <w:shd w:val="clear" w:color="auto" w:fill="auto"/>
            <w:noWrap/>
            <w:vAlign w:val="center"/>
            <w:hideMark/>
          </w:tcPr>
          <w:p w14:paraId="755BD77B" w14:textId="77777777" w:rsidR="00EA2B5F" w:rsidRPr="00F25EBD" w:rsidRDefault="00EA2B5F" w:rsidP="00F37B88">
            <w:pPr>
              <w:spacing w:after="0" w:line="240" w:lineRule="auto"/>
              <w:jc w:val="center"/>
              <w:rPr>
                <w:rFonts w:asciiTheme="majorHAnsi" w:eastAsia="Times New Roman" w:hAnsiTheme="majorHAnsi" w:cstheme="majorHAnsi"/>
                <w:sz w:val="18"/>
                <w:szCs w:val="18"/>
                <w:lang w:eastAsia="pl-PL"/>
              </w:rPr>
            </w:pPr>
            <w:r w:rsidRPr="00F25EBD">
              <w:rPr>
                <w:rFonts w:asciiTheme="majorHAnsi" w:eastAsia="Times New Roman" w:hAnsiTheme="majorHAnsi" w:cstheme="majorHAnsi"/>
                <w:sz w:val="18"/>
                <w:szCs w:val="18"/>
                <w:lang w:eastAsia="pl-PL"/>
              </w:rPr>
              <w:t>-</w:t>
            </w:r>
          </w:p>
        </w:tc>
        <w:tc>
          <w:tcPr>
            <w:tcW w:w="514" w:type="pct"/>
            <w:tcBorders>
              <w:bottom w:val="single" w:sz="4" w:space="0" w:color="808080" w:themeColor="background1" w:themeShade="80"/>
            </w:tcBorders>
            <w:shd w:val="clear" w:color="auto" w:fill="auto"/>
            <w:noWrap/>
            <w:vAlign w:val="center"/>
            <w:hideMark/>
          </w:tcPr>
          <w:p w14:paraId="5F668BD5" w14:textId="77777777" w:rsidR="00EA2B5F" w:rsidRPr="00F25EBD" w:rsidRDefault="00EA2B5F" w:rsidP="00F37B88">
            <w:pPr>
              <w:spacing w:after="0" w:line="240" w:lineRule="auto"/>
              <w:jc w:val="center"/>
              <w:rPr>
                <w:rFonts w:asciiTheme="majorHAnsi" w:eastAsia="Times New Roman" w:hAnsiTheme="majorHAnsi" w:cstheme="majorHAnsi"/>
                <w:sz w:val="16"/>
                <w:szCs w:val="16"/>
                <w:lang w:eastAsia="pl-PL"/>
              </w:rPr>
            </w:pPr>
            <w:r w:rsidRPr="00F25EBD">
              <w:rPr>
                <w:rFonts w:asciiTheme="majorHAnsi" w:eastAsia="Times New Roman" w:hAnsiTheme="majorHAnsi" w:cstheme="majorHAnsi"/>
                <w:sz w:val="16"/>
                <w:szCs w:val="16"/>
                <w:lang w:eastAsia="pl-PL"/>
              </w:rPr>
              <w:t>96.471.558,7</w:t>
            </w:r>
          </w:p>
        </w:tc>
        <w:tc>
          <w:tcPr>
            <w:tcW w:w="356" w:type="pct"/>
            <w:tcBorders>
              <w:bottom w:val="single" w:sz="4" w:space="0" w:color="808080" w:themeColor="background1" w:themeShade="80"/>
            </w:tcBorders>
            <w:shd w:val="clear" w:color="auto" w:fill="auto"/>
            <w:noWrap/>
            <w:vAlign w:val="center"/>
            <w:hideMark/>
          </w:tcPr>
          <w:p w14:paraId="7C0F57D9" w14:textId="77777777" w:rsidR="00EA2B5F" w:rsidRPr="00F25EBD" w:rsidRDefault="00EA2B5F" w:rsidP="00F37B88">
            <w:pPr>
              <w:spacing w:after="0" w:line="240" w:lineRule="auto"/>
              <w:jc w:val="center"/>
              <w:rPr>
                <w:rFonts w:asciiTheme="majorHAnsi" w:eastAsia="Times New Roman" w:hAnsiTheme="majorHAnsi" w:cstheme="majorHAnsi"/>
                <w:sz w:val="18"/>
                <w:szCs w:val="18"/>
                <w:lang w:eastAsia="pl-PL"/>
              </w:rPr>
            </w:pPr>
            <w:r w:rsidRPr="00F25EBD">
              <w:rPr>
                <w:rFonts w:asciiTheme="majorHAnsi" w:eastAsia="Times New Roman" w:hAnsiTheme="majorHAnsi" w:cstheme="majorHAnsi"/>
                <w:sz w:val="18"/>
                <w:szCs w:val="18"/>
                <w:lang w:eastAsia="pl-PL"/>
              </w:rPr>
              <w:t>-</w:t>
            </w:r>
          </w:p>
        </w:tc>
      </w:tr>
      <w:tr w:rsidR="00EA2B5F" w:rsidRPr="00F25EBD" w14:paraId="7D7747EA" w14:textId="77777777" w:rsidTr="00F37B88">
        <w:trPr>
          <w:trHeight w:val="240"/>
        </w:trPr>
        <w:tc>
          <w:tcPr>
            <w:tcW w:w="1047" w:type="pct"/>
            <w:vMerge/>
            <w:tcBorders>
              <w:top w:val="single" w:sz="4" w:space="0" w:color="808080" w:themeColor="background1" w:themeShade="80"/>
              <w:bottom w:val="single" w:sz="4" w:space="0" w:color="808080" w:themeColor="background1" w:themeShade="80"/>
            </w:tcBorders>
            <w:vAlign w:val="center"/>
            <w:hideMark/>
          </w:tcPr>
          <w:p w14:paraId="5D06D432" w14:textId="77777777" w:rsidR="00EA2B5F" w:rsidRPr="00F25EBD" w:rsidRDefault="00EA2B5F" w:rsidP="00F37B88">
            <w:pPr>
              <w:spacing w:after="0" w:line="240" w:lineRule="auto"/>
              <w:rPr>
                <w:rFonts w:asciiTheme="majorHAnsi" w:eastAsia="Times New Roman" w:hAnsiTheme="majorHAnsi" w:cstheme="majorHAnsi"/>
                <w:sz w:val="18"/>
                <w:szCs w:val="18"/>
                <w:lang w:eastAsia="pl-PL"/>
              </w:rPr>
            </w:pPr>
          </w:p>
        </w:tc>
        <w:tc>
          <w:tcPr>
            <w:tcW w:w="474"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6A0765E4" w14:textId="77777777" w:rsidR="00EA2B5F" w:rsidRPr="00F25EBD" w:rsidRDefault="00EA2B5F" w:rsidP="00F37B88">
            <w:pPr>
              <w:spacing w:after="0" w:line="240" w:lineRule="auto"/>
              <w:jc w:val="center"/>
              <w:rPr>
                <w:rFonts w:asciiTheme="majorHAnsi" w:eastAsia="Times New Roman" w:hAnsiTheme="majorHAnsi" w:cstheme="majorHAnsi"/>
                <w:sz w:val="18"/>
                <w:szCs w:val="18"/>
                <w:lang w:eastAsia="pl-PL"/>
              </w:rPr>
            </w:pPr>
            <w:r w:rsidRPr="00F25EBD">
              <w:rPr>
                <w:rFonts w:asciiTheme="majorHAnsi" w:eastAsia="Times New Roman" w:hAnsiTheme="majorHAnsi" w:cstheme="majorHAnsi"/>
                <w:sz w:val="18"/>
                <w:szCs w:val="18"/>
                <w:lang w:eastAsia="pl-PL"/>
              </w:rPr>
              <w:t>2019</w:t>
            </w:r>
          </w:p>
        </w:tc>
        <w:tc>
          <w:tcPr>
            <w:tcW w:w="514"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38DCD2F7" w14:textId="77777777" w:rsidR="00EA2B5F" w:rsidRPr="00F25EBD" w:rsidRDefault="00EA2B5F" w:rsidP="00F37B88">
            <w:pPr>
              <w:spacing w:after="0" w:line="240" w:lineRule="auto"/>
              <w:jc w:val="center"/>
              <w:rPr>
                <w:rFonts w:asciiTheme="majorHAnsi" w:eastAsia="Times New Roman" w:hAnsiTheme="majorHAnsi" w:cstheme="majorHAnsi"/>
                <w:sz w:val="16"/>
                <w:szCs w:val="16"/>
                <w:lang w:eastAsia="pl-PL"/>
              </w:rPr>
            </w:pPr>
            <w:r w:rsidRPr="00F25EBD">
              <w:rPr>
                <w:rFonts w:asciiTheme="majorHAnsi" w:eastAsia="Times New Roman" w:hAnsiTheme="majorHAnsi" w:cstheme="majorHAnsi"/>
                <w:sz w:val="16"/>
                <w:szCs w:val="16"/>
                <w:lang w:eastAsia="pl-PL"/>
              </w:rPr>
              <w:t>72.389.199,1</w:t>
            </w:r>
          </w:p>
        </w:tc>
        <w:tc>
          <w:tcPr>
            <w:tcW w:w="356"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0A96203B" w14:textId="77777777" w:rsidR="00EA2B5F" w:rsidRPr="00F25EBD" w:rsidRDefault="00EA2B5F" w:rsidP="00F37B88">
            <w:pPr>
              <w:spacing w:after="0" w:line="240" w:lineRule="auto"/>
              <w:jc w:val="center"/>
              <w:rPr>
                <w:rFonts w:asciiTheme="majorHAnsi" w:eastAsia="Times New Roman" w:hAnsiTheme="majorHAnsi" w:cstheme="majorHAnsi"/>
                <w:sz w:val="18"/>
                <w:szCs w:val="18"/>
                <w:lang w:eastAsia="pl-PL"/>
              </w:rPr>
            </w:pPr>
            <w:r w:rsidRPr="00F25EBD">
              <w:rPr>
                <w:rFonts w:asciiTheme="majorHAnsi" w:eastAsia="Times New Roman" w:hAnsiTheme="majorHAnsi" w:cstheme="majorHAnsi"/>
                <w:sz w:val="18"/>
                <w:szCs w:val="18"/>
                <w:lang w:eastAsia="pl-PL"/>
              </w:rPr>
              <w:t>-</w:t>
            </w:r>
          </w:p>
        </w:tc>
        <w:tc>
          <w:tcPr>
            <w:tcW w:w="514"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3C5F2A63" w14:textId="77777777" w:rsidR="00EA2B5F" w:rsidRPr="00F25EBD" w:rsidRDefault="00EA2B5F" w:rsidP="00F37B88">
            <w:pPr>
              <w:spacing w:after="0" w:line="240" w:lineRule="auto"/>
              <w:jc w:val="center"/>
              <w:rPr>
                <w:rFonts w:asciiTheme="majorHAnsi" w:eastAsia="Times New Roman" w:hAnsiTheme="majorHAnsi" w:cstheme="majorHAnsi"/>
                <w:sz w:val="16"/>
                <w:szCs w:val="16"/>
                <w:lang w:eastAsia="pl-PL"/>
              </w:rPr>
            </w:pPr>
            <w:r w:rsidRPr="00F25EBD">
              <w:rPr>
                <w:rFonts w:asciiTheme="majorHAnsi" w:eastAsia="Times New Roman" w:hAnsiTheme="majorHAnsi" w:cstheme="majorHAnsi"/>
                <w:sz w:val="16"/>
                <w:szCs w:val="16"/>
                <w:lang w:eastAsia="pl-PL"/>
              </w:rPr>
              <w:t>48.721.650,7</w:t>
            </w:r>
          </w:p>
        </w:tc>
        <w:tc>
          <w:tcPr>
            <w:tcW w:w="356"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29E9DF39" w14:textId="77777777" w:rsidR="00EA2B5F" w:rsidRPr="00F25EBD" w:rsidRDefault="00EA2B5F" w:rsidP="00F37B88">
            <w:pPr>
              <w:spacing w:after="0" w:line="240" w:lineRule="auto"/>
              <w:jc w:val="center"/>
              <w:rPr>
                <w:rFonts w:asciiTheme="majorHAnsi" w:eastAsia="Times New Roman" w:hAnsiTheme="majorHAnsi" w:cstheme="majorHAnsi"/>
                <w:sz w:val="18"/>
                <w:szCs w:val="18"/>
                <w:lang w:eastAsia="pl-PL"/>
              </w:rPr>
            </w:pPr>
            <w:r w:rsidRPr="00F25EBD">
              <w:rPr>
                <w:rFonts w:asciiTheme="majorHAnsi" w:eastAsia="Times New Roman" w:hAnsiTheme="majorHAnsi" w:cstheme="majorHAnsi"/>
                <w:sz w:val="18"/>
                <w:szCs w:val="18"/>
                <w:lang w:eastAsia="pl-PL"/>
              </w:rPr>
              <w:t>-</w:t>
            </w:r>
          </w:p>
        </w:tc>
        <w:tc>
          <w:tcPr>
            <w:tcW w:w="514"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0C255D96" w14:textId="77777777" w:rsidR="00EA2B5F" w:rsidRPr="00F25EBD" w:rsidRDefault="00EA2B5F" w:rsidP="00F37B88">
            <w:pPr>
              <w:spacing w:after="0" w:line="240" w:lineRule="auto"/>
              <w:jc w:val="center"/>
              <w:rPr>
                <w:rFonts w:asciiTheme="majorHAnsi" w:eastAsia="Times New Roman" w:hAnsiTheme="majorHAnsi" w:cstheme="majorHAnsi"/>
                <w:sz w:val="16"/>
                <w:szCs w:val="16"/>
                <w:lang w:eastAsia="pl-PL"/>
              </w:rPr>
            </w:pPr>
            <w:r w:rsidRPr="00F25EBD">
              <w:rPr>
                <w:rFonts w:asciiTheme="majorHAnsi" w:eastAsia="Times New Roman" w:hAnsiTheme="majorHAnsi" w:cstheme="majorHAnsi"/>
                <w:sz w:val="16"/>
                <w:szCs w:val="16"/>
                <w:lang w:eastAsia="pl-PL"/>
              </w:rPr>
              <w:t>73.395.801,9</w:t>
            </w:r>
          </w:p>
        </w:tc>
        <w:tc>
          <w:tcPr>
            <w:tcW w:w="356"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1083E8BC" w14:textId="77777777" w:rsidR="00EA2B5F" w:rsidRPr="00F25EBD" w:rsidRDefault="00EA2B5F" w:rsidP="00F37B88">
            <w:pPr>
              <w:spacing w:after="0" w:line="240" w:lineRule="auto"/>
              <w:jc w:val="center"/>
              <w:rPr>
                <w:rFonts w:asciiTheme="majorHAnsi" w:eastAsia="Times New Roman" w:hAnsiTheme="majorHAnsi" w:cstheme="majorHAnsi"/>
                <w:sz w:val="18"/>
                <w:szCs w:val="18"/>
                <w:lang w:eastAsia="pl-PL"/>
              </w:rPr>
            </w:pPr>
            <w:r w:rsidRPr="00F25EBD">
              <w:rPr>
                <w:rFonts w:asciiTheme="majorHAnsi" w:eastAsia="Times New Roman" w:hAnsiTheme="majorHAnsi" w:cstheme="majorHAnsi"/>
                <w:sz w:val="18"/>
                <w:szCs w:val="18"/>
                <w:lang w:eastAsia="pl-PL"/>
              </w:rPr>
              <w:t>-</w:t>
            </w:r>
          </w:p>
        </w:tc>
        <w:tc>
          <w:tcPr>
            <w:tcW w:w="514"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2F843257" w14:textId="77777777" w:rsidR="00EA2B5F" w:rsidRPr="00F25EBD" w:rsidRDefault="00EA2B5F" w:rsidP="00F37B88">
            <w:pPr>
              <w:spacing w:after="0" w:line="240" w:lineRule="auto"/>
              <w:jc w:val="center"/>
              <w:rPr>
                <w:rFonts w:asciiTheme="majorHAnsi" w:eastAsia="Times New Roman" w:hAnsiTheme="majorHAnsi" w:cstheme="majorHAnsi"/>
                <w:sz w:val="16"/>
                <w:szCs w:val="16"/>
                <w:lang w:eastAsia="pl-PL"/>
              </w:rPr>
            </w:pPr>
            <w:r w:rsidRPr="00F25EBD">
              <w:rPr>
                <w:rFonts w:asciiTheme="majorHAnsi" w:eastAsia="Times New Roman" w:hAnsiTheme="majorHAnsi" w:cstheme="majorHAnsi"/>
                <w:sz w:val="16"/>
                <w:szCs w:val="16"/>
                <w:lang w:eastAsia="pl-PL"/>
              </w:rPr>
              <w:t>95.358.304,8</w:t>
            </w:r>
          </w:p>
        </w:tc>
        <w:tc>
          <w:tcPr>
            <w:tcW w:w="356"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7D8BF65D" w14:textId="77777777" w:rsidR="00EA2B5F" w:rsidRPr="00F25EBD" w:rsidRDefault="00EA2B5F" w:rsidP="00F37B88">
            <w:pPr>
              <w:spacing w:after="0" w:line="240" w:lineRule="auto"/>
              <w:jc w:val="center"/>
              <w:rPr>
                <w:rFonts w:asciiTheme="majorHAnsi" w:eastAsia="Times New Roman" w:hAnsiTheme="majorHAnsi" w:cstheme="majorHAnsi"/>
                <w:sz w:val="18"/>
                <w:szCs w:val="18"/>
                <w:lang w:eastAsia="pl-PL"/>
              </w:rPr>
            </w:pPr>
            <w:r w:rsidRPr="00F25EBD">
              <w:rPr>
                <w:rFonts w:asciiTheme="majorHAnsi" w:eastAsia="Times New Roman" w:hAnsiTheme="majorHAnsi" w:cstheme="majorHAnsi"/>
                <w:sz w:val="18"/>
                <w:szCs w:val="18"/>
                <w:lang w:eastAsia="pl-PL"/>
              </w:rPr>
              <w:t>-</w:t>
            </w:r>
          </w:p>
        </w:tc>
      </w:tr>
      <w:tr w:rsidR="00EA2B5F" w:rsidRPr="00F25EBD" w14:paraId="1AC953DD" w14:textId="77777777" w:rsidTr="00F37B88">
        <w:trPr>
          <w:trHeight w:val="240"/>
        </w:trPr>
        <w:tc>
          <w:tcPr>
            <w:tcW w:w="1047" w:type="pct"/>
            <w:vMerge/>
            <w:tcBorders>
              <w:top w:val="single" w:sz="4" w:space="0" w:color="808080" w:themeColor="background1" w:themeShade="80"/>
              <w:bottom w:val="single" w:sz="4" w:space="0" w:color="808080" w:themeColor="background1" w:themeShade="80"/>
            </w:tcBorders>
            <w:vAlign w:val="center"/>
            <w:hideMark/>
          </w:tcPr>
          <w:p w14:paraId="640EDF35" w14:textId="77777777" w:rsidR="00EA2B5F" w:rsidRPr="00F25EBD" w:rsidRDefault="00EA2B5F" w:rsidP="00F37B88">
            <w:pPr>
              <w:spacing w:after="0" w:line="240" w:lineRule="auto"/>
              <w:rPr>
                <w:rFonts w:asciiTheme="majorHAnsi" w:eastAsia="Times New Roman" w:hAnsiTheme="majorHAnsi" w:cstheme="majorHAnsi"/>
                <w:sz w:val="18"/>
                <w:szCs w:val="18"/>
                <w:lang w:eastAsia="pl-PL"/>
              </w:rPr>
            </w:pPr>
          </w:p>
        </w:tc>
        <w:tc>
          <w:tcPr>
            <w:tcW w:w="474"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2995D031" w14:textId="77777777" w:rsidR="00EA2B5F" w:rsidRPr="00F25EBD" w:rsidRDefault="00EA2B5F" w:rsidP="00F37B88">
            <w:pPr>
              <w:spacing w:after="0" w:line="240" w:lineRule="auto"/>
              <w:jc w:val="center"/>
              <w:rPr>
                <w:rFonts w:asciiTheme="majorHAnsi" w:eastAsia="Times New Roman" w:hAnsiTheme="majorHAnsi" w:cstheme="majorHAnsi"/>
                <w:sz w:val="18"/>
                <w:szCs w:val="18"/>
                <w:lang w:eastAsia="pl-PL"/>
              </w:rPr>
            </w:pPr>
            <w:r w:rsidRPr="00F25EBD">
              <w:rPr>
                <w:rFonts w:asciiTheme="majorHAnsi" w:eastAsia="Times New Roman" w:hAnsiTheme="majorHAnsi" w:cstheme="majorHAnsi"/>
                <w:sz w:val="18"/>
                <w:szCs w:val="18"/>
                <w:lang w:eastAsia="pl-PL"/>
              </w:rPr>
              <w:t xml:space="preserve">zmiana </w:t>
            </w:r>
            <w:r w:rsidRPr="00F25EBD">
              <w:rPr>
                <w:rFonts w:asciiTheme="majorHAnsi" w:eastAsia="Times New Roman" w:hAnsiTheme="majorHAnsi" w:cstheme="majorHAnsi"/>
                <w:sz w:val="18"/>
                <w:szCs w:val="18"/>
                <w:lang w:eastAsia="pl-PL"/>
              </w:rPr>
              <w:br/>
              <w:t>w %</w:t>
            </w:r>
          </w:p>
        </w:tc>
        <w:tc>
          <w:tcPr>
            <w:tcW w:w="514"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7360BCC4" w14:textId="77777777" w:rsidR="00EA2B5F" w:rsidRPr="00F25EBD" w:rsidRDefault="00EA2B5F" w:rsidP="00F37B88">
            <w:pPr>
              <w:spacing w:after="0" w:line="240" w:lineRule="auto"/>
              <w:jc w:val="center"/>
              <w:rPr>
                <w:rFonts w:asciiTheme="majorHAnsi" w:eastAsia="Times New Roman" w:hAnsiTheme="majorHAnsi" w:cstheme="majorHAnsi"/>
                <w:sz w:val="18"/>
                <w:szCs w:val="18"/>
                <w:lang w:eastAsia="pl-PL"/>
              </w:rPr>
            </w:pPr>
            <w:r w:rsidRPr="00F25EBD">
              <w:rPr>
                <w:rFonts w:asciiTheme="majorHAnsi" w:eastAsia="Times New Roman" w:hAnsiTheme="majorHAnsi" w:cstheme="majorHAnsi"/>
                <w:sz w:val="18"/>
                <w:szCs w:val="18"/>
                <w:lang w:eastAsia="pl-PL"/>
              </w:rPr>
              <w:t>31,9</w:t>
            </w:r>
          </w:p>
        </w:tc>
        <w:tc>
          <w:tcPr>
            <w:tcW w:w="356"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6136AAA8" w14:textId="77777777" w:rsidR="00EA2B5F" w:rsidRPr="00F25EBD" w:rsidRDefault="00EA2B5F" w:rsidP="00F37B88">
            <w:pPr>
              <w:spacing w:after="0" w:line="240" w:lineRule="auto"/>
              <w:jc w:val="center"/>
              <w:rPr>
                <w:rFonts w:asciiTheme="majorHAnsi" w:eastAsia="Times New Roman" w:hAnsiTheme="majorHAnsi" w:cstheme="majorHAnsi"/>
                <w:sz w:val="18"/>
                <w:szCs w:val="18"/>
                <w:lang w:eastAsia="pl-PL"/>
              </w:rPr>
            </w:pPr>
            <w:r w:rsidRPr="00F25EBD">
              <w:rPr>
                <w:rFonts w:asciiTheme="majorHAnsi" w:eastAsia="Times New Roman" w:hAnsiTheme="majorHAnsi" w:cstheme="majorHAnsi"/>
                <w:sz w:val="18"/>
                <w:szCs w:val="18"/>
                <w:lang w:eastAsia="pl-PL"/>
              </w:rPr>
              <w:t>-</w:t>
            </w:r>
          </w:p>
        </w:tc>
        <w:tc>
          <w:tcPr>
            <w:tcW w:w="514"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093DC7D3" w14:textId="77777777" w:rsidR="00EA2B5F" w:rsidRPr="00F25EBD" w:rsidRDefault="00EA2B5F" w:rsidP="00F37B88">
            <w:pPr>
              <w:spacing w:after="0" w:line="240" w:lineRule="auto"/>
              <w:jc w:val="center"/>
              <w:rPr>
                <w:rFonts w:asciiTheme="majorHAnsi" w:eastAsia="Times New Roman" w:hAnsiTheme="majorHAnsi" w:cstheme="majorHAnsi"/>
                <w:sz w:val="18"/>
                <w:szCs w:val="18"/>
                <w:lang w:eastAsia="pl-PL"/>
              </w:rPr>
            </w:pPr>
            <w:r w:rsidRPr="00F25EBD">
              <w:rPr>
                <w:rFonts w:asciiTheme="majorHAnsi" w:eastAsia="Times New Roman" w:hAnsiTheme="majorHAnsi" w:cstheme="majorHAnsi"/>
                <w:sz w:val="18"/>
                <w:szCs w:val="18"/>
                <w:lang w:eastAsia="pl-PL"/>
              </w:rPr>
              <w:t>2,9</w:t>
            </w:r>
          </w:p>
        </w:tc>
        <w:tc>
          <w:tcPr>
            <w:tcW w:w="356"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2227A67F" w14:textId="77777777" w:rsidR="00EA2B5F" w:rsidRPr="00F25EBD" w:rsidRDefault="00EA2B5F" w:rsidP="00F37B88">
            <w:pPr>
              <w:spacing w:after="0" w:line="240" w:lineRule="auto"/>
              <w:jc w:val="center"/>
              <w:rPr>
                <w:rFonts w:asciiTheme="majorHAnsi" w:eastAsia="Times New Roman" w:hAnsiTheme="majorHAnsi" w:cstheme="majorHAnsi"/>
                <w:sz w:val="18"/>
                <w:szCs w:val="18"/>
                <w:lang w:eastAsia="pl-PL"/>
              </w:rPr>
            </w:pPr>
            <w:r w:rsidRPr="00F25EBD">
              <w:rPr>
                <w:rFonts w:asciiTheme="majorHAnsi" w:eastAsia="Times New Roman" w:hAnsiTheme="majorHAnsi" w:cstheme="majorHAnsi"/>
                <w:sz w:val="18"/>
                <w:szCs w:val="18"/>
                <w:lang w:eastAsia="pl-PL"/>
              </w:rPr>
              <w:t>-</w:t>
            </w:r>
          </w:p>
        </w:tc>
        <w:tc>
          <w:tcPr>
            <w:tcW w:w="514"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662B1C7E" w14:textId="77777777" w:rsidR="00EA2B5F" w:rsidRPr="00F25EBD" w:rsidRDefault="00EA2B5F" w:rsidP="00F37B88">
            <w:pPr>
              <w:spacing w:after="0" w:line="240" w:lineRule="auto"/>
              <w:jc w:val="center"/>
              <w:rPr>
                <w:rFonts w:asciiTheme="majorHAnsi" w:eastAsia="Times New Roman" w:hAnsiTheme="majorHAnsi" w:cstheme="majorHAnsi"/>
                <w:sz w:val="18"/>
                <w:szCs w:val="18"/>
                <w:lang w:eastAsia="pl-PL"/>
              </w:rPr>
            </w:pPr>
            <w:r w:rsidRPr="00F25EBD">
              <w:rPr>
                <w:rFonts w:asciiTheme="majorHAnsi" w:eastAsia="Times New Roman" w:hAnsiTheme="majorHAnsi" w:cstheme="majorHAnsi"/>
                <w:sz w:val="18"/>
                <w:szCs w:val="18"/>
                <w:lang w:eastAsia="pl-PL"/>
              </w:rPr>
              <w:t>10,7</w:t>
            </w:r>
          </w:p>
        </w:tc>
        <w:tc>
          <w:tcPr>
            <w:tcW w:w="356"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1EF0FD1F" w14:textId="77777777" w:rsidR="00EA2B5F" w:rsidRPr="00F25EBD" w:rsidRDefault="00EA2B5F" w:rsidP="00F37B88">
            <w:pPr>
              <w:spacing w:after="0" w:line="240" w:lineRule="auto"/>
              <w:jc w:val="center"/>
              <w:rPr>
                <w:rFonts w:asciiTheme="majorHAnsi" w:eastAsia="Times New Roman" w:hAnsiTheme="majorHAnsi" w:cstheme="majorHAnsi"/>
                <w:sz w:val="18"/>
                <w:szCs w:val="18"/>
                <w:lang w:eastAsia="pl-PL"/>
              </w:rPr>
            </w:pPr>
            <w:r w:rsidRPr="00F25EBD">
              <w:rPr>
                <w:rFonts w:asciiTheme="majorHAnsi" w:eastAsia="Times New Roman" w:hAnsiTheme="majorHAnsi" w:cstheme="majorHAnsi"/>
                <w:sz w:val="18"/>
                <w:szCs w:val="18"/>
                <w:lang w:eastAsia="pl-PL"/>
              </w:rPr>
              <w:t>-</w:t>
            </w:r>
          </w:p>
        </w:tc>
        <w:tc>
          <w:tcPr>
            <w:tcW w:w="514"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1E2B3E98" w14:textId="77777777" w:rsidR="00EA2B5F" w:rsidRPr="00F25EBD" w:rsidRDefault="00EA2B5F" w:rsidP="00F37B88">
            <w:pPr>
              <w:spacing w:after="0" w:line="240" w:lineRule="auto"/>
              <w:jc w:val="center"/>
              <w:rPr>
                <w:rFonts w:asciiTheme="majorHAnsi" w:eastAsia="Times New Roman" w:hAnsiTheme="majorHAnsi" w:cstheme="majorHAnsi"/>
                <w:sz w:val="18"/>
                <w:szCs w:val="18"/>
                <w:lang w:eastAsia="pl-PL"/>
              </w:rPr>
            </w:pPr>
            <w:r w:rsidRPr="00F25EBD">
              <w:rPr>
                <w:rFonts w:asciiTheme="majorHAnsi" w:eastAsia="Times New Roman" w:hAnsiTheme="majorHAnsi" w:cstheme="majorHAnsi"/>
                <w:sz w:val="18"/>
                <w:szCs w:val="18"/>
                <w:lang w:eastAsia="pl-PL"/>
              </w:rPr>
              <w:t>-1,2</w:t>
            </w:r>
          </w:p>
        </w:tc>
        <w:tc>
          <w:tcPr>
            <w:tcW w:w="356"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7C0D06C3" w14:textId="77777777" w:rsidR="00EA2B5F" w:rsidRPr="00F25EBD" w:rsidRDefault="00EA2B5F" w:rsidP="00F37B88">
            <w:pPr>
              <w:spacing w:after="0" w:line="240" w:lineRule="auto"/>
              <w:jc w:val="center"/>
              <w:rPr>
                <w:rFonts w:asciiTheme="majorHAnsi" w:eastAsia="Times New Roman" w:hAnsiTheme="majorHAnsi" w:cstheme="majorHAnsi"/>
                <w:sz w:val="18"/>
                <w:szCs w:val="18"/>
                <w:lang w:eastAsia="pl-PL"/>
              </w:rPr>
            </w:pPr>
            <w:r w:rsidRPr="00F25EBD">
              <w:rPr>
                <w:rFonts w:asciiTheme="majorHAnsi" w:eastAsia="Times New Roman" w:hAnsiTheme="majorHAnsi" w:cstheme="majorHAnsi"/>
                <w:sz w:val="18"/>
                <w:szCs w:val="18"/>
                <w:lang w:eastAsia="pl-PL"/>
              </w:rPr>
              <w:t>-</w:t>
            </w:r>
          </w:p>
        </w:tc>
      </w:tr>
      <w:tr w:rsidR="00EA2B5F" w:rsidRPr="00F25EBD" w14:paraId="7841EB01" w14:textId="77777777" w:rsidTr="00F37B88">
        <w:trPr>
          <w:trHeight w:val="240"/>
        </w:trPr>
        <w:tc>
          <w:tcPr>
            <w:tcW w:w="1047" w:type="pct"/>
            <w:vMerge w:val="restart"/>
            <w:tcBorders>
              <w:top w:val="single" w:sz="4" w:space="0" w:color="808080" w:themeColor="background1" w:themeShade="80"/>
              <w:bottom w:val="single" w:sz="4" w:space="0" w:color="808080" w:themeColor="background1" w:themeShade="80"/>
            </w:tcBorders>
            <w:shd w:val="clear" w:color="auto" w:fill="auto"/>
            <w:vAlign w:val="center"/>
            <w:hideMark/>
          </w:tcPr>
          <w:p w14:paraId="38A303DA" w14:textId="77777777" w:rsidR="00EA2B5F" w:rsidRPr="00F25EBD" w:rsidRDefault="00EA2B5F" w:rsidP="00F37B88">
            <w:pPr>
              <w:spacing w:after="0" w:line="240" w:lineRule="auto"/>
              <w:rPr>
                <w:rFonts w:asciiTheme="majorHAnsi" w:eastAsia="Times New Roman" w:hAnsiTheme="majorHAnsi" w:cstheme="majorHAnsi"/>
                <w:sz w:val="18"/>
                <w:szCs w:val="18"/>
                <w:lang w:eastAsia="pl-PL"/>
              </w:rPr>
            </w:pPr>
            <w:r w:rsidRPr="00F25EBD">
              <w:rPr>
                <w:rFonts w:asciiTheme="majorHAnsi" w:eastAsia="Times New Roman" w:hAnsiTheme="majorHAnsi" w:cstheme="majorHAnsi"/>
                <w:sz w:val="18"/>
                <w:szCs w:val="18"/>
                <w:lang w:eastAsia="pl-PL"/>
              </w:rPr>
              <w:t xml:space="preserve">Dział 600 </w:t>
            </w:r>
          </w:p>
          <w:p w14:paraId="60D78F5F" w14:textId="77777777" w:rsidR="00EA2B5F" w:rsidRPr="00F25EBD" w:rsidRDefault="00EA2B5F" w:rsidP="00F37B88">
            <w:pPr>
              <w:spacing w:after="0" w:line="240" w:lineRule="auto"/>
              <w:rPr>
                <w:rFonts w:asciiTheme="majorHAnsi" w:eastAsia="Times New Roman" w:hAnsiTheme="majorHAnsi" w:cstheme="majorHAnsi"/>
                <w:sz w:val="18"/>
                <w:szCs w:val="18"/>
                <w:lang w:eastAsia="pl-PL"/>
              </w:rPr>
            </w:pPr>
            <w:r w:rsidRPr="00F25EBD">
              <w:rPr>
                <w:rFonts w:asciiTheme="majorHAnsi" w:eastAsia="Times New Roman" w:hAnsiTheme="majorHAnsi" w:cstheme="majorHAnsi"/>
                <w:sz w:val="18"/>
                <w:szCs w:val="18"/>
                <w:lang w:eastAsia="pl-PL"/>
              </w:rPr>
              <w:t>Transport i łączność</w:t>
            </w:r>
          </w:p>
        </w:tc>
        <w:tc>
          <w:tcPr>
            <w:tcW w:w="474"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48A40CCC" w14:textId="77777777" w:rsidR="00EA2B5F" w:rsidRPr="00F25EBD" w:rsidRDefault="00EA2B5F" w:rsidP="00F37B88">
            <w:pPr>
              <w:spacing w:after="0" w:line="240" w:lineRule="auto"/>
              <w:jc w:val="center"/>
              <w:rPr>
                <w:rFonts w:asciiTheme="majorHAnsi" w:eastAsia="Times New Roman" w:hAnsiTheme="majorHAnsi" w:cstheme="majorHAnsi"/>
                <w:sz w:val="18"/>
                <w:szCs w:val="18"/>
                <w:lang w:eastAsia="pl-PL"/>
              </w:rPr>
            </w:pPr>
            <w:r w:rsidRPr="00F25EBD">
              <w:rPr>
                <w:rFonts w:asciiTheme="majorHAnsi" w:eastAsia="Times New Roman" w:hAnsiTheme="majorHAnsi" w:cstheme="majorHAnsi"/>
                <w:sz w:val="18"/>
                <w:szCs w:val="18"/>
                <w:lang w:eastAsia="pl-PL"/>
              </w:rPr>
              <w:t>2010</w:t>
            </w:r>
          </w:p>
        </w:tc>
        <w:tc>
          <w:tcPr>
            <w:tcW w:w="514"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588BCD6B" w14:textId="77777777" w:rsidR="00EA2B5F" w:rsidRPr="00F25EBD" w:rsidRDefault="00EA2B5F" w:rsidP="00F37B88">
            <w:pPr>
              <w:spacing w:after="0" w:line="240" w:lineRule="auto"/>
              <w:jc w:val="center"/>
              <w:rPr>
                <w:rFonts w:asciiTheme="majorHAnsi" w:eastAsia="Times New Roman" w:hAnsiTheme="majorHAnsi" w:cstheme="majorHAnsi"/>
                <w:sz w:val="16"/>
                <w:szCs w:val="16"/>
                <w:lang w:eastAsia="pl-PL"/>
              </w:rPr>
            </w:pPr>
            <w:r w:rsidRPr="00F25EBD">
              <w:rPr>
                <w:rFonts w:asciiTheme="majorHAnsi" w:eastAsia="Times New Roman" w:hAnsiTheme="majorHAnsi" w:cstheme="majorHAnsi"/>
                <w:sz w:val="16"/>
                <w:szCs w:val="16"/>
                <w:lang w:eastAsia="pl-PL"/>
              </w:rPr>
              <w:t>9.538.670,4</w:t>
            </w:r>
          </w:p>
        </w:tc>
        <w:tc>
          <w:tcPr>
            <w:tcW w:w="356"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06545D83" w14:textId="77777777" w:rsidR="00EA2B5F" w:rsidRPr="00F25EBD" w:rsidRDefault="00EA2B5F" w:rsidP="00F37B88">
            <w:pPr>
              <w:spacing w:after="0" w:line="240" w:lineRule="auto"/>
              <w:jc w:val="center"/>
              <w:rPr>
                <w:rFonts w:asciiTheme="majorHAnsi" w:eastAsia="Times New Roman" w:hAnsiTheme="majorHAnsi" w:cstheme="majorHAnsi"/>
                <w:sz w:val="18"/>
                <w:szCs w:val="18"/>
                <w:lang w:eastAsia="pl-PL"/>
              </w:rPr>
            </w:pPr>
            <w:r w:rsidRPr="00F25EBD">
              <w:rPr>
                <w:rFonts w:asciiTheme="majorHAnsi" w:eastAsia="Times New Roman" w:hAnsiTheme="majorHAnsi" w:cstheme="majorHAnsi"/>
                <w:sz w:val="18"/>
                <w:szCs w:val="18"/>
                <w:lang w:eastAsia="pl-PL"/>
              </w:rPr>
              <w:t>17,4</w:t>
            </w:r>
          </w:p>
        </w:tc>
        <w:tc>
          <w:tcPr>
            <w:tcW w:w="514"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6D9423AF" w14:textId="77777777" w:rsidR="00EA2B5F" w:rsidRPr="00F25EBD" w:rsidRDefault="00EA2B5F" w:rsidP="00F37B88">
            <w:pPr>
              <w:spacing w:after="0" w:line="240" w:lineRule="auto"/>
              <w:jc w:val="center"/>
              <w:rPr>
                <w:rFonts w:asciiTheme="majorHAnsi" w:eastAsia="Times New Roman" w:hAnsiTheme="majorHAnsi" w:cstheme="majorHAnsi"/>
                <w:sz w:val="16"/>
                <w:szCs w:val="16"/>
                <w:lang w:eastAsia="pl-PL"/>
              </w:rPr>
            </w:pPr>
            <w:r w:rsidRPr="00F25EBD">
              <w:rPr>
                <w:rFonts w:asciiTheme="majorHAnsi" w:eastAsia="Times New Roman" w:hAnsiTheme="majorHAnsi" w:cstheme="majorHAnsi"/>
                <w:sz w:val="16"/>
                <w:szCs w:val="16"/>
                <w:lang w:eastAsia="pl-PL"/>
              </w:rPr>
              <w:t>16.901.917,4</w:t>
            </w:r>
          </w:p>
        </w:tc>
        <w:tc>
          <w:tcPr>
            <w:tcW w:w="356"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6729DA25" w14:textId="77777777" w:rsidR="00EA2B5F" w:rsidRPr="00F25EBD" w:rsidRDefault="00EA2B5F" w:rsidP="00F37B88">
            <w:pPr>
              <w:spacing w:after="0" w:line="240" w:lineRule="auto"/>
              <w:jc w:val="center"/>
              <w:rPr>
                <w:rFonts w:asciiTheme="majorHAnsi" w:eastAsia="Times New Roman" w:hAnsiTheme="majorHAnsi" w:cstheme="majorHAnsi"/>
                <w:sz w:val="18"/>
                <w:szCs w:val="18"/>
                <w:lang w:eastAsia="pl-PL"/>
              </w:rPr>
            </w:pPr>
            <w:r w:rsidRPr="00F25EBD">
              <w:rPr>
                <w:rFonts w:asciiTheme="majorHAnsi" w:eastAsia="Times New Roman" w:hAnsiTheme="majorHAnsi" w:cstheme="majorHAnsi"/>
                <w:sz w:val="18"/>
                <w:szCs w:val="18"/>
                <w:lang w:eastAsia="pl-PL"/>
              </w:rPr>
              <w:t>35,7</w:t>
            </w:r>
          </w:p>
        </w:tc>
        <w:tc>
          <w:tcPr>
            <w:tcW w:w="514"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4BA2BB19" w14:textId="77777777" w:rsidR="00EA2B5F" w:rsidRPr="00F25EBD" w:rsidRDefault="00EA2B5F" w:rsidP="00F37B88">
            <w:pPr>
              <w:spacing w:after="0" w:line="240" w:lineRule="auto"/>
              <w:jc w:val="center"/>
              <w:rPr>
                <w:rFonts w:asciiTheme="majorHAnsi" w:eastAsia="Times New Roman" w:hAnsiTheme="majorHAnsi" w:cstheme="majorHAnsi"/>
                <w:sz w:val="16"/>
                <w:szCs w:val="16"/>
                <w:lang w:eastAsia="pl-PL"/>
              </w:rPr>
            </w:pPr>
            <w:r w:rsidRPr="00F25EBD">
              <w:rPr>
                <w:rFonts w:asciiTheme="majorHAnsi" w:eastAsia="Times New Roman" w:hAnsiTheme="majorHAnsi" w:cstheme="majorHAnsi"/>
                <w:sz w:val="16"/>
                <w:szCs w:val="16"/>
                <w:lang w:eastAsia="pl-PL"/>
              </w:rPr>
              <w:t>15.978.977,7</w:t>
            </w:r>
          </w:p>
        </w:tc>
        <w:tc>
          <w:tcPr>
            <w:tcW w:w="356"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3CF07903" w14:textId="77777777" w:rsidR="00EA2B5F" w:rsidRPr="00F25EBD" w:rsidRDefault="00EA2B5F" w:rsidP="00F37B88">
            <w:pPr>
              <w:spacing w:after="0" w:line="240" w:lineRule="auto"/>
              <w:jc w:val="center"/>
              <w:rPr>
                <w:rFonts w:asciiTheme="majorHAnsi" w:eastAsia="Times New Roman" w:hAnsiTheme="majorHAnsi" w:cstheme="majorHAnsi"/>
                <w:sz w:val="18"/>
                <w:szCs w:val="18"/>
                <w:lang w:eastAsia="pl-PL"/>
              </w:rPr>
            </w:pPr>
            <w:r w:rsidRPr="00F25EBD">
              <w:rPr>
                <w:rFonts w:asciiTheme="majorHAnsi" w:eastAsia="Times New Roman" w:hAnsiTheme="majorHAnsi" w:cstheme="majorHAnsi"/>
                <w:sz w:val="18"/>
                <w:szCs w:val="18"/>
                <w:lang w:eastAsia="pl-PL"/>
              </w:rPr>
              <w:t>24,1</w:t>
            </w:r>
          </w:p>
        </w:tc>
        <w:tc>
          <w:tcPr>
            <w:tcW w:w="514"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705F3424" w14:textId="77777777" w:rsidR="00EA2B5F" w:rsidRPr="00F25EBD" w:rsidRDefault="00EA2B5F" w:rsidP="00F37B88">
            <w:pPr>
              <w:spacing w:after="0" w:line="240" w:lineRule="auto"/>
              <w:jc w:val="center"/>
              <w:rPr>
                <w:rFonts w:asciiTheme="majorHAnsi" w:eastAsia="Times New Roman" w:hAnsiTheme="majorHAnsi" w:cstheme="majorHAnsi"/>
                <w:sz w:val="16"/>
                <w:szCs w:val="16"/>
                <w:lang w:eastAsia="pl-PL"/>
              </w:rPr>
            </w:pPr>
            <w:r w:rsidRPr="00F25EBD">
              <w:rPr>
                <w:rFonts w:asciiTheme="majorHAnsi" w:eastAsia="Times New Roman" w:hAnsiTheme="majorHAnsi" w:cstheme="majorHAnsi"/>
                <w:sz w:val="16"/>
                <w:szCs w:val="16"/>
                <w:lang w:eastAsia="pl-PL"/>
              </w:rPr>
              <w:t>31.468.627,7</w:t>
            </w:r>
          </w:p>
        </w:tc>
        <w:tc>
          <w:tcPr>
            <w:tcW w:w="356"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0F6030EF" w14:textId="77777777" w:rsidR="00EA2B5F" w:rsidRPr="00F25EBD" w:rsidRDefault="00EA2B5F" w:rsidP="00F37B88">
            <w:pPr>
              <w:spacing w:after="0" w:line="240" w:lineRule="auto"/>
              <w:jc w:val="center"/>
              <w:rPr>
                <w:rFonts w:asciiTheme="majorHAnsi" w:eastAsia="Times New Roman" w:hAnsiTheme="majorHAnsi" w:cstheme="majorHAnsi"/>
                <w:sz w:val="18"/>
                <w:szCs w:val="18"/>
                <w:lang w:eastAsia="pl-PL"/>
              </w:rPr>
            </w:pPr>
            <w:r w:rsidRPr="00F25EBD">
              <w:rPr>
                <w:rFonts w:asciiTheme="majorHAnsi" w:eastAsia="Times New Roman" w:hAnsiTheme="majorHAnsi" w:cstheme="majorHAnsi"/>
                <w:sz w:val="18"/>
                <w:szCs w:val="18"/>
                <w:lang w:eastAsia="pl-PL"/>
              </w:rPr>
              <w:t>32,6</w:t>
            </w:r>
          </w:p>
        </w:tc>
      </w:tr>
      <w:tr w:rsidR="00EA2B5F" w:rsidRPr="00F25EBD" w14:paraId="7ECF3F16" w14:textId="77777777" w:rsidTr="00F37B88">
        <w:trPr>
          <w:trHeight w:val="240"/>
        </w:trPr>
        <w:tc>
          <w:tcPr>
            <w:tcW w:w="1047" w:type="pct"/>
            <w:vMerge/>
            <w:tcBorders>
              <w:top w:val="single" w:sz="4" w:space="0" w:color="808080" w:themeColor="background1" w:themeShade="80"/>
              <w:bottom w:val="single" w:sz="4" w:space="0" w:color="808080" w:themeColor="background1" w:themeShade="80"/>
            </w:tcBorders>
            <w:vAlign w:val="center"/>
            <w:hideMark/>
          </w:tcPr>
          <w:p w14:paraId="13E18FAF" w14:textId="77777777" w:rsidR="00EA2B5F" w:rsidRPr="00F25EBD" w:rsidRDefault="00EA2B5F" w:rsidP="00F37B88">
            <w:pPr>
              <w:spacing w:after="0" w:line="240" w:lineRule="auto"/>
              <w:rPr>
                <w:rFonts w:asciiTheme="majorHAnsi" w:eastAsia="Times New Roman" w:hAnsiTheme="majorHAnsi" w:cstheme="majorHAnsi"/>
                <w:sz w:val="18"/>
                <w:szCs w:val="18"/>
                <w:lang w:eastAsia="pl-PL"/>
              </w:rPr>
            </w:pPr>
          </w:p>
        </w:tc>
        <w:tc>
          <w:tcPr>
            <w:tcW w:w="474"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4F51EC0A" w14:textId="77777777" w:rsidR="00EA2B5F" w:rsidRPr="00F25EBD" w:rsidRDefault="00EA2B5F" w:rsidP="00F37B88">
            <w:pPr>
              <w:spacing w:after="0" w:line="240" w:lineRule="auto"/>
              <w:jc w:val="center"/>
              <w:rPr>
                <w:rFonts w:asciiTheme="majorHAnsi" w:eastAsia="Times New Roman" w:hAnsiTheme="majorHAnsi" w:cstheme="majorHAnsi"/>
                <w:sz w:val="18"/>
                <w:szCs w:val="18"/>
                <w:lang w:eastAsia="pl-PL"/>
              </w:rPr>
            </w:pPr>
            <w:r w:rsidRPr="00F25EBD">
              <w:rPr>
                <w:rFonts w:asciiTheme="majorHAnsi" w:eastAsia="Times New Roman" w:hAnsiTheme="majorHAnsi" w:cstheme="majorHAnsi"/>
                <w:sz w:val="18"/>
                <w:szCs w:val="18"/>
                <w:lang w:eastAsia="pl-PL"/>
              </w:rPr>
              <w:t>2019</w:t>
            </w:r>
          </w:p>
        </w:tc>
        <w:tc>
          <w:tcPr>
            <w:tcW w:w="514"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14D90FB5" w14:textId="77777777" w:rsidR="00EA2B5F" w:rsidRPr="00F25EBD" w:rsidRDefault="00EA2B5F" w:rsidP="00F37B88">
            <w:pPr>
              <w:spacing w:after="0" w:line="240" w:lineRule="auto"/>
              <w:jc w:val="center"/>
              <w:rPr>
                <w:rFonts w:asciiTheme="majorHAnsi" w:eastAsia="Times New Roman" w:hAnsiTheme="majorHAnsi" w:cstheme="majorHAnsi"/>
                <w:sz w:val="16"/>
                <w:szCs w:val="16"/>
                <w:lang w:eastAsia="pl-PL"/>
              </w:rPr>
            </w:pPr>
            <w:r w:rsidRPr="00F25EBD">
              <w:rPr>
                <w:rFonts w:asciiTheme="majorHAnsi" w:eastAsia="Times New Roman" w:hAnsiTheme="majorHAnsi" w:cstheme="majorHAnsi"/>
                <w:sz w:val="16"/>
                <w:szCs w:val="16"/>
                <w:lang w:eastAsia="pl-PL"/>
              </w:rPr>
              <w:t>14.226.855,6</w:t>
            </w:r>
          </w:p>
        </w:tc>
        <w:tc>
          <w:tcPr>
            <w:tcW w:w="356"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663C3E96" w14:textId="77777777" w:rsidR="00EA2B5F" w:rsidRPr="00F25EBD" w:rsidRDefault="00EA2B5F" w:rsidP="00F37B88">
            <w:pPr>
              <w:spacing w:after="0" w:line="240" w:lineRule="auto"/>
              <w:jc w:val="center"/>
              <w:rPr>
                <w:rFonts w:asciiTheme="majorHAnsi" w:eastAsia="Times New Roman" w:hAnsiTheme="majorHAnsi" w:cstheme="majorHAnsi"/>
                <w:sz w:val="18"/>
                <w:szCs w:val="18"/>
                <w:lang w:eastAsia="pl-PL"/>
              </w:rPr>
            </w:pPr>
            <w:r w:rsidRPr="00F25EBD">
              <w:rPr>
                <w:rFonts w:asciiTheme="majorHAnsi" w:eastAsia="Times New Roman" w:hAnsiTheme="majorHAnsi" w:cstheme="majorHAnsi"/>
                <w:sz w:val="18"/>
                <w:szCs w:val="18"/>
                <w:lang w:eastAsia="pl-PL"/>
              </w:rPr>
              <w:t>19,7</w:t>
            </w:r>
          </w:p>
        </w:tc>
        <w:tc>
          <w:tcPr>
            <w:tcW w:w="514"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3039E44C" w14:textId="77777777" w:rsidR="00EA2B5F" w:rsidRPr="00F25EBD" w:rsidRDefault="00EA2B5F" w:rsidP="00F37B88">
            <w:pPr>
              <w:spacing w:after="0" w:line="240" w:lineRule="auto"/>
              <w:jc w:val="center"/>
              <w:rPr>
                <w:rFonts w:asciiTheme="majorHAnsi" w:eastAsia="Times New Roman" w:hAnsiTheme="majorHAnsi" w:cstheme="majorHAnsi"/>
                <w:sz w:val="16"/>
                <w:szCs w:val="16"/>
                <w:lang w:eastAsia="pl-PL"/>
              </w:rPr>
            </w:pPr>
            <w:r w:rsidRPr="00F25EBD">
              <w:rPr>
                <w:rFonts w:asciiTheme="majorHAnsi" w:eastAsia="Times New Roman" w:hAnsiTheme="majorHAnsi" w:cstheme="majorHAnsi"/>
                <w:sz w:val="16"/>
                <w:szCs w:val="16"/>
                <w:lang w:eastAsia="pl-PL"/>
              </w:rPr>
              <w:t>6.781.013,7</w:t>
            </w:r>
          </w:p>
        </w:tc>
        <w:tc>
          <w:tcPr>
            <w:tcW w:w="356"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37F80F5A" w14:textId="77777777" w:rsidR="00EA2B5F" w:rsidRPr="00F25EBD" w:rsidRDefault="00EA2B5F" w:rsidP="00F37B88">
            <w:pPr>
              <w:spacing w:after="0" w:line="240" w:lineRule="auto"/>
              <w:jc w:val="center"/>
              <w:rPr>
                <w:rFonts w:asciiTheme="majorHAnsi" w:eastAsia="Times New Roman" w:hAnsiTheme="majorHAnsi" w:cstheme="majorHAnsi"/>
                <w:sz w:val="18"/>
                <w:szCs w:val="18"/>
                <w:lang w:eastAsia="pl-PL"/>
              </w:rPr>
            </w:pPr>
            <w:r w:rsidRPr="00F25EBD">
              <w:rPr>
                <w:rFonts w:asciiTheme="majorHAnsi" w:eastAsia="Times New Roman" w:hAnsiTheme="majorHAnsi" w:cstheme="majorHAnsi"/>
                <w:sz w:val="18"/>
                <w:szCs w:val="18"/>
                <w:lang w:eastAsia="pl-PL"/>
              </w:rPr>
              <w:t>13,9</w:t>
            </w:r>
          </w:p>
        </w:tc>
        <w:tc>
          <w:tcPr>
            <w:tcW w:w="514"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4271BE12" w14:textId="77777777" w:rsidR="00EA2B5F" w:rsidRPr="00F25EBD" w:rsidRDefault="00EA2B5F" w:rsidP="00F37B88">
            <w:pPr>
              <w:spacing w:after="0" w:line="240" w:lineRule="auto"/>
              <w:jc w:val="center"/>
              <w:rPr>
                <w:rFonts w:asciiTheme="majorHAnsi" w:eastAsia="Times New Roman" w:hAnsiTheme="majorHAnsi" w:cstheme="majorHAnsi"/>
                <w:sz w:val="16"/>
                <w:szCs w:val="16"/>
                <w:lang w:eastAsia="pl-PL"/>
              </w:rPr>
            </w:pPr>
            <w:r w:rsidRPr="00F25EBD">
              <w:rPr>
                <w:rFonts w:asciiTheme="majorHAnsi" w:eastAsia="Times New Roman" w:hAnsiTheme="majorHAnsi" w:cstheme="majorHAnsi"/>
                <w:sz w:val="16"/>
                <w:szCs w:val="16"/>
                <w:lang w:eastAsia="pl-PL"/>
              </w:rPr>
              <w:t>16.726.036,4</w:t>
            </w:r>
          </w:p>
        </w:tc>
        <w:tc>
          <w:tcPr>
            <w:tcW w:w="356"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2095923B" w14:textId="77777777" w:rsidR="00EA2B5F" w:rsidRPr="00F25EBD" w:rsidRDefault="00EA2B5F" w:rsidP="00F37B88">
            <w:pPr>
              <w:spacing w:after="0" w:line="240" w:lineRule="auto"/>
              <w:jc w:val="center"/>
              <w:rPr>
                <w:rFonts w:asciiTheme="majorHAnsi" w:eastAsia="Times New Roman" w:hAnsiTheme="majorHAnsi" w:cstheme="majorHAnsi"/>
                <w:sz w:val="18"/>
                <w:szCs w:val="18"/>
                <w:lang w:eastAsia="pl-PL"/>
              </w:rPr>
            </w:pPr>
            <w:r w:rsidRPr="00F25EBD">
              <w:rPr>
                <w:rFonts w:asciiTheme="majorHAnsi" w:eastAsia="Times New Roman" w:hAnsiTheme="majorHAnsi" w:cstheme="majorHAnsi"/>
                <w:sz w:val="18"/>
                <w:szCs w:val="18"/>
                <w:lang w:eastAsia="pl-PL"/>
              </w:rPr>
              <w:t>22,8</w:t>
            </w:r>
          </w:p>
        </w:tc>
        <w:tc>
          <w:tcPr>
            <w:tcW w:w="514"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2517A52C" w14:textId="77777777" w:rsidR="00EA2B5F" w:rsidRPr="00F25EBD" w:rsidRDefault="00EA2B5F" w:rsidP="00F37B88">
            <w:pPr>
              <w:spacing w:after="0" w:line="240" w:lineRule="auto"/>
              <w:jc w:val="center"/>
              <w:rPr>
                <w:rFonts w:asciiTheme="majorHAnsi" w:eastAsia="Times New Roman" w:hAnsiTheme="majorHAnsi" w:cstheme="majorHAnsi"/>
                <w:sz w:val="16"/>
                <w:szCs w:val="16"/>
                <w:lang w:eastAsia="pl-PL"/>
              </w:rPr>
            </w:pPr>
            <w:r w:rsidRPr="00F25EBD">
              <w:rPr>
                <w:rFonts w:asciiTheme="majorHAnsi" w:eastAsia="Times New Roman" w:hAnsiTheme="majorHAnsi" w:cstheme="majorHAnsi"/>
                <w:sz w:val="16"/>
                <w:szCs w:val="16"/>
                <w:lang w:eastAsia="pl-PL"/>
              </w:rPr>
              <w:t>5.930.908,3</w:t>
            </w:r>
          </w:p>
        </w:tc>
        <w:tc>
          <w:tcPr>
            <w:tcW w:w="356"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17284441" w14:textId="77777777" w:rsidR="00EA2B5F" w:rsidRPr="00F25EBD" w:rsidRDefault="00EA2B5F" w:rsidP="00F37B88">
            <w:pPr>
              <w:spacing w:after="0" w:line="240" w:lineRule="auto"/>
              <w:jc w:val="center"/>
              <w:rPr>
                <w:rFonts w:asciiTheme="majorHAnsi" w:eastAsia="Times New Roman" w:hAnsiTheme="majorHAnsi" w:cstheme="majorHAnsi"/>
                <w:sz w:val="18"/>
                <w:szCs w:val="18"/>
                <w:lang w:eastAsia="pl-PL"/>
              </w:rPr>
            </w:pPr>
            <w:r w:rsidRPr="00F25EBD">
              <w:rPr>
                <w:rFonts w:asciiTheme="majorHAnsi" w:eastAsia="Times New Roman" w:hAnsiTheme="majorHAnsi" w:cstheme="majorHAnsi"/>
                <w:sz w:val="18"/>
                <w:szCs w:val="18"/>
                <w:lang w:eastAsia="pl-PL"/>
              </w:rPr>
              <w:t>6,2</w:t>
            </w:r>
          </w:p>
        </w:tc>
      </w:tr>
      <w:tr w:rsidR="00EA2B5F" w:rsidRPr="00F25EBD" w14:paraId="10FBDB16" w14:textId="77777777" w:rsidTr="00F37B88">
        <w:trPr>
          <w:trHeight w:val="240"/>
        </w:trPr>
        <w:tc>
          <w:tcPr>
            <w:tcW w:w="1047" w:type="pct"/>
            <w:vMerge/>
            <w:tcBorders>
              <w:top w:val="single" w:sz="4" w:space="0" w:color="808080" w:themeColor="background1" w:themeShade="80"/>
              <w:bottom w:val="single" w:sz="4" w:space="0" w:color="808080" w:themeColor="background1" w:themeShade="80"/>
            </w:tcBorders>
            <w:vAlign w:val="center"/>
            <w:hideMark/>
          </w:tcPr>
          <w:p w14:paraId="6FB42826" w14:textId="77777777" w:rsidR="00EA2B5F" w:rsidRPr="00F25EBD" w:rsidRDefault="00EA2B5F" w:rsidP="00F37B88">
            <w:pPr>
              <w:spacing w:after="0" w:line="240" w:lineRule="auto"/>
              <w:rPr>
                <w:rFonts w:asciiTheme="majorHAnsi" w:eastAsia="Times New Roman" w:hAnsiTheme="majorHAnsi" w:cstheme="majorHAnsi"/>
                <w:sz w:val="18"/>
                <w:szCs w:val="18"/>
                <w:lang w:eastAsia="pl-PL"/>
              </w:rPr>
            </w:pPr>
          </w:p>
        </w:tc>
        <w:tc>
          <w:tcPr>
            <w:tcW w:w="474"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6D752F11" w14:textId="77777777" w:rsidR="00EA2B5F" w:rsidRPr="00F25EBD" w:rsidRDefault="00EA2B5F" w:rsidP="00F37B88">
            <w:pPr>
              <w:spacing w:after="0" w:line="240" w:lineRule="auto"/>
              <w:jc w:val="center"/>
              <w:rPr>
                <w:rFonts w:asciiTheme="majorHAnsi" w:eastAsia="Times New Roman" w:hAnsiTheme="majorHAnsi" w:cstheme="majorHAnsi"/>
                <w:sz w:val="18"/>
                <w:szCs w:val="18"/>
                <w:lang w:eastAsia="pl-PL"/>
              </w:rPr>
            </w:pPr>
            <w:r w:rsidRPr="00F25EBD">
              <w:rPr>
                <w:rFonts w:asciiTheme="majorHAnsi" w:eastAsia="Times New Roman" w:hAnsiTheme="majorHAnsi" w:cstheme="majorHAnsi"/>
                <w:sz w:val="18"/>
                <w:szCs w:val="18"/>
                <w:lang w:eastAsia="pl-PL"/>
              </w:rPr>
              <w:t xml:space="preserve">zmiana </w:t>
            </w:r>
            <w:r w:rsidRPr="00F25EBD">
              <w:rPr>
                <w:rFonts w:asciiTheme="majorHAnsi" w:eastAsia="Times New Roman" w:hAnsiTheme="majorHAnsi" w:cstheme="majorHAnsi"/>
                <w:sz w:val="18"/>
                <w:szCs w:val="18"/>
                <w:lang w:eastAsia="pl-PL"/>
              </w:rPr>
              <w:br/>
              <w:t>w %</w:t>
            </w:r>
          </w:p>
        </w:tc>
        <w:tc>
          <w:tcPr>
            <w:tcW w:w="514"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439B835B" w14:textId="77777777" w:rsidR="00EA2B5F" w:rsidRPr="00F25EBD" w:rsidRDefault="00EA2B5F" w:rsidP="00F37B88">
            <w:pPr>
              <w:spacing w:after="0" w:line="240" w:lineRule="auto"/>
              <w:jc w:val="center"/>
              <w:rPr>
                <w:rFonts w:asciiTheme="majorHAnsi" w:eastAsia="Times New Roman" w:hAnsiTheme="majorHAnsi" w:cstheme="majorHAnsi"/>
                <w:sz w:val="18"/>
                <w:szCs w:val="18"/>
                <w:lang w:eastAsia="pl-PL"/>
              </w:rPr>
            </w:pPr>
            <w:r w:rsidRPr="00F25EBD">
              <w:rPr>
                <w:rFonts w:asciiTheme="majorHAnsi" w:eastAsia="Times New Roman" w:hAnsiTheme="majorHAnsi" w:cstheme="majorHAnsi"/>
                <w:sz w:val="18"/>
                <w:szCs w:val="18"/>
                <w:lang w:eastAsia="pl-PL"/>
              </w:rPr>
              <w:t>49,1</w:t>
            </w:r>
          </w:p>
        </w:tc>
        <w:tc>
          <w:tcPr>
            <w:tcW w:w="356"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400B0E5A" w14:textId="77777777" w:rsidR="00EA2B5F" w:rsidRPr="00F25EBD" w:rsidRDefault="00EA2B5F" w:rsidP="00F37B88">
            <w:pPr>
              <w:spacing w:after="0" w:line="240" w:lineRule="auto"/>
              <w:jc w:val="center"/>
              <w:rPr>
                <w:rFonts w:asciiTheme="majorHAnsi" w:eastAsia="Times New Roman" w:hAnsiTheme="majorHAnsi" w:cstheme="majorHAnsi"/>
                <w:sz w:val="18"/>
                <w:szCs w:val="18"/>
                <w:lang w:eastAsia="pl-PL"/>
              </w:rPr>
            </w:pPr>
            <w:r w:rsidRPr="00F25EBD">
              <w:rPr>
                <w:rFonts w:asciiTheme="majorHAnsi" w:eastAsia="Times New Roman" w:hAnsiTheme="majorHAnsi" w:cstheme="majorHAnsi"/>
                <w:sz w:val="18"/>
                <w:szCs w:val="18"/>
                <w:lang w:eastAsia="pl-PL"/>
              </w:rPr>
              <w:t>-</w:t>
            </w:r>
          </w:p>
        </w:tc>
        <w:tc>
          <w:tcPr>
            <w:tcW w:w="514"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033279CD" w14:textId="77777777" w:rsidR="00EA2B5F" w:rsidRPr="00F25EBD" w:rsidRDefault="00EA2B5F" w:rsidP="00F37B88">
            <w:pPr>
              <w:spacing w:after="0" w:line="240" w:lineRule="auto"/>
              <w:jc w:val="center"/>
              <w:rPr>
                <w:rFonts w:asciiTheme="majorHAnsi" w:eastAsia="Times New Roman" w:hAnsiTheme="majorHAnsi" w:cstheme="majorHAnsi"/>
                <w:sz w:val="18"/>
                <w:szCs w:val="18"/>
                <w:lang w:eastAsia="pl-PL"/>
              </w:rPr>
            </w:pPr>
            <w:r w:rsidRPr="00F25EBD">
              <w:rPr>
                <w:rFonts w:asciiTheme="majorHAnsi" w:eastAsia="Times New Roman" w:hAnsiTheme="majorHAnsi" w:cstheme="majorHAnsi"/>
                <w:sz w:val="18"/>
                <w:szCs w:val="18"/>
                <w:lang w:eastAsia="pl-PL"/>
              </w:rPr>
              <w:t>-59,9</w:t>
            </w:r>
          </w:p>
        </w:tc>
        <w:tc>
          <w:tcPr>
            <w:tcW w:w="356"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42775E8D" w14:textId="77777777" w:rsidR="00EA2B5F" w:rsidRPr="00F25EBD" w:rsidRDefault="00EA2B5F" w:rsidP="00F37B88">
            <w:pPr>
              <w:spacing w:after="0" w:line="240" w:lineRule="auto"/>
              <w:jc w:val="center"/>
              <w:rPr>
                <w:rFonts w:asciiTheme="majorHAnsi" w:eastAsia="Times New Roman" w:hAnsiTheme="majorHAnsi" w:cstheme="majorHAnsi"/>
                <w:sz w:val="18"/>
                <w:szCs w:val="18"/>
                <w:lang w:eastAsia="pl-PL"/>
              </w:rPr>
            </w:pPr>
            <w:r w:rsidRPr="00F25EBD">
              <w:rPr>
                <w:rFonts w:asciiTheme="majorHAnsi" w:eastAsia="Times New Roman" w:hAnsiTheme="majorHAnsi" w:cstheme="majorHAnsi"/>
                <w:sz w:val="18"/>
                <w:szCs w:val="18"/>
                <w:lang w:eastAsia="pl-PL"/>
              </w:rPr>
              <w:t>-</w:t>
            </w:r>
          </w:p>
        </w:tc>
        <w:tc>
          <w:tcPr>
            <w:tcW w:w="514"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78732016" w14:textId="77777777" w:rsidR="00EA2B5F" w:rsidRPr="00F25EBD" w:rsidRDefault="00EA2B5F" w:rsidP="00F37B88">
            <w:pPr>
              <w:spacing w:after="0" w:line="240" w:lineRule="auto"/>
              <w:jc w:val="center"/>
              <w:rPr>
                <w:rFonts w:asciiTheme="majorHAnsi" w:eastAsia="Times New Roman" w:hAnsiTheme="majorHAnsi" w:cstheme="majorHAnsi"/>
                <w:sz w:val="18"/>
                <w:szCs w:val="18"/>
                <w:lang w:eastAsia="pl-PL"/>
              </w:rPr>
            </w:pPr>
            <w:r w:rsidRPr="00F25EBD">
              <w:rPr>
                <w:rFonts w:asciiTheme="majorHAnsi" w:eastAsia="Times New Roman" w:hAnsiTheme="majorHAnsi" w:cstheme="majorHAnsi"/>
                <w:sz w:val="18"/>
                <w:szCs w:val="18"/>
                <w:lang w:eastAsia="pl-PL"/>
              </w:rPr>
              <w:t>4,7</w:t>
            </w:r>
          </w:p>
        </w:tc>
        <w:tc>
          <w:tcPr>
            <w:tcW w:w="356"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73A2ED2A" w14:textId="77777777" w:rsidR="00EA2B5F" w:rsidRPr="00F25EBD" w:rsidRDefault="00EA2B5F" w:rsidP="00F37B88">
            <w:pPr>
              <w:spacing w:after="0" w:line="240" w:lineRule="auto"/>
              <w:jc w:val="center"/>
              <w:rPr>
                <w:rFonts w:asciiTheme="majorHAnsi" w:eastAsia="Times New Roman" w:hAnsiTheme="majorHAnsi" w:cstheme="majorHAnsi"/>
                <w:sz w:val="18"/>
                <w:szCs w:val="18"/>
                <w:lang w:eastAsia="pl-PL"/>
              </w:rPr>
            </w:pPr>
            <w:r w:rsidRPr="00F25EBD">
              <w:rPr>
                <w:rFonts w:asciiTheme="majorHAnsi" w:eastAsia="Times New Roman" w:hAnsiTheme="majorHAnsi" w:cstheme="majorHAnsi"/>
                <w:sz w:val="18"/>
                <w:szCs w:val="18"/>
                <w:lang w:eastAsia="pl-PL"/>
              </w:rPr>
              <w:t>-</w:t>
            </w:r>
          </w:p>
        </w:tc>
        <w:tc>
          <w:tcPr>
            <w:tcW w:w="514"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4C716A27" w14:textId="77777777" w:rsidR="00EA2B5F" w:rsidRPr="00F25EBD" w:rsidRDefault="00EA2B5F" w:rsidP="00F37B88">
            <w:pPr>
              <w:spacing w:after="0" w:line="240" w:lineRule="auto"/>
              <w:jc w:val="center"/>
              <w:rPr>
                <w:rFonts w:asciiTheme="majorHAnsi" w:eastAsia="Times New Roman" w:hAnsiTheme="majorHAnsi" w:cstheme="majorHAnsi"/>
                <w:sz w:val="18"/>
                <w:szCs w:val="18"/>
                <w:lang w:eastAsia="pl-PL"/>
              </w:rPr>
            </w:pPr>
            <w:r w:rsidRPr="00F25EBD">
              <w:rPr>
                <w:rFonts w:asciiTheme="majorHAnsi" w:eastAsia="Times New Roman" w:hAnsiTheme="majorHAnsi" w:cstheme="majorHAnsi"/>
                <w:sz w:val="18"/>
                <w:szCs w:val="18"/>
                <w:lang w:eastAsia="pl-PL"/>
              </w:rPr>
              <w:t>-81,2</w:t>
            </w:r>
          </w:p>
        </w:tc>
        <w:tc>
          <w:tcPr>
            <w:tcW w:w="356"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36024AC9" w14:textId="77777777" w:rsidR="00EA2B5F" w:rsidRPr="00F25EBD" w:rsidRDefault="00EA2B5F" w:rsidP="00F37B88">
            <w:pPr>
              <w:spacing w:after="0" w:line="240" w:lineRule="auto"/>
              <w:jc w:val="center"/>
              <w:rPr>
                <w:rFonts w:asciiTheme="majorHAnsi" w:eastAsia="Times New Roman" w:hAnsiTheme="majorHAnsi" w:cstheme="majorHAnsi"/>
                <w:sz w:val="18"/>
                <w:szCs w:val="18"/>
                <w:lang w:eastAsia="pl-PL"/>
              </w:rPr>
            </w:pPr>
            <w:r w:rsidRPr="00F25EBD">
              <w:rPr>
                <w:rFonts w:asciiTheme="majorHAnsi" w:eastAsia="Times New Roman" w:hAnsiTheme="majorHAnsi" w:cstheme="majorHAnsi"/>
                <w:sz w:val="18"/>
                <w:szCs w:val="18"/>
                <w:lang w:eastAsia="pl-PL"/>
              </w:rPr>
              <w:t>-</w:t>
            </w:r>
          </w:p>
        </w:tc>
      </w:tr>
      <w:tr w:rsidR="00EA2B5F" w:rsidRPr="00F25EBD" w14:paraId="365C7EB6" w14:textId="77777777" w:rsidTr="00F37B88">
        <w:trPr>
          <w:trHeight w:val="240"/>
        </w:trPr>
        <w:tc>
          <w:tcPr>
            <w:tcW w:w="1047" w:type="pct"/>
            <w:vMerge w:val="restart"/>
            <w:tcBorders>
              <w:top w:val="single" w:sz="4" w:space="0" w:color="808080" w:themeColor="background1" w:themeShade="80"/>
              <w:bottom w:val="single" w:sz="4" w:space="0" w:color="808080" w:themeColor="background1" w:themeShade="80"/>
            </w:tcBorders>
            <w:shd w:val="clear" w:color="auto" w:fill="auto"/>
            <w:vAlign w:val="center"/>
            <w:hideMark/>
          </w:tcPr>
          <w:p w14:paraId="29109B35" w14:textId="77777777" w:rsidR="00EA2B5F" w:rsidRPr="00F25EBD" w:rsidRDefault="00EA2B5F" w:rsidP="00F37B88">
            <w:pPr>
              <w:spacing w:after="0" w:line="240" w:lineRule="auto"/>
              <w:rPr>
                <w:rFonts w:asciiTheme="majorHAnsi" w:eastAsia="Times New Roman" w:hAnsiTheme="majorHAnsi" w:cstheme="majorHAnsi"/>
                <w:sz w:val="18"/>
                <w:szCs w:val="18"/>
                <w:lang w:eastAsia="pl-PL"/>
              </w:rPr>
            </w:pPr>
            <w:r w:rsidRPr="00F25EBD">
              <w:rPr>
                <w:rFonts w:asciiTheme="majorHAnsi" w:eastAsia="Times New Roman" w:hAnsiTheme="majorHAnsi" w:cstheme="majorHAnsi"/>
                <w:sz w:val="18"/>
                <w:szCs w:val="18"/>
                <w:lang w:eastAsia="pl-PL"/>
              </w:rPr>
              <w:t>Dział 750</w:t>
            </w:r>
          </w:p>
          <w:p w14:paraId="7D1F0D47" w14:textId="77777777" w:rsidR="00EA2B5F" w:rsidRPr="00F25EBD" w:rsidRDefault="00EA2B5F" w:rsidP="00F37B88">
            <w:pPr>
              <w:spacing w:after="0" w:line="240" w:lineRule="auto"/>
              <w:rPr>
                <w:rFonts w:asciiTheme="majorHAnsi" w:eastAsia="Times New Roman" w:hAnsiTheme="majorHAnsi" w:cstheme="majorHAnsi"/>
                <w:sz w:val="18"/>
                <w:szCs w:val="18"/>
                <w:lang w:eastAsia="pl-PL"/>
              </w:rPr>
            </w:pPr>
            <w:r w:rsidRPr="00F25EBD">
              <w:rPr>
                <w:rFonts w:asciiTheme="majorHAnsi" w:eastAsia="Times New Roman" w:hAnsiTheme="majorHAnsi" w:cstheme="majorHAnsi"/>
                <w:sz w:val="18"/>
                <w:szCs w:val="18"/>
                <w:lang w:eastAsia="pl-PL"/>
              </w:rPr>
              <w:t>Administracja publiczna</w:t>
            </w:r>
          </w:p>
        </w:tc>
        <w:tc>
          <w:tcPr>
            <w:tcW w:w="474"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2B4D5282" w14:textId="77777777" w:rsidR="00EA2B5F" w:rsidRPr="00F25EBD" w:rsidRDefault="00EA2B5F" w:rsidP="00F37B88">
            <w:pPr>
              <w:spacing w:after="0" w:line="240" w:lineRule="auto"/>
              <w:jc w:val="center"/>
              <w:rPr>
                <w:rFonts w:asciiTheme="majorHAnsi" w:eastAsia="Times New Roman" w:hAnsiTheme="majorHAnsi" w:cstheme="majorHAnsi"/>
                <w:sz w:val="18"/>
                <w:szCs w:val="18"/>
                <w:lang w:eastAsia="pl-PL"/>
              </w:rPr>
            </w:pPr>
            <w:r w:rsidRPr="00F25EBD">
              <w:rPr>
                <w:rFonts w:asciiTheme="majorHAnsi" w:eastAsia="Times New Roman" w:hAnsiTheme="majorHAnsi" w:cstheme="majorHAnsi"/>
                <w:sz w:val="18"/>
                <w:szCs w:val="18"/>
                <w:lang w:eastAsia="pl-PL"/>
              </w:rPr>
              <w:t>2010</w:t>
            </w:r>
          </w:p>
        </w:tc>
        <w:tc>
          <w:tcPr>
            <w:tcW w:w="514"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5063067D" w14:textId="77777777" w:rsidR="00EA2B5F" w:rsidRPr="00F25EBD" w:rsidRDefault="00EA2B5F" w:rsidP="00F37B88">
            <w:pPr>
              <w:spacing w:after="0" w:line="240" w:lineRule="auto"/>
              <w:jc w:val="center"/>
              <w:rPr>
                <w:rFonts w:asciiTheme="majorHAnsi" w:eastAsia="Times New Roman" w:hAnsiTheme="majorHAnsi" w:cstheme="majorHAnsi"/>
                <w:sz w:val="16"/>
                <w:szCs w:val="16"/>
                <w:lang w:eastAsia="pl-PL"/>
              </w:rPr>
            </w:pPr>
            <w:r w:rsidRPr="00F25EBD">
              <w:rPr>
                <w:rFonts w:asciiTheme="majorHAnsi" w:eastAsia="Times New Roman" w:hAnsiTheme="majorHAnsi" w:cstheme="majorHAnsi"/>
                <w:sz w:val="16"/>
                <w:szCs w:val="16"/>
                <w:lang w:eastAsia="pl-PL"/>
              </w:rPr>
              <w:t>5.272.433,9</w:t>
            </w:r>
          </w:p>
        </w:tc>
        <w:tc>
          <w:tcPr>
            <w:tcW w:w="356"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01FCCB45" w14:textId="77777777" w:rsidR="00EA2B5F" w:rsidRPr="00F25EBD" w:rsidRDefault="00EA2B5F" w:rsidP="00F37B88">
            <w:pPr>
              <w:spacing w:after="0" w:line="240" w:lineRule="auto"/>
              <w:jc w:val="center"/>
              <w:rPr>
                <w:rFonts w:asciiTheme="majorHAnsi" w:eastAsia="Times New Roman" w:hAnsiTheme="majorHAnsi" w:cstheme="majorHAnsi"/>
                <w:sz w:val="18"/>
                <w:szCs w:val="18"/>
                <w:lang w:eastAsia="pl-PL"/>
              </w:rPr>
            </w:pPr>
            <w:r w:rsidRPr="00F25EBD">
              <w:rPr>
                <w:rFonts w:asciiTheme="majorHAnsi" w:eastAsia="Times New Roman" w:hAnsiTheme="majorHAnsi" w:cstheme="majorHAnsi"/>
                <w:sz w:val="18"/>
                <w:szCs w:val="18"/>
                <w:lang w:eastAsia="pl-PL"/>
              </w:rPr>
              <w:t>9,6</w:t>
            </w:r>
          </w:p>
        </w:tc>
        <w:tc>
          <w:tcPr>
            <w:tcW w:w="514"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5A0ED215" w14:textId="77777777" w:rsidR="00EA2B5F" w:rsidRPr="00F25EBD" w:rsidRDefault="00EA2B5F" w:rsidP="00F37B88">
            <w:pPr>
              <w:spacing w:after="0" w:line="240" w:lineRule="auto"/>
              <w:jc w:val="center"/>
              <w:rPr>
                <w:rFonts w:asciiTheme="majorHAnsi" w:eastAsia="Times New Roman" w:hAnsiTheme="majorHAnsi" w:cstheme="majorHAnsi"/>
                <w:sz w:val="16"/>
                <w:szCs w:val="16"/>
                <w:lang w:eastAsia="pl-PL"/>
              </w:rPr>
            </w:pPr>
            <w:r w:rsidRPr="00F25EBD">
              <w:rPr>
                <w:rFonts w:asciiTheme="majorHAnsi" w:eastAsia="Times New Roman" w:hAnsiTheme="majorHAnsi" w:cstheme="majorHAnsi"/>
                <w:sz w:val="16"/>
                <w:szCs w:val="16"/>
                <w:lang w:eastAsia="pl-PL"/>
              </w:rPr>
              <w:t>3.879.461,8</w:t>
            </w:r>
          </w:p>
        </w:tc>
        <w:tc>
          <w:tcPr>
            <w:tcW w:w="356"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059E5C6E" w14:textId="77777777" w:rsidR="00EA2B5F" w:rsidRPr="00F25EBD" w:rsidRDefault="00EA2B5F" w:rsidP="00F37B88">
            <w:pPr>
              <w:spacing w:after="0" w:line="240" w:lineRule="auto"/>
              <w:jc w:val="center"/>
              <w:rPr>
                <w:rFonts w:asciiTheme="majorHAnsi" w:eastAsia="Times New Roman" w:hAnsiTheme="majorHAnsi" w:cstheme="majorHAnsi"/>
                <w:sz w:val="18"/>
                <w:szCs w:val="18"/>
                <w:lang w:eastAsia="pl-PL"/>
              </w:rPr>
            </w:pPr>
            <w:r w:rsidRPr="00F25EBD">
              <w:rPr>
                <w:rFonts w:asciiTheme="majorHAnsi" w:eastAsia="Times New Roman" w:hAnsiTheme="majorHAnsi" w:cstheme="majorHAnsi"/>
                <w:sz w:val="18"/>
                <w:szCs w:val="18"/>
                <w:lang w:eastAsia="pl-PL"/>
              </w:rPr>
              <w:t>8,2</w:t>
            </w:r>
          </w:p>
        </w:tc>
        <w:tc>
          <w:tcPr>
            <w:tcW w:w="514"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274CA88D" w14:textId="77777777" w:rsidR="00EA2B5F" w:rsidRPr="00F25EBD" w:rsidRDefault="00EA2B5F" w:rsidP="00F37B88">
            <w:pPr>
              <w:spacing w:after="0" w:line="240" w:lineRule="auto"/>
              <w:jc w:val="center"/>
              <w:rPr>
                <w:rFonts w:asciiTheme="majorHAnsi" w:eastAsia="Times New Roman" w:hAnsiTheme="majorHAnsi" w:cstheme="majorHAnsi"/>
                <w:sz w:val="16"/>
                <w:szCs w:val="16"/>
                <w:lang w:eastAsia="pl-PL"/>
              </w:rPr>
            </w:pPr>
            <w:r w:rsidRPr="00F25EBD">
              <w:rPr>
                <w:rFonts w:asciiTheme="majorHAnsi" w:eastAsia="Times New Roman" w:hAnsiTheme="majorHAnsi" w:cstheme="majorHAnsi"/>
                <w:sz w:val="16"/>
                <w:szCs w:val="16"/>
                <w:lang w:eastAsia="pl-PL"/>
              </w:rPr>
              <w:t>6.154.101,5</w:t>
            </w:r>
          </w:p>
        </w:tc>
        <w:tc>
          <w:tcPr>
            <w:tcW w:w="356"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42EAF2BA" w14:textId="77777777" w:rsidR="00EA2B5F" w:rsidRPr="00F25EBD" w:rsidRDefault="00EA2B5F" w:rsidP="00F37B88">
            <w:pPr>
              <w:spacing w:after="0" w:line="240" w:lineRule="auto"/>
              <w:jc w:val="center"/>
              <w:rPr>
                <w:rFonts w:asciiTheme="majorHAnsi" w:eastAsia="Times New Roman" w:hAnsiTheme="majorHAnsi" w:cstheme="majorHAnsi"/>
                <w:sz w:val="18"/>
                <w:szCs w:val="18"/>
                <w:lang w:eastAsia="pl-PL"/>
              </w:rPr>
            </w:pPr>
            <w:r w:rsidRPr="00F25EBD">
              <w:rPr>
                <w:rFonts w:asciiTheme="majorHAnsi" w:eastAsia="Times New Roman" w:hAnsiTheme="majorHAnsi" w:cstheme="majorHAnsi"/>
                <w:sz w:val="18"/>
                <w:szCs w:val="18"/>
                <w:lang w:eastAsia="pl-PL"/>
              </w:rPr>
              <w:t>9,3</w:t>
            </w:r>
          </w:p>
        </w:tc>
        <w:tc>
          <w:tcPr>
            <w:tcW w:w="514"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4A6EAAAD" w14:textId="77777777" w:rsidR="00EA2B5F" w:rsidRPr="00F25EBD" w:rsidRDefault="00EA2B5F" w:rsidP="00F37B88">
            <w:pPr>
              <w:spacing w:after="0" w:line="240" w:lineRule="auto"/>
              <w:jc w:val="center"/>
              <w:rPr>
                <w:rFonts w:asciiTheme="majorHAnsi" w:eastAsia="Times New Roman" w:hAnsiTheme="majorHAnsi" w:cstheme="majorHAnsi"/>
                <w:sz w:val="16"/>
                <w:szCs w:val="16"/>
                <w:lang w:eastAsia="pl-PL"/>
              </w:rPr>
            </w:pPr>
            <w:r w:rsidRPr="00F25EBD">
              <w:rPr>
                <w:rFonts w:asciiTheme="majorHAnsi" w:eastAsia="Times New Roman" w:hAnsiTheme="majorHAnsi" w:cstheme="majorHAnsi"/>
                <w:sz w:val="16"/>
                <w:szCs w:val="16"/>
                <w:lang w:eastAsia="pl-PL"/>
              </w:rPr>
              <w:t>7.486.940,8</w:t>
            </w:r>
          </w:p>
        </w:tc>
        <w:tc>
          <w:tcPr>
            <w:tcW w:w="356"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12969846" w14:textId="77777777" w:rsidR="00EA2B5F" w:rsidRPr="00F25EBD" w:rsidRDefault="00EA2B5F" w:rsidP="00F37B88">
            <w:pPr>
              <w:spacing w:after="0" w:line="240" w:lineRule="auto"/>
              <w:jc w:val="center"/>
              <w:rPr>
                <w:rFonts w:asciiTheme="majorHAnsi" w:eastAsia="Times New Roman" w:hAnsiTheme="majorHAnsi" w:cstheme="majorHAnsi"/>
                <w:sz w:val="18"/>
                <w:szCs w:val="18"/>
                <w:lang w:eastAsia="pl-PL"/>
              </w:rPr>
            </w:pPr>
            <w:r w:rsidRPr="00F25EBD">
              <w:rPr>
                <w:rFonts w:asciiTheme="majorHAnsi" w:eastAsia="Times New Roman" w:hAnsiTheme="majorHAnsi" w:cstheme="majorHAnsi"/>
                <w:sz w:val="18"/>
                <w:szCs w:val="18"/>
                <w:lang w:eastAsia="pl-PL"/>
              </w:rPr>
              <w:t>7,8</w:t>
            </w:r>
          </w:p>
        </w:tc>
      </w:tr>
      <w:tr w:rsidR="00EA2B5F" w:rsidRPr="00F25EBD" w14:paraId="613CE435" w14:textId="77777777" w:rsidTr="00F37B88">
        <w:trPr>
          <w:trHeight w:val="240"/>
        </w:trPr>
        <w:tc>
          <w:tcPr>
            <w:tcW w:w="1047" w:type="pct"/>
            <w:vMerge/>
            <w:tcBorders>
              <w:top w:val="single" w:sz="4" w:space="0" w:color="808080" w:themeColor="background1" w:themeShade="80"/>
              <w:bottom w:val="single" w:sz="4" w:space="0" w:color="808080" w:themeColor="background1" w:themeShade="80"/>
            </w:tcBorders>
            <w:vAlign w:val="center"/>
            <w:hideMark/>
          </w:tcPr>
          <w:p w14:paraId="1575D852" w14:textId="77777777" w:rsidR="00EA2B5F" w:rsidRPr="00F25EBD" w:rsidRDefault="00EA2B5F" w:rsidP="00F37B88">
            <w:pPr>
              <w:spacing w:after="0" w:line="240" w:lineRule="auto"/>
              <w:rPr>
                <w:rFonts w:asciiTheme="majorHAnsi" w:eastAsia="Times New Roman" w:hAnsiTheme="majorHAnsi" w:cstheme="majorHAnsi"/>
                <w:sz w:val="18"/>
                <w:szCs w:val="18"/>
                <w:lang w:eastAsia="pl-PL"/>
              </w:rPr>
            </w:pPr>
          </w:p>
        </w:tc>
        <w:tc>
          <w:tcPr>
            <w:tcW w:w="474"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64F89136" w14:textId="77777777" w:rsidR="00EA2B5F" w:rsidRPr="00F25EBD" w:rsidRDefault="00EA2B5F" w:rsidP="00F37B88">
            <w:pPr>
              <w:spacing w:after="0" w:line="240" w:lineRule="auto"/>
              <w:jc w:val="center"/>
              <w:rPr>
                <w:rFonts w:asciiTheme="majorHAnsi" w:eastAsia="Times New Roman" w:hAnsiTheme="majorHAnsi" w:cstheme="majorHAnsi"/>
                <w:sz w:val="18"/>
                <w:szCs w:val="18"/>
                <w:lang w:eastAsia="pl-PL"/>
              </w:rPr>
            </w:pPr>
            <w:r w:rsidRPr="00F25EBD">
              <w:rPr>
                <w:rFonts w:asciiTheme="majorHAnsi" w:eastAsia="Times New Roman" w:hAnsiTheme="majorHAnsi" w:cstheme="majorHAnsi"/>
                <w:sz w:val="18"/>
                <w:szCs w:val="18"/>
                <w:lang w:eastAsia="pl-PL"/>
              </w:rPr>
              <w:t>2019</w:t>
            </w:r>
          </w:p>
        </w:tc>
        <w:tc>
          <w:tcPr>
            <w:tcW w:w="514"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2EE7B323" w14:textId="77777777" w:rsidR="00EA2B5F" w:rsidRPr="00F25EBD" w:rsidRDefault="00EA2B5F" w:rsidP="00F37B88">
            <w:pPr>
              <w:spacing w:after="0" w:line="240" w:lineRule="auto"/>
              <w:jc w:val="center"/>
              <w:rPr>
                <w:rFonts w:asciiTheme="majorHAnsi" w:eastAsia="Times New Roman" w:hAnsiTheme="majorHAnsi" w:cstheme="majorHAnsi"/>
                <w:sz w:val="16"/>
                <w:szCs w:val="16"/>
                <w:lang w:eastAsia="pl-PL"/>
              </w:rPr>
            </w:pPr>
            <w:r w:rsidRPr="00F25EBD">
              <w:rPr>
                <w:rFonts w:asciiTheme="majorHAnsi" w:eastAsia="Times New Roman" w:hAnsiTheme="majorHAnsi" w:cstheme="majorHAnsi"/>
                <w:sz w:val="16"/>
                <w:szCs w:val="16"/>
                <w:lang w:eastAsia="pl-PL"/>
              </w:rPr>
              <w:t>8.924.298,1</w:t>
            </w:r>
          </w:p>
        </w:tc>
        <w:tc>
          <w:tcPr>
            <w:tcW w:w="356"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09D01C7C" w14:textId="77777777" w:rsidR="00EA2B5F" w:rsidRPr="00F25EBD" w:rsidRDefault="00EA2B5F" w:rsidP="00F37B88">
            <w:pPr>
              <w:spacing w:after="0" w:line="240" w:lineRule="auto"/>
              <w:jc w:val="center"/>
              <w:rPr>
                <w:rFonts w:asciiTheme="majorHAnsi" w:eastAsia="Times New Roman" w:hAnsiTheme="majorHAnsi" w:cstheme="majorHAnsi"/>
                <w:sz w:val="18"/>
                <w:szCs w:val="18"/>
                <w:lang w:eastAsia="pl-PL"/>
              </w:rPr>
            </w:pPr>
            <w:r w:rsidRPr="00F25EBD">
              <w:rPr>
                <w:rFonts w:asciiTheme="majorHAnsi" w:eastAsia="Times New Roman" w:hAnsiTheme="majorHAnsi" w:cstheme="majorHAnsi"/>
                <w:sz w:val="18"/>
                <w:szCs w:val="18"/>
                <w:lang w:eastAsia="pl-PL"/>
              </w:rPr>
              <w:t>12,3</w:t>
            </w:r>
          </w:p>
        </w:tc>
        <w:tc>
          <w:tcPr>
            <w:tcW w:w="514"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0FE18190" w14:textId="77777777" w:rsidR="00EA2B5F" w:rsidRPr="00F25EBD" w:rsidRDefault="00EA2B5F" w:rsidP="00F37B88">
            <w:pPr>
              <w:spacing w:after="0" w:line="240" w:lineRule="auto"/>
              <w:jc w:val="center"/>
              <w:rPr>
                <w:rFonts w:asciiTheme="majorHAnsi" w:eastAsia="Times New Roman" w:hAnsiTheme="majorHAnsi" w:cstheme="majorHAnsi"/>
                <w:sz w:val="16"/>
                <w:szCs w:val="16"/>
                <w:lang w:eastAsia="pl-PL"/>
              </w:rPr>
            </w:pPr>
            <w:r w:rsidRPr="00F25EBD">
              <w:rPr>
                <w:rFonts w:asciiTheme="majorHAnsi" w:eastAsia="Times New Roman" w:hAnsiTheme="majorHAnsi" w:cstheme="majorHAnsi"/>
                <w:sz w:val="16"/>
                <w:szCs w:val="16"/>
                <w:lang w:eastAsia="pl-PL"/>
              </w:rPr>
              <w:t>4.225.522,6</w:t>
            </w:r>
          </w:p>
        </w:tc>
        <w:tc>
          <w:tcPr>
            <w:tcW w:w="356"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593433D9" w14:textId="77777777" w:rsidR="00EA2B5F" w:rsidRPr="00F25EBD" w:rsidRDefault="00EA2B5F" w:rsidP="00F37B88">
            <w:pPr>
              <w:spacing w:after="0" w:line="240" w:lineRule="auto"/>
              <w:jc w:val="center"/>
              <w:rPr>
                <w:rFonts w:asciiTheme="majorHAnsi" w:eastAsia="Times New Roman" w:hAnsiTheme="majorHAnsi" w:cstheme="majorHAnsi"/>
                <w:sz w:val="18"/>
                <w:szCs w:val="18"/>
                <w:lang w:eastAsia="pl-PL"/>
              </w:rPr>
            </w:pPr>
            <w:r w:rsidRPr="00F25EBD">
              <w:rPr>
                <w:rFonts w:asciiTheme="majorHAnsi" w:eastAsia="Times New Roman" w:hAnsiTheme="majorHAnsi" w:cstheme="majorHAnsi"/>
                <w:sz w:val="18"/>
                <w:szCs w:val="18"/>
                <w:lang w:eastAsia="pl-PL"/>
              </w:rPr>
              <w:t>8,7</w:t>
            </w:r>
          </w:p>
        </w:tc>
        <w:tc>
          <w:tcPr>
            <w:tcW w:w="514"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42B5F10F" w14:textId="77777777" w:rsidR="00EA2B5F" w:rsidRPr="00F25EBD" w:rsidRDefault="00EA2B5F" w:rsidP="00F37B88">
            <w:pPr>
              <w:spacing w:after="0" w:line="240" w:lineRule="auto"/>
              <w:jc w:val="center"/>
              <w:rPr>
                <w:rFonts w:asciiTheme="majorHAnsi" w:eastAsia="Times New Roman" w:hAnsiTheme="majorHAnsi" w:cstheme="majorHAnsi"/>
                <w:sz w:val="16"/>
                <w:szCs w:val="16"/>
                <w:lang w:eastAsia="pl-PL"/>
              </w:rPr>
            </w:pPr>
            <w:r w:rsidRPr="00F25EBD">
              <w:rPr>
                <w:rFonts w:asciiTheme="majorHAnsi" w:eastAsia="Times New Roman" w:hAnsiTheme="majorHAnsi" w:cstheme="majorHAnsi"/>
                <w:sz w:val="16"/>
                <w:szCs w:val="16"/>
                <w:lang w:eastAsia="pl-PL"/>
              </w:rPr>
              <w:t>7.765.962,0</w:t>
            </w:r>
          </w:p>
        </w:tc>
        <w:tc>
          <w:tcPr>
            <w:tcW w:w="356"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58EDB57F" w14:textId="77777777" w:rsidR="00EA2B5F" w:rsidRPr="00F25EBD" w:rsidRDefault="00EA2B5F" w:rsidP="00F37B88">
            <w:pPr>
              <w:spacing w:after="0" w:line="240" w:lineRule="auto"/>
              <w:jc w:val="center"/>
              <w:rPr>
                <w:rFonts w:asciiTheme="majorHAnsi" w:eastAsia="Times New Roman" w:hAnsiTheme="majorHAnsi" w:cstheme="majorHAnsi"/>
                <w:sz w:val="18"/>
                <w:szCs w:val="18"/>
                <w:lang w:eastAsia="pl-PL"/>
              </w:rPr>
            </w:pPr>
            <w:r w:rsidRPr="00F25EBD">
              <w:rPr>
                <w:rFonts w:asciiTheme="majorHAnsi" w:eastAsia="Times New Roman" w:hAnsiTheme="majorHAnsi" w:cstheme="majorHAnsi"/>
                <w:sz w:val="18"/>
                <w:szCs w:val="18"/>
                <w:lang w:eastAsia="pl-PL"/>
              </w:rPr>
              <w:t>10,6</w:t>
            </w:r>
          </w:p>
        </w:tc>
        <w:tc>
          <w:tcPr>
            <w:tcW w:w="514"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3258BC4D" w14:textId="77777777" w:rsidR="00EA2B5F" w:rsidRPr="00F25EBD" w:rsidRDefault="00EA2B5F" w:rsidP="00F37B88">
            <w:pPr>
              <w:spacing w:after="0" w:line="240" w:lineRule="auto"/>
              <w:jc w:val="center"/>
              <w:rPr>
                <w:rFonts w:asciiTheme="majorHAnsi" w:eastAsia="Times New Roman" w:hAnsiTheme="majorHAnsi" w:cstheme="majorHAnsi"/>
                <w:sz w:val="16"/>
                <w:szCs w:val="16"/>
                <w:lang w:eastAsia="pl-PL"/>
              </w:rPr>
            </w:pPr>
            <w:r w:rsidRPr="00F25EBD">
              <w:rPr>
                <w:rFonts w:asciiTheme="majorHAnsi" w:eastAsia="Times New Roman" w:hAnsiTheme="majorHAnsi" w:cstheme="majorHAnsi"/>
                <w:sz w:val="16"/>
                <w:szCs w:val="16"/>
                <w:lang w:eastAsia="pl-PL"/>
              </w:rPr>
              <w:t>6.937.050,9</w:t>
            </w:r>
          </w:p>
        </w:tc>
        <w:tc>
          <w:tcPr>
            <w:tcW w:w="356"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113CB6C8" w14:textId="77777777" w:rsidR="00EA2B5F" w:rsidRPr="00F25EBD" w:rsidRDefault="00EA2B5F" w:rsidP="00F37B88">
            <w:pPr>
              <w:spacing w:after="0" w:line="240" w:lineRule="auto"/>
              <w:jc w:val="center"/>
              <w:rPr>
                <w:rFonts w:asciiTheme="majorHAnsi" w:eastAsia="Times New Roman" w:hAnsiTheme="majorHAnsi" w:cstheme="majorHAnsi"/>
                <w:sz w:val="18"/>
                <w:szCs w:val="18"/>
                <w:lang w:eastAsia="pl-PL"/>
              </w:rPr>
            </w:pPr>
            <w:r w:rsidRPr="00F25EBD">
              <w:rPr>
                <w:rFonts w:asciiTheme="majorHAnsi" w:eastAsia="Times New Roman" w:hAnsiTheme="majorHAnsi" w:cstheme="majorHAnsi"/>
                <w:sz w:val="18"/>
                <w:szCs w:val="18"/>
                <w:lang w:eastAsia="pl-PL"/>
              </w:rPr>
              <w:t>7,3</w:t>
            </w:r>
          </w:p>
        </w:tc>
      </w:tr>
      <w:tr w:rsidR="00EA2B5F" w:rsidRPr="00F25EBD" w14:paraId="7B1EB4A5" w14:textId="77777777" w:rsidTr="00F37B88">
        <w:trPr>
          <w:trHeight w:val="240"/>
        </w:trPr>
        <w:tc>
          <w:tcPr>
            <w:tcW w:w="1047" w:type="pct"/>
            <w:vMerge/>
            <w:tcBorders>
              <w:top w:val="single" w:sz="4" w:space="0" w:color="808080" w:themeColor="background1" w:themeShade="80"/>
              <w:bottom w:val="single" w:sz="4" w:space="0" w:color="808080" w:themeColor="background1" w:themeShade="80"/>
            </w:tcBorders>
            <w:vAlign w:val="center"/>
            <w:hideMark/>
          </w:tcPr>
          <w:p w14:paraId="780B9F04" w14:textId="77777777" w:rsidR="00EA2B5F" w:rsidRPr="00F25EBD" w:rsidRDefault="00EA2B5F" w:rsidP="00F37B88">
            <w:pPr>
              <w:spacing w:after="0" w:line="240" w:lineRule="auto"/>
              <w:rPr>
                <w:rFonts w:asciiTheme="majorHAnsi" w:eastAsia="Times New Roman" w:hAnsiTheme="majorHAnsi" w:cstheme="majorHAnsi"/>
                <w:sz w:val="18"/>
                <w:szCs w:val="18"/>
                <w:lang w:eastAsia="pl-PL"/>
              </w:rPr>
            </w:pPr>
          </w:p>
        </w:tc>
        <w:tc>
          <w:tcPr>
            <w:tcW w:w="474"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70E04D84" w14:textId="77777777" w:rsidR="00EA2B5F" w:rsidRPr="00F25EBD" w:rsidRDefault="00EA2B5F" w:rsidP="00F37B88">
            <w:pPr>
              <w:spacing w:after="0" w:line="240" w:lineRule="auto"/>
              <w:jc w:val="center"/>
              <w:rPr>
                <w:rFonts w:asciiTheme="majorHAnsi" w:eastAsia="Times New Roman" w:hAnsiTheme="majorHAnsi" w:cstheme="majorHAnsi"/>
                <w:sz w:val="18"/>
                <w:szCs w:val="18"/>
                <w:lang w:eastAsia="pl-PL"/>
              </w:rPr>
            </w:pPr>
            <w:r w:rsidRPr="00F25EBD">
              <w:rPr>
                <w:rFonts w:asciiTheme="majorHAnsi" w:eastAsia="Times New Roman" w:hAnsiTheme="majorHAnsi" w:cstheme="majorHAnsi"/>
                <w:sz w:val="18"/>
                <w:szCs w:val="18"/>
                <w:lang w:eastAsia="pl-PL"/>
              </w:rPr>
              <w:t xml:space="preserve">zmiana </w:t>
            </w:r>
            <w:r w:rsidRPr="00F25EBD">
              <w:rPr>
                <w:rFonts w:asciiTheme="majorHAnsi" w:eastAsia="Times New Roman" w:hAnsiTheme="majorHAnsi" w:cstheme="majorHAnsi"/>
                <w:sz w:val="18"/>
                <w:szCs w:val="18"/>
                <w:lang w:eastAsia="pl-PL"/>
              </w:rPr>
              <w:br/>
              <w:t>w %</w:t>
            </w:r>
          </w:p>
        </w:tc>
        <w:tc>
          <w:tcPr>
            <w:tcW w:w="514"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680AC4E6" w14:textId="77777777" w:rsidR="00EA2B5F" w:rsidRPr="00F25EBD" w:rsidRDefault="00EA2B5F" w:rsidP="00F37B88">
            <w:pPr>
              <w:spacing w:after="0" w:line="240" w:lineRule="auto"/>
              <w:jc w:val="center"/>
              <w:rPr>
                <w:rFonts w:asciiTheme="majorHAnsi" w:eastAsia="Times New Roman" w:hAnsiTheme="majorHAnsi" w:cstheme="majorHAnsi"/>
                <w:sz w:val="18"/>
                <w:szCs w:val="18"/>
                <w:lang w:eastAsia="pl-PL"/>
              </w:rPr>
            </w:pPr>
            <w:r w:rsidRPr="00F25EBD">
              <w:rPr>
                <w:rFonts w:asciiTheme="majorHAnsi" w:eastAsia="Times New Roman" w:hAnsiTheme="majorHAnsi" w:cstheme="majorHAnsi"/>
                <w:sz w:val="18"/>
                <w:szCs w:val="18"/>
                <w:lang w:eastAsia="pl-PL"/>
              </w:rPr>
              <w:t>69,3</w:t>
            </w:r>
          </w:p>
        </w:tc>
        <w:tc>
          <w:tcPr>
            <w:tcW w:w="356"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0030A6D1" w14:textId="77777777" w:rsidR="00EA2B5F" w:rsidRPr="00F25EBD" w:rsidRDefault="00EA2B5F" w:rsidP="00F37B88">
            <w:pPr>
              <w:spacing w:after="0" w:line="240" w:lineRule="auto"/>
              <w:jc w:val="center"/>
              <w:rPr>
                <w:rFonts w:asciiTheme="majorHAnsi" w:eastAsia="Times New Roman" w:hAnsiTheme="majorHAnsi" w:cstheme="majorHAnsi"/>
                <w:sz w:val="18"/>
                <w:szCs w:val="18"/>
                <w:lang w:eastAsia="pl-PL"/>
              </w:rPr>
            </w:pPr>
            <w:r w:rsidRPr="00F25EBD">
              <w:rPr>
                <w:rFonts w:asciiTheme="majorHAnsi" w:eastAsia="Times New Roman" w:hAnsiTheme="majorHAnsi" w:cstheme="majorHAnsi"/>
                <w:sz w:val="18"/>
                <w:szCs w:val="18"/>
                <w:lang w:eastAsia="pl-PL"/>
              </w:rPr>
              <w:t>-</w:t>
            </w:r>
          </w:p>
        </w:tc>
        <w:tc>
          <w:tcPr>
            <w:tcW w:w="514"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657C4BAF" w14:textId="77777777" w:rsidR="00EA2B5F" w:rsidRPr="00F25EBD" w:rsidRDefault="00EA2B5F" w:rsidP="00F37B88">
            <w:pPr>
              <w:spacing w:after="0" w:line="240" w:lineRule="auto"/>
              <w:jc w:val="center"/>
              <w:rPr>
                <w:rFonts w:asciiTheme="majorHAnsi" w:eastAsia="Times New Roman" w:hAnsiTheme="majorHAnsi" w:cstheme="majorHAnsi"/>
                <w:sz w:val="18"/>
                <w:szCs w:val="18"/>
                <w:lang w:eastAsia="pl-PL"/>
              </w:rPr>
            </w:pPr>
            <w:r w:rsidRPr="00F25EBD">
              <w:rPr>
                <w:rFonts w:asciiTheme="majorHAnsi" w:eastAsia="Times New Roman" w:hAnsiTheme="majorHAnsi" w:cstheme="majorHAnsi"/>
                <w:sz w:val="18"/>
                <w:szCs w:val="18"/>
                <w:lang w:eastAsia="pl-PL"/>
              </w:rPr>
              <w:t>8,9</w:t>
            </w:r>
          </w:p>
        </w:tc>
        <w:tc>
          <w:tcPr>
            <w:tcW w:w="356"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6C705569" w14:textId="77777777" w:rsidR="00EA2B5F" w:rsidRPr="00F25EBD" w:rsidRDefault="00EA2B5F" w:rsidP="00F37B88">
            <w:pPr>
              <w:spacing w:after="0" w:line="240" w:lineRule="auto"/>
              <w:jc w:val="center"/>
              <w:rPr>
                <w:rFonts w:asciiTheme="majorHAnsi" w:eastAsia="Times New Roman" w:hAnsiTheme="majorHAnsi" w:cstheme="majorHAnsi"/>
                <w:sz w:val="18"/>
                <w:szCs w:val="18"/>
                <w:lang w:eastAsia="pl-PL"/>
              </w:rPr>
            </w:pPr>
            <w:r w:rsidRPr="00F25EBD">
              <w:rPr>
                <w:rFonts w:asciiTheme="majorHAnsi" w:eastAsia="Times New Roman" w:hAnsiTheme="majorHAnsi" w:cstheme="majorHAnsi"/>
                <w:sz w:val="18"/>
                <w:szCs w:val="18"/>
                <w:lang w:eastAsia="pl-PL"/>
              </w:rPr>
              <w:t>-</w:t>
            </w:r>
          </w:p>
        </w:tc>
        <w:tc>
          <w:tcPr>
            <w:tcW w:w="514"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2C898765" w14:textId="77777777" w:rsidR="00EA2B5F" w:rsidRPr="00F25EBD" w:rsidRDefault="00EA2B5F" w:rsidP="00F37B88">
            <w:pPr>
              <w:spacing w:after="0" w:line="240" w:lineRule="auto"/>
              <w:jc w:val="center"/>
              <w:rPr>
                <w:rFonts w:asciiTheme="majorHAnsi" w:eastAsia="Times New Roman" w:hAnsiTheme="majorHAnsi" w:cstheme="majorHAnsi"/>
                <w:sz w:val="18"/>
                <w:szCs w:val="18"/>
                <w:lang w:eastAsia="pl-PL"/>
              </w:rPr>
            </w:pPr>
            <w:r w:rsidRPr="00F25EBD">
              <w:rPr>
                <w:rFonts w:asciiTheme="majorHAnsi" w:eastAsia="Times New Roman" w:hAnsiTheme="majorHAnsi" w:cstheme="majorHAnsi"/>
                <w:sz w:val="18"/>
                <w:szCs w:val="18"/>
                <w:lang w:eastAsia="pl-PL"/>
              </w:rPr>
              <w:t>26,2</w:t>
            </w:r>
          </w:p>
        </w:tc>
        <w:tc>
          <w:tcPr>
            <w:tcW w:w="356"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331BF70C" w14:textId="77777777" w:rsidR="00EA2B5F" w:rsidRPr="00F25EBD" w:rsidRDefault="00EA2B5F" w:rsidP="00F37B88">
            <w:pPr>
              <w:spacing w:after="0" w:line="240" w:lineRule="auto"/>
              <w:jc w:val="center"/>
              <w:rPr>
                <w:rFonts w:asciiTheme="majorHAnsi" w:eastAsia="Times New Roman" w:hAnsiTheme="majorHAnsi" w:cstheme="majorHAnsi"/>
                <w:sz w:val="18"/>
                <w:szCs w:val="18"/>
                <w:lang w:eastAsia="pl-PL"/>
              </w:rPr>
            </w:pPr>
            <w:r w:rsidRPr="00F25EBD">
              <w:rPr>
                <w:rFonts w:asciiTheme="majorHAnsi" w:eastAsia="Times New Roman" w:hAnsiTheme="majorHAnsi" w:cstheme="majorHAnsi"/>
                <w:sz w:val="18"/>
                <w:szCs w:val="18"/>
                <w:lang w:eastAsia="pl-PL"/>
              </w:rPr>
              <w:t>-</w:t>
            </w:r>
          </w:p>
        </w:tc>
        <w:tc>
          <w:tcPr>
            <w:tcW w:w="514"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52E15A87" w14:textId="77777777" w:rsidR="00EA2B5F" w:rsidRPr="00F25EBD" w:rsidRDefault="00EA2B5F" w:rsidP="00F37B88">
            <w:pPr>
              <w:spacing w:after="0" w:line="240" w:lineRule="auto"/>
              <w:jc w:val="center"/>
              <w:rPr>
                <w:rFonts w:asciiTheme="majorHAnsi" w:eastAsia="Times New Roman" w:hAnsiTheme="majorHAnsi" w:cstheme="majorHAnsi"/>
                <w:sz w:val="18"/>
                <w:szCs w:val="18"/>
                <w:lang w:eastAsia="pl-PL"/>
              </w:rPr>
            </w:pPr>
            <w:r w:rsidRPr="00F25EBD">
              <w:rPr>
                <w:rFonts w:asciiTheme="majorHAnsi" w:eastAsia="Times New Roman" w:hAnsiTheme="majorHAnsi" w:cstheme="majorHAnsi"/>
                <w:sz w:val="18"/>
                <w:szCs w:val="18"/>
                <w:lang w:eastAsia="pl-PL"/>
              </w:rPr>
              <w:t>-7,3</w:t>
            </w:r>
          </w:p>
        </w:tc>
        <w:tc>
          <w:tcPr>
            <w:tcW w:w="356"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2A5ADEB6" w14:textId="77777777" w:rsidR="00EA2B5F" w:rsidRPr="00F25EBD" w:rsidRDefault="00EA2B5F" w:rsidP="00F37B88">
            <w:pPr>
              <w:spacing w:after="0" w:line="240" w:lineRule="auto"/>
              <w:jc w:val="center"/>
              <w:rPr>
                <w:rFonts w:asciiTheme="majorHAnsi" w:eastAsia="Times New Roman" w:hAnsiTheme="majorHAnsi" w:cstheme="majorHAnsi"/>
                <w:sz w:val="18"/>
                <w:szCs w:val="18"/>
                <w:lang w:eastAsia="pl-PL"/>
              </w:rPr>
            </w:pPr>
            <w:r w:rsidRPr="00F25EBD">
              <w:rPr>
                <w:rFonts w:asciiTheme="majorHAnsi" w:eastAsia="Times New Roman" w:hAnsiTheme="majorHAnsi" w:cstheme="majorHAnsi"/>
                <w:sz w:val="18"/>
                <w:szCs w:val="18"/>
                <w:lang w:eastAsia="pl-PL"/>
              </w:rPr>
              <w:t>-</w:t>
            </w:r>
          </w:p>
        </w:tc>
      </w:tr>
      <w:tr w:rsidR="00EA2B5F" w:rsidRPr="00F25EBD" w14:paraId="3D65AFB5" w14:textId="77777777" w:rsidTr="00F37B88">
        <w:trPr>
          <w:trHeight w:val="240"/>
        </w:trPr>
        <w:tc>
          <w:tcPr>
            <w:tcW w:w="1047" w:type="pct"/>
            <w:vMerge w:val="restart"/>
            <w:tcBorders>
              <w:top w:val="single" w:sz="4" w:space="0" w:color="808080" w:themeColor="background1" w:themeShade="80"/>
              <w:bottom w:val="single" w:sz="4" w:space="0" w:color="808080" w:themeColor="background1" w:themeShade="80"/>
            </w:tcBorders>
            <w:shd w:val="clear" w:color="auto" w:fill="auto"/>
            <w:vAlign w:val="center"/>
            <w:hideMark/>
          </w:tcPr>
          <w:p w14:paraId="6405178C" w14:textId="77777777" w:rsidR="00EA2B5F" w:rsidRPr="00F25EBD" w:rsidRDefault="00EA2B5F" w:rsidP="00F37B88">
            <w:pPr>
              <w:spacing w:after="0" w:line="240" w:lineRule="auto"/>
              <w:rPr>
                <w:rFonts w:asciiTheme="majorHAnsi" w:eastAsia="Times New Roman" w:hAnsiTheme="majorHAnsi" w:cstheme="majorHAnsi"/>
                <w:sz w:val="18"/>
                <w:szCs w:val="18"/>
                <w:lang w:eastAsia="pl-PL"/>
              </w:rPr>
            </w:pPr>
            <w:r w:rsidRPr="00F25EBD">
              <w:rPr>
                <w:rFonts w:asciiTheme="majorHAnsi" w:eastAsia="Times New Roman" w:hAnsiTheme="majorHAnsi" w:cstheme="majorHAnsi"/>
                <w:sz w:val="18"/>
                <w:szCs w:val="18"/>
                <w:lang w:eastAsia="pl-PL"/>
              </w:rPr>
              <w:t>Dział 754</w:t>
            </w:r>
          </w:p>
          <w:p w14:paraId="32654E92" w14:textId="77777777" w:rsidR="00EA2B5F" w:rsidRPr="00F25EBD" w:rsidRDefault="00EA2B5F" w:rsidP="00F37B88">
            <w:pPr>
              <w:spacing w:after="0" w:line="240" w:lineRule="auto"/>
              <w:rPr>
                <w:rFonts w:asciiTheme="majorHAnsi" w:eastAsia="Times New Roman" w:hAnsiTheme="majorHAnsi" w:cstheme="majorHAnsi"/>
                <w:sz w:val="18"/>
                <w:szCs w:val="18"/>
                <w:lang w:eastAsia="pl-PL"/>
              </w:rPr>
            </w:pPr>
            <w:r w:rsidRPr="00F25EBD">
              <w:rPr>
                <w:rFonts w:asciiTheme="majorHAnsi" w:eastAsia="Times New Roman" w:hAnsiTheme="majorHAnsi" w:cstheme="majorHAnsi"/>
                <w:sz w:val="18"/>
                <w:szCs w:val="18"/>
                <w:lang w:eastAsia="pl-PL"/>
              </w:rPr>
              <w:t>Bezpieczeństwo publiczne i ochrona przeciwpożarowa</w:t>
            </w:r>
          </w:p>
        </w:tc>
        <w:tc>
          <w:tcPr>
            <w:tcW w:w="474"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7384026A" w14:textId="77777777" w:rsidR="00EA2B5F" w:rsidRPr="00F25EBD" w:rsidRDefault="00EA2B5F" w:rsidP="00F37B88">
            <w:pPr>
              <w:spacing w:after="0" w:line="240" w:lineRule="auto"/>
              <w:jc w:val="center"/>
              <w:rPr>
                <w:rFonts w:asciiTheme="majorHAnsi" w:eastAsia="Times New Roman" w:hAnsiTheme="majorHAnsi" w:cstheme="majorHAnsi"/>
                <w:sz w:val="18"/>
                <w:szCs w:val="18"/>
                <w:lang w:eastAsia="pl-PL"/>
              </w:rPr>
            </w:pPr>
            <w:r w:rsidRPr="00F25EBD">
              <w:rPr>
                <w:rFonts w:asciiTheme="majorHAnsi" w:eastAsia="Times New Roman" w:hAnsiTheme="majorHAnsi" w:cstheme="majorHAnsi"/>
                <w:sz w:val="18"/>
                <w:szCs w:val="18"/>
                <w:lang w:eastAsia="pl-PL"/>
              </w:rPr>
              <w:t>2010</w:t>
            </w:r>
          </w:p>
        </w:tc>
        <w:tc>
          <w:tcPr>
            <w:tcW w:w="514"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2A5D925F" w14:textId="77777777" w:rsidR="00EA2B5F" w:rsidRPr="00F25EBD" w:rsidRDefault="00EA2B5F" w:rsidP="00F37B88">
            <w:pPr>
              <w:spacing w:after="0" w:line="240" w:lineRule="auto"/>
              <w:jc w:val="center"/>
              <w:rPr>
                <w:rFonts w:asciiTheme="majorHAnsi" w:eastAsia="Times New Roman" w:hAnsiTheme="majorHAnsi" w:cstheme="majorHAnsi"/>
                <w:sz w:val="16"/>
                <w:szCs w:val="16"/>
                <w:lang w:eastAsia="pl-PL"/>
              </w:rPr>
            </w:pPr>
            <w:r w:rsidRPr="00F25EBD">
              <w:rPr>
                <w:rFonts w:asciiTheme="majorHAnsi" w:eastAsia="Times New Roman" w:hAnsiTheme="majorHAnsi" w:cstheme="majorHAnsi"/>
                <w:sz w:val="16"/>
                <w:szCs w:val="16"/>
                <w:lang w:eastAsia="pl-PL"/>
              </w:rPr>
              <w:t>3.402.423,4</w:t>
            </w:r>
          </w:p>
        </w:tc>
        <w:tc>
          <w:tcPr>
            <w:tcW w:w="356"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62C515B6" w14:textId="77777777" w:rsidR="00EA2B5F" w:rsidRPr="00F25EBD" w:rsidRDefault="00EA2B5F" w:rsidP="00F37B88">
            <w:pPr>
              <w:spacing w:after="0" w:line="240" w:lineRule="auto"/>
              <w:jc w:val="center"/>
              <w:rPr>
                <w:rFonts w:asciiTheme="majorHAnsi" w:eastAsia="Times New Roman" w:hAnsiTheme="majorHAnsi" w:cstheme="majorHAnsi"/>
                <w:sz w:val="18"/>
                <w:szCs w:val="18"/>
                <w:lang w:eastAsia="pl-PL"/>
              </w:rPr>
            </w:pPr>
            <w:r w:rsidRPr="00F25EBD">
              <w:rPr>
                <w:rFonts w:asciiTheme="majorHAnsi" w:eastAsia="Times New Roman" w:hAnsiTheme="majorHAnsi" w:cstheme="majorHAnsi"/>
                <w:sz w:val="18"/>
                <w:szCs w:val="18"/>
                <w:lang w:eastAsia="pl-PL"/>
              </w:rPr>
              <w:t>6,2</w:t>
            </w:r>
          </w:p>
        </w:tc>
        <w:tc>
          <w:tcPr>
            <w:tcW w:w="514"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3DDEC0BB" w14:textId="77777777" w:rsidR="00EA2B5F" w:rsidRPr="00F25EBD" w:rsidRDefault="00EA2B5F" w:rsidP="00F37B88">
            <w:pPr>
              <w:spacing w:after="0" w:line="240" w:lineRule="auto"/>
              <w:jc w:val="center"/>
              <w:rPr>
                <w:rFonts w:asciiTheme="majorHAnsi" w:eastAsia="Times New Roman" w:hAnsiTheme="majorHAnsi" w:cstheme="majorHAnsi"/>
                <w:sz w:val="16"/>
                <w:szCs w:val="16"/>
                <w:lang w:eastAsia="pl-PL"/>
              </w:rPr>
            </w:pPr>
            <w:r w:rsidRPr="00F25EBD">
              <w:rPr>
                <w:rFonts w:asciiTheme="majorHAnsi" w:eastAsia="Times New Roman" w:hAnsiTheme="majorHAnsi" w:cstheme="majorHAnsi"/>
                <w:sz w:val="16"/>
                <w:szCs w:val="16"/>
                <w:lang w:eastAsia="pl-PL"/>
              </w:rPr>
              <w:t>3.124.101,7</w:t>
            </w:r>
          </w:p>
        </w:tc>
        <w:tc>
          <w:tcPr>
            <w:tcW w:w="356"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2594A911" w14:textId="77777777" w:rsidR="00EA2B5F" w:rsidRPr="00F25EBD" w:rsidRDefault="00EA2B5F" w:rsidP="00F37B88">
            <w:pPr>
              <w:spacing w:after="0" w:line="240" w:lineRule="auto"/>
              <w:jc w:val="center"/>
              <w:rPr>
                <w:rFonts w:asciiTheme="majorHAnsi" w:eastAsia="Times New Roman" w:hAnsiTheme="majorHAnsi" w:cstheme="majorHAnsi"/>
                <w:sz w:val="18"/>
                <w:szCs w:val="18"/>
                <w:lang w:eastAsia="pl-PL"/>
              </w:rPr>
            </w:pPr>
            <w:r w:rsidRPr="00F25EBD">
              <w:rPr>
                <w:rFonts w:asciiTheme="majorHAnsi" w:eastAsia="Times New Roman" w:hAnsiTheme="majorHAnsi" w:cstheme="majorHAnsi"/>
                <w:sz w:val="18"/>
                <w:szCs w:val="18"/>
                <w:lang w:eastAsia="pl-PL"/>
              </w:rPr>
              <w:t>6,6</w:t>
            </w:r>
          </w:p>
        </w:tc>
        <w:tc>
          <w:tcPr>
            <w:tcW w:w="514"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5326B090" w14:textId="77777777" w:rsidR="00EA2B5F" w:rsidRPr="00F25EBD" w:rsidRDefault="00EA2B5F" w:rsidP="00F37B88">
            <w:pPr>
              <w:spacing w:after="0" w:line="240" w:lineRule="auto"/>
              <w:jc w:val="center"/>
              <w:rPr>
                <w:rFonts w:asciiTheme="majorHAnsi" w:eastAsia="Times New Roman" w:hAnsiTheme="majorHAnsi" w:cstheme="majorHAnsi"/>
                <w:sz w:val="16"/>
                <w:szCs w:val="16"/>
                <w:lang w:eastAsia="pl-PL"/>
              </w:rPr>
            </w:pPr>
            <w:r w:rsidRPr="00F25EBD">
              <w:rPr>
                <w:rFonts w:asciiTheme="majorHAnsi" w:eastAsia="Times New Roman" w:hAnsiTheme="majorHAnsi" w:cstheme="majorHAnsi"/>
                <w:sz w:val="16"/>
                <w:szCs w:val="16"/>
                <w:lang w:eastAsia="pl-PL"/>
              </w:rPr>
              <w:t>3.056.301,0</w:t>
            </w:r>
          </w:p>
        </w:tc>
        <w:tc>
          <w:tcPr>
            <w:tcW w:w="356"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0E5077C8" w14:textId="77777777" w:rsidR="00EA2B5F" w:rsidRPr="00F25EBD" w:rsidRDefault="00EA2B5F" w:rsidP="00F37B88">
            <w:pPr>
              <w:spacing w:after="0" w:line="240" w:lineRule="auto"/>
              <w:jc w:val="center"/>
              <w:rPr>
                <w:rFonts w:asciiTheme="majorHAnsi" w:eastAsia="Times New Roman" w:hAnsiTheme="majorHAnsi" w:cstheme="majorHAnsi"/>
                <w:sz w:val="18"/>
                <w:szCs w:val="18"/>
                <w:lang w:eastAsia="pl-PL"/>
              </w:rPr>
            </w:pPr>
            <w:r w:rsidRPr="00F25EBD">
              <w:rPr>
                <w:rFonts w:asciiTheme="majorHAnsi" w:eastAsia="Times New Roman" w:hAnsiTheme="majorHAnsi" w:cstheme="majorHAnsi"/>
                <w:sz w:val="18"/>
                <w:szCs w:val="18"/>
                <w:lang w:eastAsia="pl-PL"/>
              </w:rPr>
              <w:t>4,6</w:t>
            </w:r>
          </w:p>
        </w:tc>
        <w:tc>
          <w:tcPr>
            <w:tcW w:w="514"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400FE39C" w14:textId="77777777" w:rsidR="00EA2B5F" w:rsidRPr="00F25EBD" w:rsidRDefault="00EA2B5F" w:rsidP="00F37B88">
            <w:pPr>
              <w:spacing w:after="0" w:line="240" w:lineRule="auto"/>
              <w:jc w:val="center"/>
              <w:rPr>
                <w:rFonts w:asciiTheme="majorHAnsi" w:eastAsia="Times New Roman" w:hAnsiTheme="majorHAnsi" w:cstheme="majorHAnsi"/>
                <w:sz w:val="16"/>
                <w:szCs w:val="16"/>
                <w:lang w:eastAsia="pl-PL"/>
              </w:rPr>
            </w:pPr>
            <w:r w:rsidRPr="00F25EBD">
              <w:rPr>
                <w:rFonts w:asciiTheme="majorHAnsi" w:eastAsia="Times New Roman" w:hAnsiTheme="majorHAnsi" w:cstheme="majorHAnsi"/>
                <w:sz w:val="16"/>
                <w:szCs w:val="16"/>
                <w:lang w:eastAsia="pl-PL"/>
              </w:rPr>
              <w:t>3.104.956,0</w:t>
            </w:r>
          </w:p>
        </w:tc>
        <w:tc>
          <w:tcPr>
            <w:tcW w:w="356"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3C9BBB1A" w14:textId="77777777" w:rsidR="00EA2B5F" w:rsidRPr="00F25EBD" w:rsidRDefault="00EA2B5F" w:rsidP="00F37B88">
            <w:pPr>
              <w:spacing w:after="0" w:line="240" w:lineRule="auto"/>
              <w:jc w:val="center"/>
              <w:rPr>
                <w:rFonts w:asciiTheme="majorHAnsi" w:eastAsia="Times New Roman" w:hAnsiTheme="majorHAnsi" w:cstheme="majorHAnsi"/>
                <w:sz w:val="18"/>
                <w:szCs w:val="18"/>
                <w:lang w:eastAsia="pl-PL"/>
              </w:rPr>
            </w:pPr>
            <w:r w:rsidRPr="00F25EBD">
              <w:rPr>
                <w:rFonts w:asciiTheme="majorHAnsi" w:eastAsia="Times New Roman" w:hAnsiTheme="majorHAnsi" w:cstheme="majorHAnsi"/>
                <w:sz w:val="18"/>
                <w:szCs w:val="18"/>
                <w:lang w:eastAsia="pl-PL"/>
              </w:rPr>
              <w:t>3,2</w:t>
            </w:r>
          </w:p>
        </w:tc>
      </w:tr>
      <w:tr w:rsidR="00EA2B5F" w:rsidRPr="00F25EBD" w14:paraId="2696870E" w14:textId="77777777" w:rsidTr="00F37B88">
        <w:trPr>
          <w:trHeight w:val="240"/>
        </w:trPr>
        <w:tc>
          <w:tcPr>
            <w:tcW w:w="1047" w:type="pct"/>
            <w:vMerge/>
            <w:tcBorders>
              <w:top w:val="single" w:sz="4" w:space="0" w:color="808080" w:themeColor="background1" w:themeShade="80"/>
              <w:bottom w:val="single" w:sz="4" w:space="0" w:color="808080" w:themeColor="background1" w:themeShade="80"/>
            </w:tcBorders>
            <w:vAlign w:val="center"/>
            <w:hideMark/>
          </w:tcPr>
          <w:p w14:paraId="011295BD" w14:textId="77777777" w:rsidR="00EA2B5F" w:rsidRPr="00F25EBD" w:rsidRDefault="00EA2B5F" w:rsidP="00F37B88">
            <w:pPr>
              <w:spacing w:after="0" w:line="240" w:lineRule="auto"/>
              <w:rPr>
                <w:rFonts w:asciiTheme="majorHAnsi" w:eastAsia="Times New Roman" w:hAnsiTheme="majorHAnsi" w:cstheme="majorHAnsi"/>
                <w:sz w:val="18"/>
                <w:szCs w:val="18"/>
                <w:lang w:eastAsia="pl-PL"/>
              </w:rPr>
            </w:pPr>
          </w:p>
        </w:tc>
        <w:tc>
          <w:tcPr>
            <w:tcW w:w="474"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4107251D" w14:textId="77777777" w:rsidR="00EA2B5F" w:rsidRPr="00F25EBD" w:rsidRDefault="00EA2B5F" w:rsidP="00F37B88">
            <w:pPr>
              <w:spacing w:after="0" w:line="240" w:lineRule="auto"/>
              <w:jc w:val="center"/>
              <w:rPr>
                <w:rFonts w:asciiTheme="majorHAnsi" w:eastAsia="Times New Roman" w:hAnsiTheme="majorHAnsi" w:cstheme="majorHAnsi"/>
                <w:sz w:val="18"/>
                <w:szCs w:val="18"/>
                <w:lang w:eastAsia="pl-PL"/>
              </w:rPr>
            </w:pPr>
            <w:r w:rsidRPr="00F25EBD">
              <w:rPr>
                <w:rFonts w:asciiTheme="majorHAnsi" w:eastAsia="Times New Roman" w:hAnsiTheme="majorHAnsi" w:cstheme="majorHAnsi"/>
                <w:sz w:val="18"/>
                <w:szCs w:val="18"/>
                <w:lang w:eastAsia="pl-PL"/>
              </w:rPr>
              <w:t>2019</w:t>
            </w:r>
          </w:p>
        </w:tc>
        <w:tc>
          <w:tcPr>
            <w:tcW w:w="514"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4A279EE1" w14:textId="77777777" w:rsidR="00EA2B5F" w:rsidRPr="00F25EBD" w:rsidRDefault="00EA2B5F" w:rsidP="00F37B88">
            <w:pPr>
              <w:spacing w:after="0" w:line="240" w:lineRule="auto"/>
              <w:jc w:val="center"/>
              <w:rPr>
                <w:rFonts w:asciiTheme="majorHAnsi" w:eastAsia="Times New Roman" w:hAnsiTheme="majorHAnsi" w:cstheme="majorHAnsi"/>
                <w:sz w:val="16"/>
                <w:szCs w:val="16"/>
                <w:lang w:eastAsia="pl-PL"/>
              </w:rPr>
            </w:pPr>
            <w:r w:rsidRPr="00F25EBD">
              <w:rPr>
                <w:rFonts w:asciiTheme="majorHAnsi" w:eastAsia="Times New Roman" w:hAnsiTheme="majorHAnsi" w:cstheme="majorHAnsi"/>
                <w:sz w:val="16"/>
                <w:szCs w:val="16"/>
                <w:lang w:eastAsia="pl-PL"/>
              </w:rPr>
              <w:t>4.627.653,1</w:t>
            </w:r>
          </w:p>
        </w:tc>
        <w:tc>
          <w:tcPr>
            <w:tcW w:w="356"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6D06FEC5" w14:textId="77777777" w:rsidR="00EA2B5F" w:rsidRPr="00F25EBD" w:rsidRDefault="00EA2B5F" w:rsidP="00F37B88">
            <w:pPr>
              <w:spacing w:after="0" w:line="240" w:lineRule="auto"/>
              <w:jc w:val="center"/>
              <w:rPr>
                <w:rFonts w:asciiTheme="majorHAnsi" w:eastAsia="Times New Roman" w:hAnsiTheme="majorHAnsi" w:cstheme="majorHAnsi"/>
                <w:sz w:val="18"/>
                <w:szCs w:val="18"/>
                <w:lang w:eastAsia="pl-PL"/>
              </w:rPr>
            </w:pPr>
            <w:r w:rsidRPr="00F25EBD">
              <w:rPr>
                <w:rFonts w:asciiTheme="majorHAnsi" w:eastAsia="Times New Roman" w:hAnsiTheme="majorHAnsi" w:cstheme="majorHAnsi"/>
                <w:sz w:val="18"/>
                <w:szCs w:val="18"/>
                <w:lang w:eastAsia="pl-PL"/>
              </w:rPr>
              <w:t>6,4</w:t>
            </w:r>
          </w:p>
        </w:tc>
        <w:tc>
          <w:tcPr>
            <w:tcW w:w="514"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4068AE06" w14:textId="77777777" w:rsidR="00EA2B5F" w:rsidRPr="00F25EBD" w:rsidRDefault="00EA2B5F" w:rsidP="00F37B88">
            <w:pPr>
              <w:spacing w:after="0" w:line="240" w:lineRule="auto"/>
              <w:jc w:val="center"/>
              <w:rPr>
                <w:rFonts w:asciiTheme="majorHAnsi" w:eastAsia="Times New Roman" w:hAnsiTheme="majorHAnsi" w:cstheme="majorHAnsi"/>
                <w:sz w:val="16"/>
                <w:szCs w:val="16"/>
                <w:lang w:eastAsia="pl-PL"/>
              </w:rPr>
            </w:pPr>
            <w:r w:rsidRPr="00F25EBD">
              <w:rPr>
                <w:rFonts w:asciiTheme="majorHAnsi" w:eastAsia="Times New Roman" w:hAnsiTheme="majorHAnsi" w:cstheme="majorHAnsi"/>
                <w:sz w:val="16"/>
                <w:szCs w:val="16"/>
                <w:lang w:eastAsia="pl-PL"/>
              </w:rPr>
              <w:t>4.247.421,8</w:t>
            </w:r>
          </w:p>
        </w:tc>
        <w:tc>
          <w:tcPr>
            <w:tcW w:w="356"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0AE8E9BC" w14:textId="77777777" w:rsidR="00EA2B5F" w:rsidRPr="00F25EBD" w:rsidRDefault="00EA2B5F" w:rsidP="00F37B88">
            <w:pPr>
              <w:spacing w:after="0" w:line="240" w:lineRule="auto"/>
              <w:jc w:val="center"/>
              <w:rPr>
                <w:rFonts w:asciiTheme="majorHAnsi" w:eastAsia="Times New Roman" w:hAnsiTheme="majorHAnsi" w:cstheme="majorHAnsi"/>
                <w:sz w:val="18"/>
                <w:szCs w:val="18"/>
                <w:lang w:eastAsia="pl-PL"/>
              </w:rPr>
            </w:pPr>
            <w:r w:rsidRPr="00F25EBD">
              <w:rPr>
                <w:rFonts w:asciiTheme="majorHAnsi" w:eastAsia="Times New Roman" w:hAnsiTheme="majorHAnsi" w:cstheme="majorHAnsi"/>
                <w:sz w:val="18"/>
                <w:szCs w:val="18"/>
                <w:lang w:eastAsia="pl-PL"/>
              </w:rPr>
              <w:t>8,7</w:t>
            </w:r>
          </w:p>
        </w:tc>
        <w:tc>
          <w:tcPr>
            <w:tcW w:w="514"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245B84B3" w14:textId="77777777" w:rsidR="00EA2B5F" w:rsidRPr="00F25EBD" w:rsidRDefault="00EA2B5F" w:rsidP="00F37B88">
            <w:pPr>
              <w:spacing w:after="0" w:line="240" w:lineRule="auto"/>
              <w:jc w:val="center"/>
              <w:rPr>
                <w:rFonts w:asciiTheme="majorHAnsi" w:eastAsia="Times New Roman" w:hAnsiTheme="majorHAnsi" w:cstheme="majorHAnsi"/>
                <w:sz w:val="16"/>
                <w:szCs w:val="16"/>
                <w:lang w:eastAsia="pl-PL"/>
              </w:rPr>
            </w:pPr>
            <w:r w:rsidRPr="00F25EBD">
              <w:rPr>
                <w:rFonts w:asciiTheme="majorHAnsi" w:eastAsia="Times New Roman" w:hAnsiTheme="majorHAnsi" w:cstheme="majorHAnsi"/>
                <w:sz w:val="16"/>
                <w:szCs w:val="16"/>
                <w:lang w:eastAsia="pl-PL"/>
              </w:rPr>
              <w:t>4.500.594,3</w:t>
            </w:r>
          </w:p>
        </w:tc>
        <w:tc>
          <w:tcPr>
            <w:tcW w:w="356"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65FE91BB" w14:textId="77777777" w:rsidR="00EA2B5F" w:rsidRPr="00F25EBD" w:rsidRDefault="00EA2B5F" w:rsidP="00F37B88">
            <w:pPr>
              <w:spacing w:after="0" w:line="240" w:lineRule="auto"/>
              <w:jc w:val="center"/>
              <w:rPr>
                <w:rFonts w:asciiTheme="majorHAnsi" w:eastAsia="Times New Roman" w:hAnsiTheme="majorHAnsi" w:cstheme="majorHAnsi"/>
                <w:sz w:val="18"/>
                <w:szCs w:val="18"/>
                <w:lang w:eastAsia="pl-PL"/>
              </w:rPr>
            </w:pPr>
            <w:r w:rsidRPr="00F25EBD">
              <w:rPr>
                <w:rFonts w:asciiTheme="majorHAnsi" w:eastAsia="Times New Roman" w:hAnsiTheme="majorHAnsi" w:cstheme="majorHAnsi"/>
                <w:sz w:val="18"/>
                <w:szCs w:val="18"/>
                <w:lang w:eastAsia="pl-PL"/>
              </w:rPr>
              <w:t>6,1</w:t>
            </w:r>
          </w:p>
        </w:tc>
        <w:tc>
          <w:tcPr>
            <w:tcW w:w="514"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72299071" w14:textId="77777777" w:rsidR="00EA2B5F" w:rsidRPr="00F25EBD" w:rsidRDefault="00EA2B5F" w:rsidP="00F37B88">
            <w:pPr>
              <w:spacing w:after="0" w:line="240" w:lineRule="auto"/>
              <w:jc w:val="center"/>
              <w:rPr>
                <w:rFonts w:asciiTheme="majorHAnsi" w:eastAsia="Times New Roman" w:hAnsiTheme="majorHAnsi" w:cstheme="majorHAnsi"/>
                <w:sz w:val="16"/>
                <w:szCs w:val="16"/>
                <w:lang w:eastAsia="pl-PL"/>
              </w:rPr>
            </w:pPr>
            <w:r w:rsidRPr="00F25EBD">
              <w:rPr>
                <w:rFonts w:asciiTheme="majorHAnsi" w:eastAsia="Times New Roman" w:hAnsiTheme="majorHAnsi" w:cstheme="majorHAnsi"/>
                <w:sz w:val="16"/>
                <w:szCs w:val="16"/>
                <w:lang w:eastAsia="pl-PL"/>
              </w:rPr>
              <w:t>4.471.540,3</w:t>
            </w:r>
          </w:p>
        </w:tc>
        <w:tc>
          <w:tcPr>
            <w:tcW w:w="356"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3F973344" w14:textId="77777777" w:rsidR="00EA2B5F" w:rsidRPr="00F25EBD" w:rsidRDefault="00EA2B5F" w:rsidP="00F37B88">
            <w:pPr>
              <w:spacing w:after="0" w:line="240" w:lineRule="auto"/>
              <w:jc w:val="center"/>
              <w:rPr>
                <w:rFonts w:asciiTheme="majorHAnsi" w:eastAsia="Times New Roman" w:hAnsiTheme="majorHAnsi" w:cstheme="majorHAnsi"/>
                <w:sz w:val="18"/>
                <w:szCs w:val="18"/>
                <w:lang w:eastAsia="pl-PL"/>
              </w:rPr>
            </w:pPr>
            <w:r w:rsidRPr="00F25EBD">
              <w:rPr>
                <w:rFonts w:asciiTheme="majorHAnsi" w:eastAsia="Times New Roman" w:hAnsiTheme="majorHAnsi" w:cstheme="majorHAnsi"/>
                <w:sz w:val="18"/>
                <w:szCs w:val="18"/>
                <w:lang w:eastAsia="pl-PL"/>
              </w:rPr>
              <w:t>4,7</w:t>
            </w:r>
          </w:p>
        </w:tc>
      </w:tr>
      <w:tr w:rsidR="00EA2B5F" w:rsidRPr="00F25EBD" w14:paraId="3AC9EAD2" w14:textId="77777777" w:rsidTr="00F37B88">
        <w:trPr>
          <w:trHeight w:val="240"/>
        </w:trPr>
        <w:tc>
          <w:tcPr>
            <w:tcW w:w="1047" w:type="pct"/>
            <w:vMerge/>
            <w:tcBorders>
              <w:top w:val="single" w:sz="4" w:space="0" w:color="808080" w:themeColor="background1" w:themeShade="80"/>
              <w:bottom w:val="single" w:sz="4" w:space="0" w:color="808080" w:themeColor="background1" w:themeShade="80"/>
            </w:tcBorders>
            <w:vAlign w:val="center"/>
            <w:hideMark/>
          </w:tcPr>
          <w:p w14:paraId="77C7E545" w14:textId="77777777" w:rsidR="00EA2B5F" w:rsidRPr="00F25EBD" w:rsidRDefault="00EA2B5F" w:rsidP="00F37B88">
            <w:pPr>
              <w:spacing w:after="0" w:line="240" w:lineRule="auto"/>
              <w:rPr>
                <w:rFonts w:asciiTheme="majorHAnsi" w:eastAsia="Times New Roman" w:hAnsiTheme="majorHAnsi" w:cstheme="majorHAnsi"/>
                <w:sz w:val="18"/>
                <w:szCs w:val="18"/>
                <w:lang w:eastAsia="pl-PL"/>
              </w:rPr>
            </w:pPr>
          </w:p>
        </w:tc>
        <w:tc>
          <w:tcPr>
            <w:tcW w:w="474"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4AB38951" w14:textId="77777777" w:rsidR="00EA2B5F" w:rsidRPr="00F25EBD" w:rsidRDefault="00EA2B5F" w:rsidP="00F37B88">
            <w:pPr>
              <w:spacing w:after="0" w:line="240" w:lineRule="auto"/>
              <w:jc w:val="center"/>
              <w:rPr>
                <w:rFonts w:asciiTheme="majorHAnsi" w:eastAsia="Times New Roman" w:hAnsiTheme="majorHAnsi" w:cstheme="majorHAnsi"/>
                <w:sz w:val="18"/>
                <w:szCs w:val="18"/>
                <w:lang w:eastAsia="pl-PL"/>
              </w:rPr>
            </w:pPr>
            <w:r w:rsidRPr="00F25EBD">
              <w:rPr>
                <w:rFonts w:asciiTheme="majorHAnsi" w:eastAsia="Times New Roman" w:hAnsiTheme="majorHAnsi" w:cstheme="majorHAnsi"/>
                <w:sz w:val="18"/>
                <w:szCs w:val="18"/>
                <w:lang w:eastAsia="pl-PL"/>
              </w:rPr>
              <w:t xml:space="preserve">zmiana </w:t>
            </w:r>
            <w:r w:rsidRPr="00F25EBD">
              <w:rPr>
                <w:rFonts w:asciiTheme="majorHAnsi" w:eastAsia="Times New Roman" w:hAnsiTheme="majorHAnsi" w:cstheme="majorHAnsi"/>
                <w:sz w:val="18"/>
                <w:szCs w:val="18"/>
                <w:lang w:eastAsia="pl-PL"/>
              </w:rPr>
              <w:br/>
              <w:t>w %</w:t>
            </w:r>
          </w:p>
        </w:tc>
        <w:tc>
          <w:tcPr>
            <w:tcW w:w="514"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64A7CF00" w14:textId="77777777" w:rsidR="00EA2B5F" w:rsidRPr="00F25EBD" w:rsidRDefault="00EA2B5F" w:rsidP="00F37B88">
            <w:pPr>
              <w:spacing w:after="0" w:line="240" w:lineRule="auto"/>
              <w:jc w:val="center"/>
              <w:rPr>
                <w:rFonts w:asciiTheme="majorHAnsi" w:eastAsia="Times New Roman" w:hAnsiTheme="majorHAnsi" w:cstheme="majorHAnsi"/>
                <w:sz w:val="18"/>
                <w:szCs w:val="18"/>
                <w:lang w:eastAsia="pl-PL"/>
              </w:rPr>
            </w:pPr>
            <w:r w:rsidRPr="00F25EBD">
              <w:rPr>
                <w:rFonts w:asciiTheme="majorHAnsi" w:eastAsia="Times New Roman" w:hAnsiTheme="majorHAnsi" w:cstheme="majorHAnsi"/>
                <w:sz w:val="18"/>
                <w:szCs w:val="18"/>
                <w:lang w:eastAsia="pl-PL"/>
              </w:rPr>
              <w:t>36,0</w:t>
            </w:r>
          </w:p>
        </w:tc>
        <w:tc>
          <w:tcPr>
            <w:tcW w:w="356"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14BD2664" w14:textId="77777777" w:rsidR="00EA2B5F" w:rsidRPr="00F25EBD" w:rsidRDefault="00EA2B5F" w:rsidP="00F37B88">
            <w:pPr>
              <w:spacing w:after="0" w:line="240" w:lineRule="auto"/>
              <w:jc w:val="center"/>
              <w:rPr>
                <w:rFonts w:asciiTheme="majorHAnsi" w:eastAsia="Times New Roman" w:hAnsiTheme="majorHAnsi" w:cstheme="majorHAnsi"/>
                <w:sz w:val="18"/>
                <w:szCs w:val="18"/>
                <w:lang w:eastAsia="pl-PL"/>
              </w:rPr>
            </w:pPr>
            <w:r w:rsidRPr="00F25EBD">
              <w:rPr>
                <w:rFonts w:asciiTheme="majorHAnsi" w:eastAsia="Times New Roman" w:hAnsiTheme="majorHAnsi" w:cstheme="majorHAnsi"/>
                <w:sz w:val="18"/>
                <w:szCs w:val="18"/>
                <w:lang w:eastAsia="pl-PL"/>
              </w:rPr>
              <w:t>-</w:t>
            </w:r>
          </w:p>
        </w:tc>
        <w:tc>
          <w:tcPr>
            <w:tcW w:w="514"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377699AE" w14:textId="77777777" w:rsidR="00EA2B5F" w:rsidRPr="00F25EBD" w:rsidRDefault="00EA2B5F" w:rsidP="00F37B88">
            <w:pPr>
              <w:spacing w:after="0" w:line="240" w:lineRule="auto"/>
              <w:jc w:val="center"/>
              <w:rPr>
                <w:rFonts w:asciiTheme="majorHAnsi" w:eastAsia="Times New Roman" w:hAnsiTheme="majorHAnsi" w:cstheme="majorHAnsi"/>
                <w:sz w:val="18"/>
                <w:szCs w:val="18"/>
                <w:lang w:eastAsia="pl-PL"/>
              </w:rPr>
            </w:pPr>
            <w:r w:rsidRPr="00F25EBD">
              <w:rPr>
                <w:rFonts w:asciiTheme="majorHAnsi" w:eastAsia="Times New Roman" w:hAnsiTheme="majorHAnsi" w:cstheme="majorHAnsi"/>
                <w:sz w:val="18"/>
                <w:szCs w:val="18"/>
                <w:lang w:eastAsia="pl-PL"/>
              </w:rPr>
              <w:t>36,0</w:t>
            </w:r>
          </w:p>
        </w:tc>
        <w:tc>
          <w:tcPr>
            <w:tcW w:w="356"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5BF26966" w14:textId="77777777" w:rsidR="00EA2B5F" w:rsidRPr="00F25EBD" w:rsidRDefault="00EA2B5F" w:rsidP="00F37B88">
            <w:pPr>
              <w:spacing w:after="0" w:line="240" w:lineRule="auto"/>
              <w:jc w:val="center"/>
              <w:rPr>
                <w:rFonts w:asciiTheme="majorHAnsi" w:eastAsia="Times New Roman" w:hAnsiTheme="majorHAnsi" w:cstheme="majorHAnsi"/>
                <w:sz w:val="18"/>
                <w:szCs w:val="18"/>
                <w:lang w:eastAsia="pl-PL"/>
              </w:rPr>
            </w:pPr>
            <w:r w:rsidRPr="00F25EBD">
              <w:rPr>
                <w:rFonts w:asciiTheme="majorHAnsi" w:eastAsia="Times New Roman" w:hAnsiTheme="majorHAnsi" w:cstheme="majorHAnsi"/>
                <w:sz w:val="18"/>
                <w:szCs w:val="18"/>
                <w:lang w:eastAsia="pl-PL"/>
              </w:rPr>
              <w:t>-</w:t>
            </w:r>
          </w:p>
        </w:tc>
        <w:tc>
          <w:tcPr>
            <w:tcW w:w="514"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7DC248F0" w14:textId="77777777" w:rsidR="00EA2B5F" w:rsidRPr="00F25EBD" w:rsidRDefault="00EA2B5F" w:rsidP="00F37B88">
            <w:pPr>
              <w:spacing w:after="0" w:line="240" w:lineRule="auto"/>
              <w:jc w:val="center"/>
              <w:rPr>
                <w:rFonts w:asciiTheme="majorHAnsi" w:eastAsia="Times New Roman" w:hAnsiTheme="majorHAnsi" w:cstheme="majorHAnsi"/>
                <w:sz w:val="18"/>
                <w:szCs w:val="18"/>
                <w:lang w:eastAsia="pl-PL"/>
              </w:rPr>
            </w:pPr>
            <w:r w:rsidRPr="00F25EBD">
              <w:rPr>
                <w:rFonts w:asciiTheme="majorHAnsi" w:eastAsia="Times New Roman" w:hAnsiTheme="majorHAnsi" w:cstheme="majorHAnsi"/>
                <w:sz w:val="18"/>
                <w:szCs w:val="18"/>
                <w:lang w:eastAsia="pl-PL"/>
              </w:rPr>
              <w:t>47,3</w:t>
            </w:r>
          </w:p>
        </w:tc>
        <w:tc>
          <w:tcPr>
            <w:tcW w:w="356"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21752C0E" w14:textId="77777777" w:rsidR="00EA2B5F" w:rsidRPr="00F25EBD" w:rsidRDefault="00EA2B5F" w:rsidP="00F37B88">
            <w:pPr>
              <w:spacing w:after="0" w:line="240" w:lineRule="auto"/>
              <w:jc w:val="center"/>
              <w:rPr>
                <w:rFonts w:asciiTheme="majorHAnsi" w:eastAsia="Times New Roman" w:hAnsiTheme="majorHAnsi" w:cstheme="majorHAnsi"/>
                <w:sz w:val="18"/>
                <w:szCs w:val="18"/>
                <w:lang w:eastAsia="pl-PL"/>
              </w:rPr>
            </w:pPr>
            <w:r w:rsidRPr="00F25EBD">
              <w:rPr>
                <w:rFonts w:asciiTheme="majorHAnsi" w:eastAsia="Times New Roman" w:hAnsiTheme="majorHAnsi" w:cstheme="majorHAnsi"/>
                <w:sz w:val="18"/>
                <w:szCs w:val="18"/>
                <w:lang w:eastAsia="pl-PL"/>
              </w:rPr>
              <w:t>-</w:t>
            </w:r>
          </w:p>
        </w:tc>
        <w:tc>
          <w:tcPr>
            <w:tcW w:w="514"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2727DB25" w14:textId="77777777" w:rsidR="00EA2B5F" w:rsidRPr="00F25EBD" w:rsidRDefault="00EA2B5F" w:rsidP="00F37B88">
            <w:pPr>
              <w:spacing w:after="0" w:line="240" w:lineRule="auto"/>
              <w:jc w:val="center"/>
              <w:rPr>
                <w:rFonts w:asciiTheme="majorHAnsi" w:eastAsia="Times New Roman" w:hAnsiTheme="majorHAnsi" w:cstheme="majorHAnsi"/>
                <w:sz w:val="18"/>
                <w:szCs w:val="18"/>
                <w:lang w:eastAsia="pl-PL"/>
              </w:rPr>
            </w:pPr>
            <w:r w:rsidRPr="00F25EBD">
              <w:rPr>
                <w:rFonts w:asciiTheme="majorHAnsi" w:eastAsia="Times New Roman" w:hAnsiTheme="majorHAnsi" w:cstheme="majorHAnsi"/>
                <w:sz w:val="18"/>
                <w:szCs w:val="18"/>
                <w:lang w:eastAsia="pl-PL"/>
              </w:rPr>
              <w:t>44,0</w:t>
            </w:r>
          </w:p>
        </w:tc>
        <w:tc>
          <w:tcPr>
            <w:tcW w:w="356"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3F0EEDE9" w14:textId="77777777" w:rsidR="00EA2B5F" w:rsidRPr="00F25EBD" w:rsidRDefault="00EA2B5F" w:rsidP="00F37B88">
            <w:pPr>
              <w:spacing w:after="0" w:line="240" w:lineRule="auto"/>
              <w:jc w:val="center"/>
              <w:rPr>
                <w:rFonts w:asciiTheme="majorHAnsi" w:eastAsia="Times New Roman" w:hAnsiTheme="majorHAnsi" w:cstheme="majorHAnsi"/>
                <w:sz w:val="18"/>
                <w:szCs w:val="18"/>
                <w:lang w:eastAsia="pl-PL"/>
              </w:rPr>
            </w:pPr>
            <w:r w:rsidRPr="00F25EBD">
              <w:rPr>
                <w:rFonts w:asciiTheme="majorHAnsi" w:eastAsia="Times New Roman" w:hAnsiTheme="majorHAnsi" w:cstheme="majorHAnsi"/>
                <w:sz w:val="18"/>
                <w:szCs w:val="18"/>
                <w:lang w:eastAsia="pl-PL"/>
              </w:rPr>
              <w:t>-</w:t>
            </w:r>
          </w:p>
        </w:tc>
      </w:tr>
      <w:tr w:rsidR="00EA2B5F" w:rsidRPr="00F25EBD" w14:paraId="66519C6A" w14:textId="77777777" w:rsidTr="00F37B88">
        <w:trPr>
          <w:trHeight w:val="240"/>
        </w:trPr>
        <w:tc>
          <w:tcPr>
            <w:tcW w:w="1047" w:type="pct"/>
            <w:vMerge w:val="restart"/>
            <w:tcBorders>
              <w:top w:val="single" w:sz="4" w:space="0" w:color="808080" w:themeColor="background1" w:themeShade="80"/>
              <w:bottom w:val="single" w:sz="4" w:space="0" w:color="808080" w:themeColor="background1" w:themeShade="80"/>
            </w:tcBorders>
            <w:shd w:val="clear" w:color="auto" w:fill="auto"/>
            <w:vAlign w:val="center"/>
            <w:hideMark/>
          </w:tcPr>
          <w:p w14:paraId="6F4258B2" w14:textId="77777777" w:rsidR="00EA2B5F" w:rsidRPr="00F25EBD" w:rsidRDefault="00EA2B5F" w:rsidP="00F37B88">
            <w:pPr>
              <w:spacing w:after="0" w:line="240" w:lineRule="auto"/>
              <w:rPr>
                <w:rFonts w:asciiTheme="majorHAnsi" w:eastAsia="Times New Roman" w:hAnsiTheme="majorHAnsi" w:cstheme="majorHAnsi"/>
                <w:sz w:val="18"/>
                <w:szCs w:val="18"/>
                <w:lang w:eastAsia="pl-PL"/>
              </w:rPr>
            </w:pPr>
            <w:r w:rsidRPr="00F25EBD">
              <w:rPr>
                <w:rFonts w:asciiTheme="majorHAnsi" w:eastAsia="Times New Roman" w:hAnsiTheme="majorHAnsi" w:cstheme="majorHAnsi"/>
                <w:sz w:val="18"/>
                <w:szCs w:val="18"/>
                <w:lang w:eastAsia="pl-PL"/>
              </w:rPr>
              <w:t>Dział 801</w:t>
            </w:r>
          </w:p>
          <w:p w14:paraId="5F519FC5" w14:textId="77777777" w:rsidR="00EA2B5F" w:rsidRPr="00F25EBD" w:rsidRDefault="00EA2B5F" w:rsidP="00F37B88">
            <w:pPr>
              <w:spacing w:after="0" w:line="240" w:lineRule="auto"/>
              <w:rPr>
                <w:rFonts w:asciiTheme="majorHAnsi" w:eastAsia="Times New Roman" w:hAnsiTheme="majorHAnsi" w:cstheme="majorHAnsi"/>
                <w:sz w:val="18"/>
                <w:szCs w:val="18"/>
                <w:lang w:eastAsia="pl-PL"/>
              </w:rPr>
            </w:pPr>
            <w:r w:rsidRPr="00F25EBD">
              <w:rPr>
                <w:rFonts w:asciiTheme="majorHAnsi" w:eastAsia="Times New Roman" w:hAnsiTheme="majorHAnsi" w:cstheme="majorHAnsi"/>
                <w:sz w:val="18"/>
                <w:szCs w:val="18"/>
                <w:lang w:eastAsia="pl-PL"/>
              </w:rPr>
              <w:t>Oświata i wychowanie</w:t>
            </w:r>
          </w:p>
        </w:tc>
        <w:tc>
          <w:tcPr>
            <w:tcW w:w="474"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596B3330" w14:textId="77777777" w:rsidR="00EA2B5F" w:rsidRPr="00F25EBD" w:rsidRDefault="00EA2B5F" w:rsidP="00F37B88">
            <w:pPr>
              <w:spacing w:after="0" w:line="240" w:lineRule="auto"/>
              <w:jc w:val="center"/>
              <w:rPr>
                <w:rFonts w:asciiTheme="majorHAnsi" w:eastAsia="Times New Roman" w:hAnsiTheme="majorHAnsi" w:cstheme="majorHAnsi"/>
                <w:sz w:val="18"/>
                <w:szCs w:val="18"/>
                <w:lang w:eastAsia="pl-PL"/>
              </w:rPr>
            </w:pPr>
            <w:r w:rsidRPr="00F25EBD">
              <w:rPr>
                <w:rFonts w:asciiTheme="majorHAnsi" w:eastAsia="Times New Roman" w:hAnsiTheme="majorHAnsi" w:cstheme="majorHAnsi"/>
                <w:sz w:val="18"/>
                <w:szCs w:val="18"/>
                <w:lang w:eastAsia="pl-PL"/>
              </w:rPr>
              <w:t>2010</w:t>
            </w:r>
          </w:p>
        </w:tc>
        <w:tc>
          <w:tcPr>
            <w:tcW w:w="514"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0097A47D" w14:textId="77777777" w:rsidR="00EA2B5F" w:rsidRPr="00F25EBD" w:rsidRDefault="00EA2B5F" w:rsidP="00F37B88">
            <w:pPr>
              <w:spacing w:after="0" w:line="240" w:lineRule="auto"/>
              <w:jc w:val="center"/>
              <w:rPr>
                <w:rFonts w:asciiTheme="majorHAnsi" w:eastAsia="Times New Roman" w:hAnsiTheme="majorHAnsi" w:cstheme="majorHAnsi"/>
                <w:sz w:val="16"/>
                <w:szCs w:val="16"/>
                <w:lang w:eastAsia="pl-PL"/>
              </w:rPr>
            </w:pPr>
            <w:r w:rsidRPr="00F25EBD">
              <w:rPr>
                <w:rFonts w:asciiTheme="majorHAnsi" w:eastAsia="Times New Roman" w:hAnsiTheme="majorHAnsi" w:cstheme="majorHAnsi"/>
                <w:sz w:val="16"/>
                <w:szCs w:val="16"/>
                <w:lang w:eastAsia="pl-PL"/>
              </w:rPr>
              <w:t>20.666.987,8</w:t>
            </w:r>
          </w:p>
        </w:tc>
        <w:tc>
          <w:tcPr>
            <w:tcW w:w="356"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548E000A" w14:textId="77777777" w:rsidR="00EA2B5F" w:rsidRPr="00F25EBD" w:rsidRDefault="00EA2B5F" w:rsidP="00F37B88">
            <w:pPr>
              <w:spacing w:after="0" w:line="240" w:lineRule="auto"/>
              <w:jc w:val="center"/>
              <w:rPr>
                <w:rFonts w:asciiTheme="majorHAnsi" w:eastAsia="Times New Roman" w:hAnsiTheme="majorHAnsi" w:cstheme="majorHAnsi"/>
                <w:sz w:val="18"/>
                <w:szCs w:val="18"/>
                <w:lang w:eastAsia="pl-PL"/>
              </w:rPr>
            </w:pPr>
            <w:r w:rsidRPr="00F25EBD">
              <w:rPr>
                <w:rFonts w:asciiTheme="majorHAnsi" w:eastAsia="Times New Roman" w:hAnsiTheme="majorHAnsi" w:cstheme="majorHAnsi"/>
                <w:sz w:val="18"/>
                <w:szCs w:val="18"/>
                <w:lang w:eastAsia="pl-PL"/>
              </w:rPr>
              <w:t>37,7</w:t>
            </w:r>
          </w:p>
        </w:tc>
        <w:tc>
          <w:tcPr>
            <w:tcW w:w="514"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66A4550D" w14:textId="77777777" w:rsidR="00EA2B5F" w:rsidRPr="00F25EBD" w:rsidRDefault="00EA2B5F" w:rsidP="00F37B88">
            <w:pPr>
              <w:spacing w:after="0" w:line="240" w:lineRule="auto"/>
              <w:jc w:val="center"/>
              <w:rPr>
                <w:rFonts w:asciiTheme="majorHAnsi" w:eastAsia="Times New Roman" w:hAnsiTheme="majorHAnsi" w:cstheme="majorHAnsi"/>
                <w:sz w:val="16"/>
                <w:szCs w:val="16"/>
                <w:lang w:eastAsia="pl-PL"/>
              </w:rPr>
            </w:pPr>
            <w:r w:rsidRPr="00F25EBD">
              <w:rPr>
                <w:rFonts w:asciiTheme="majorHAnsi" w:eastAsia="Times New Roman" w:hAnsiTheme="majorHAnsi" w:cstheme="majorHAnsi"/>
                <w:sz w:val="16"/>
                <w:szCs w:val="16"/>
                <w:lang w:eastAsia="pl-PL"/>
              </w:rPr>
              <w:t>13.105.393,3</w:t>
            </w:r>
          </w:p>
        </w:tc>
        <w:tc>
          <w:tcPr>
            <w:tcW w:w="356"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495FBBB9" w14:textId="77777777" w:rsidR="00EA2B5F" w:rsidRPr="00F25EBD" w:rsidRDefault="00EA2B5F" w:rsidP="00F37B88">
            <w:pPr>
              <w:spacing w:after="0" w:line="240" w:lineRule="auto"/>
              <w:jc w:val="center"/>
              <w:rPr>
                <w:rFonts w:asciiTheme="majorHAnsi" w:eastAsia="Times New Roman" w:hAnsiTheme="majorHAnsi" w:cstheme="majorHAnsi"/>
                <w:sz w:val="18"/>
                <w:szCs w:val="18"/>
                <w:lang w:eastAsia="pl-PL"/>
              </w:rPr>
            </w:pPr>
            <w:r w:rsidRPr="00F25EBD">
              <w:rPr>
                <w:rFonts w:asciiTheme="majorHAnsi" w:eastAsia="Times New Roman" w:hAnsiTheme="majorHAnsi" w:cstheme="majorHAnsi"/>
                <w:sz w:val="18"/>
                <w:szCs w:val="18"/>
                <w:lang w:eastAsia="pl-PL"/>
              </w:rPr>
              <w:t>27,7</w:t>
            </w:r>
          </w:p>
        </w:tc>
        <w:tc>
          <w:tcPr>
            <w:tcW w:w="514"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78B1868A" w14:textId="77777777" w:rsidR="00EA2B5F" w:rsidRPr="00F25EBD" w:rsidRDefault="00EA2B5F" w:rsidP="00F37B88">
            <w:pPr>
              <w:spacing w:after="0" w:line="240" w:lineRule="auto"/>
              <w:jc w:val="center"/>
              <w:rPr>
                <w:rFonts w:asciiTheme="majorHAnsi" w:eastAsia="Times New Roman" w:hAnsiTheme="majorHAnsi" w:cstheme="majorHAnsi"/>
                <w:sz w:val="16"/>
                <w:szCs w:val="16"/>
                <w:lang w:eastAsia="pl-PL"/>
              </w:rPr>
            </w:pPr>
            <w:r w:rsidRPr="00F25EBD">
              <w:rPr>
                <w:rFonts w:asciiTheme="majorHAnsi" w:eastAsia="Times New Roman" w:hAnsiTheme="majorHAnsi" w:cstheme="majorHAnsi"/>
                <w:sz w:val="16"/>
                <w:szCs w:val="16"/>
                <w:lang w:eastAsia="pl-PL"/>
              </w:rPr>
              <w:t>20.197.608,5</w:t>
            </w:r>
          </w:p>
        </w:tc>
        <w:tc>
          <w:tcPr>
            <w:tcW w:w="356"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4D835045" w14:textId="77777777" w:rsidR="00EA2B5F" w:rsidRPr="00F25EBD" w:rsidRDefault="00EA2B5F" w:rsidP="00F37B88">
            <w:pPr>
              <w:spacing w:after="0" w:line="240" w:lineRule="auto"/>
              <w:jc w:val="center"/>
              <w:rPr>
                <w:rFonts w:asciiTheme="majorHAnsi" w:eastAsia="Times New Roman" w:hAnsiTheme="majorHAnsi" w:cstheme="majorHAnsi"/>
                <w:sz w:val="18"/>
                <w:szCs w:val="18"/>
                <w:lang w:eastAsia="pl-PL"/>
              </w:rPr>
            </w:pPr>
            <w:r w:rsidRPr="00F25EBD">
              <w:rPr>
                <w:rFonts w:asciiTheme="majorHAnsi" w:eastAsia="Times New Roman" w:hAnsiTheme="majorHAnsi" w:cstheme="majorHAnsi"/>
                <w:sz w:val="18"/>
                <w:szCs w:val="18"/>
                <w:lang w:eastAsia="pl-PL"/>
              </w:rPr>
              <w:t>30,5</w:t>
            </w:r>
          </w:p>
        </w:tc>
        <w:tc>
          <w:tcPr>
            <w:tcW w:w="514"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41AB55E3" w14:textId="77777777" w:rsidR="00EA2B5F" w:rsidRPr="00F25EBD" w:rsidRDefault="00EA2B5F" w:rsidP="00F37B88">
            <w:pPr>
              <w:spacing w:after="0" w:line="240" w:lineRule="auto"/>
              <w:jc w:val="center"/>
              <w:rPr>
                <w:rFonts w:asciiTheme="majorHAnsi" w:eastAsia="Times New Roman" w:hAnsiTheme="majorHAnsi" w:cstheme="majorHAnsi"/>
                <w:sz w:val="16"/>
                <w:szCs w:val="16"/>
                <w:lang w:eastAsia="pl-PL"/>
              </w:rPr>
            </w:pPr>
            <w:r w:rsidRPr="00F25EBD">
              <w:rPr>
                <w:rFonts w:asciiTheme="majorHAnsi" w:eastAsia="Times New Roman" w:hAnsiTheme="majorHAnsi" w:cstheme="majorHAnsi"/>
                <w:sz w:val="16"/>
                <w:szCs w:val="16"/>
                <w:lang w:eastAsia="pl-PL"/>
              </w:rPr>
              <w:t>26.071.080,8</w:t>
            </w:r>
          </w:p>
        </w:tc>
        <w:tc>
          <w:tcPr>
            <w:tcW w:w="356"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650AB1BD" w14:textId="77777777" w:rsidR="00EA2B5F" w:rsidRPr="00F25EBD" w:rsidRDefault="00EA2B5F" w:rsidP="00F37B88">
            <w:pPr>
              <w:spacing w:after="0" w:line="240" w:lineRule="auto"/>
              <w:jc w:val="center"/>
              <w:rPr>
                <w:rFonts w:asciiTheme="majorHAnsi" w:eastAsia="Times New Roman" w:hAnsiTheme="majorHAnsi" w:cstheme="majorHAnsi"/>
                <w:sz w:val="18"/>
                <w:szCs w:val="18"/>
                <w:lang w:eastAsia="pl-PL"/>
              </w:rPr>
            </w:pPr>
            <w:r w:rsidRPr="00F25EBD">
              <w:rPr>
                <w:rFonts w:asciiTheme="majorHAnsi" w:eastAsia="Times New Roman" w:hAnsiTheme="majorHAnsi" w:cstheme="majorHAnsi"/>
                <w:sz w:val="18"/>
                <w:szCs w:val="18"/>
                <w:lang w:eastAsia="pl-PL"/>
              </w:rPr>
              <w:t>27,0</w:t>
            </w:r>
          </w:p>
        </w:tc>
      </w:tr>
      <w:tr w:rsidR="00EA2B5F" w:rsidRPr="00F25EBD" w14:paraId="440068B3" w14:textId="77777777" w:rsidTr="00F37B88">
        <w:trPr>
          <w:trHeight w:val="240"/>
        </w:trPr>
        <w:tc>
          <w:tcPr>
            <w:tcW w:w="1047" w:type="pct"/>
            <w:vMerge/>
            <w:tcBorders>
              <w:top w:val="single" w:sz="4" w:space="0" w:color="808080" w:themeColor="background1" w:themeShade="80"/>
              <w:bottom w:val="single" w:sz="4" w:space="0" w:color="808080" w:themeColor="background1" w:themeShade="80"/>
            </w:tcBorders>
            <w:vAlign w:val="center"/>
            <w:hideMark/>
          </w:tcPr>
          <w:p w14:paraId="63EA78E7" w14:textId="77777777" w:rsidR="00EA2B5F" w:rsidRPr="00F25EBD" w:rsidRDefault="00EA2B5F" w:rsidP="00F37B88">
            <w:pPr>
              <w:spacing w:after="0" w:line="240" w:lineRule="auto"/>
              <w:rPr>
                <w:rFonts w:asciiTheme="majorHAnsi" w:eastAsia="Times New Roman" w:hAnsiTheme="majorHAnsi" w:cstheme="majorHAnsi"/>
                <w:sz w:val="18"/>
                <w:szCs w:val="18"/>
                <w:lang w:eastAsia="pl-PL"/>
              </w:rPr>
            </w:pPr>
          </w:p>
        </w:tc>
        <w:tc>
          <w:tcPr>
            <w:tcW w:w="474"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352D336D" w14:textId="77777777" w:rsidR="00EA2B5F" w:rsidRPr="00F25EBD" w:rsidRDefault="00EA2B5F" w:rsidP="00F37B88">
            <w:pPr>
              <w:spacing w:after="0" w:line="240" w:lineRule="auto"/>
              <w:jc w:val="center"/>
              <w:rPr>
                <w:rFonts w:asciiTheme="majorHAnsi" w:eastAsia="Times New Roman" w:hAnsiTheme="majorHAnsi" w:cstheme="majorHAnsi"/>
                <w:sz w:val="18"/>
                <w:szCs w:val="18"/>
                <w:lang w:eastAsia="pl-PL"/>
              </w:rPr>
            </w:pPr>
            <w:r w:rsidRPr="00F25EBD">
              <w:rPr>
                <w:rFonts w:asciiTheme="majorHAnsi" w:eastAsia="Times New Roman" w:hAnsiTheme="majorHAnsi" w:cstheme="majorHAnsi"/>
                <w:sz w:val="18"/>
                <w:szCs w:val="18"/>
                <w:lang w:eastAsia="pl-PL"/>
              </w:rPr>
              <w:t>2019</w:t>
            </w:r>
          </w:p>
        </w:tc>
        <w:tc>
          <w:tcPr>
            <w:tcW w:w="514"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221A9997" w14:textId="77777777" w:rsidR="00EA2B5F" w:rsidRPr="00F25EBD" w:rsidRDefault="00EA2B5F" w:rsidP="00F37B88">
            <w:pPr>
              <w:spacing w:after="0" w:line="240" w:lineRule="auto"/>
              <w:jc w:val="center"/>
              <w:rPr>
                <w:rFonts w:asciiTheme="majorHAnsi" w:eastAsia="Times New Roman" w:hAnsiTheme="majorHAnsi" w:cstheme="majorHAnsi"/>
                <w:sz w:val="16"/>
                <w:szCs w:val="16"/>
                <w:lang w:eastAsia="pl-PL"/>
              </w:rPr>
            </w:pPr>
            <w:r w:rsidRPr="00F25EBD">
              <w:rPr>
                <w:rFonts w:asciiTheme="majorHAnsi" w:eastAsia="Times New Roman" w:hAnsiTheme="majorHAnsi" w:cstheme="majorHAnsi"/>
                <w:sz w:val="16"/>
                <w:szCs w:val="16"/>
                <w:lang w:eastAsia="pl-PL"/>
              </w:rPr>
              <w:t>22.116.764,0</w:t>
            </w:r>
          </w:p>
        </w:tc>
        <w:tc>
          <w:tcPr>
            <w:tcW w:w="356"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71830A26" w14:textId="77777777" w:rsidR="00EA2B5F" w:rsidRPr="00F25EBD" w:rsidRDefault="00EA2B5F" w:rsidP="00F37B88">
            <w:pPr>
              <w:spacing w:after="0" w:line="240" w:lineRule="auto"/>
              <w:jc w:val="center"/>
              <w:rPr>
                <w:rFonts w:asciiTheme="majorHAnsi" w:eastAsia="Times New Roman" w:hAnsiTheme="majorHAnsi" w:cstheme="majorHAnsi"/>
                <w:sz w:val="18"/>
                <w:szCs w:val="18"/>
                <w:lang w:eastAsia="pl-PL"/>
              </w:rPr>
            </w:pPr>
            <w:r w:rsidRPr="00F25EBD">
              <w:rPr>
                <w:rFonts w:asciiTheme="majorHAnsi" w:eastAsia="Times New Roman" w:hAnsiTheme="majorHAnsi" w:cstheme="majorHAnsi"/>
                <w:sz w:val="18"/>
                <w:szCs w:val="18"/>
                <w:lang w:eastAsia="pl-PL"/>
              </w:rPr>
              <w:t>30,6</w:t>
            </w:r>
          </w:p>
        </w:tc>
        <w:tc>
          <w:tcPr>
            <w:tcW w:w="514"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4B293AE8" w14:textId="77777777" w:rsidR="00EA2B5F" w:rsidRPr="00F25EBD" w:rsidRDefault="00EA2B5F" w:rsidP="00F37B88">
            <w:pPr>
              <w:spacing w:after="0" w:line="240" w:lineRule="auto"/>
              <w:jc w:val="center"/>
              <w:rPr>
                <w:rFonts w:asciiTheme="majorHAnsi" w:eastAsia="Times New Roman" w:hAnsiTheme="majorHAnsi" w:cstheme="majorHAnsi"/>
                <w:sz w:val="16"/>
                <w:szCs w:val="16"/>
                <w:lang w:eastAsia="pl-PL"/>
              </w:rPr>
            </w:pPr>
            <w:r w:rsidRPr="00F25EBD">
              <w:rPr>
                <w:rFonts w:asciiTheme="majorHAnsi" w:eastAsia="Times New Roman" w:hAnsiTheme="majorHAnsi" w:cstheme="majorHAnsi"/>
                <w:sz w:val="16"/>
                <w:szCs w:val="16"/>
                <w:lang w:eastAsia="pl-PL"/>
              </w:rPr>
              <w:t>15.985.389,9</w:t>
            </w:r>
          </w:p>
        </w:tc>
        <w:tc>
          <w:tcPr>
            <w:tcW w:w="356"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07C5ADBA" w14:textId="77777777" w:rsidR="00EA2B5F" w:rsidRPr="00F25EBD" w:rsidRDefault="00EA2B5F" w:rsidP="00F37B88">
            <w:pPr>
              <w:spacing w:after="0" w:line="240" w:lineRule="auto"/>
              <w:jc w:val="center"/>
              <w:rPr>
                <w:rFonts w:asciiTheme="majorHAnsi" w:eastAsia="Times New Roman" w:hAnsiTheme="majorHAnsi" w:cstheme="majorHAnsi"/>
                <w:sz w:val="18"/>
                <w:szCs w:val="18"/>
                <w:lang w:eastAsia="pl-PL"/>
              </w:rPr>
            </w:pPr>
            <w:r w:rsidRPr="00F25EBD">
              <w:rPr>
                <w:rFonts w:asciiTheme="majorHAnsi" w:eastAsia="Times New Roman" w:hAnsiTheme="majorHAnsi" w:cstheme="majorHAnsi"/>
                <w:sz w:val="18"/>
                <w:szCs w:val="18"/>
                <w:lang w:eastAsia="pl-PL"/>
              </w:rPr>
              <w:t>32,8</w:t>
            </w:r>
          </w:p>
        </w:tc>
        <w:tc>
          <w:tcPr>
            <w:tcW w:w="514"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45A66B12" w14:textId="77777777" w:rsidR="00EA2B5F" w:rsidRPr="00F25EBD" w:rsidRDefault="00EA2B5F" w:rsidP="00F37B88">
            <w:pPr>
              <w:spacing w:after="0" w:line="240" w:lineRule="auto"/>
              <w:jc w:val="center"/>
              <w:rPr>
                <w:rFonts w:asciiTheme="majorHAnsi" w:eastAsia="Times New Roman" w:hAnsiTheme="majorHAnsi" w:cstheme="majorHAnsi"/>
                <w:sz w:val="16"/>
                <w:szCs w:val="16"/>
                <w:lang w:eastAsia="pl-PL"/>
              </w:rPr>
            </w:pPr>
            <w:r w:rsidRPr="00F25EBD">
              <w:rPr>
                <w:rFonts w:asciiTheme="majorHAnsi" w:eastAsia="Times New Roman" w:hAnsiTheme="majorHAnsi" w:cstheme="majorHAnsi"/>
                <w:sz w:val="16"/>
                <w:szCs w:val="16"/>
                <w:lang w:eastAsia="pl-PL"/>
              </w:rPr>
              <w:t>21.684.586,3</w:t>
            </w:r>
          </w:p>
        </w:tc>
        <w:tc>
          <w:tcPr>
            <w:tcW w:w="356"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1C667BB7" w14:textId="77777777" w:rsidR="00EA2B5F" w:rsidRPr="00F25EBD" w:rsidRDefault="00EA2B5F" w:rsidP="00F37B88">
            <w:pPr>
              <w:spacing w:after="0" w:line="240" w:lineRule="auto"/>
              <w:jc w:val="center"/>
              <w:rPr>
                <w:rFonts w:asciiTheme="majorHAnsi" w:eastAsia="Times New Roman" w:hAnsiTheme="majorHAnsi" w:cstheme="majorHAnsi"/>
                <w:sz w:val="18"/>
                <w:szCs w:val="18"/>
                <w:lang w:eastAsia="pl-PL"/>
              </w:rPr>
            </w:pPr>
            <w:r w:rsidRPr="00F25EBD">
              <w:rPr>
                <w:rFonts w:asciiTheme="majorHAnsi" w:eastAsia="Times New Roman" w:hAnsiTheme="majorHAnsi" w:cstheme="majorHAnsi"/>
                <w:sz w:val="18"/>
                <w:szCs w:val="18"/>
                <w:lang w:eastAsia="pl-PL"/>
              </w:rPr>
              <w:t>29,5</w:t>
            </w:r>
          </w:p>
        </w:tc>
        <w:tc>
          <w:tcPr>
            <w:tcW w:w="514"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22A4DDB8" w14:textId="77777777" w:rsidR="00EA2B5F" w:rsidRPr="00F25EBD" w:rsidRDefault="00EA2B5F" w:rsidP="00F37B88">
            <w:pPr>
              <w:spacing w:after="0" w:line="240" w:lineRule="auto"/>
              <w:jc w:val="center"/>
              <w:rPr>
                <w:rFonts w:asciiTheme="majorHAnsi" w:eastAsia="Times New Roman" w:hAnsiTheme="majorHAnsi" w:cstheme="majorHAnsi"/>
                <w:sz w:val="16"/>
                <w:szCs w:val="16"/>
                <w:lang w:eastAsia="pl-PL"/>
              </w:rPr>
            </w:pPr>
            <w:r w:rsidRPr="00F25EBD">
              <w:rPr>
                <w:rFonts w:asciiTheme="majorHAnsi" w:eastAsia="Times New Roman" w:hAnsiTheme="majorHAnsi" w:cstheme="majorHAnsi"/>
                <w:sz w:val="16"/>
                <w:szCs w:val="16"/>
                <w:lang w:eastAsia="pl-PL"/>
              </w:rPr>
              <w:t>25.712.098,4</w:t>
            </w:r>
          </w:p>
        </w:tc>
        <w:tc>
          <w:tcPr>
            <w:tcW w:w="356"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29DAA533" w14:textId="77777777" w:rsidR="00EA2B5F" w:rsidRPr="00F25EBD" w:rsidRDefault="00EA2B5F" w:rsidP="00F37B88">
            <w:pPr>
              <w:spacing w:after="0" w:line="240" w:lineRule="auto"/>
              <w:jc w:val="center"/>
              <w:rPr>
                <w:rFonts w:asciiTheme="majorHAnsi" w:eastAsia="Times New Roman" w:hAnsiTheme="majorHAnsi" w:cstheme="majorHAnsi"/>
                <w:sz w:val="18"/>
                <w:szCs w:val="18"/>
                <w:lang w:eastAsia="pl-PL"/>
              </w:rPr>
            </w:pPr>
            <w:r w:rsidRPr="00F25EBD">
              <w:rPr>
                <w:rFonts w:asciiTheme="majorHAnsi" w:eastAsia="Times New Roman" w:hAnsiTheme="majorHAnsi" w:cstheme="majorHAnsi"/>
                <w:sz w:val="18"/>
                <w:szCs w:val="18"/>
                <w:lang w:eastAsia="pl-PL"/>
              </w:rPr>
              <w:t>27,0</w:t>
            </w:r>
          </w:p>
        </w:tc>
      </w:tr>
      <w:tr w:rsidR="00EA2B5F" w:rsidRPr="00F25EBD" w14:paraId="3793C3AF" w14:textId="77777777" w:rsidTr="00F37B88">
        <w:trPr>
          <w:trHeight w:val="240"/>
        </w:trPr>
        <w:tc>
          <w:tcPr>
            <w:tcW w:w="1047" w:type="pct"/>
            <w:vMerge/>
            <w:tcBorders>
              <w:top w:val="single" w:sz="4" w:space="0" w:color="808080" w:themeColor="background1" w:themeShade="80"/>
              <w:bottom w:val="single" w:sz="4" w:space="0" w:color="808080" w:themeColor="background1" w:themeShade="80"/>
            </w:tcBorders>
            <w:vAlign w:val="center"/>
            <w:hideMark/>
          </w:tcPr>
          <w:p w14:paraId="5EBD6654" w14:textId="77777777" w:rsidR="00EA2B5F" w:rsidRPr="00F25EBD" w:rsidRDefault="00EA2B5F" w:rsidP="00F37B88">
            <w:pPr>
              <w:spacing w:after="0" w:line="240" w:lineRule="auto"/>
              <w:rPr>
                <w:rFonts w:asciiTheme="majorHAnsi" w:eastAsia="Times New Roman" w:hAnsiTheme="majorHAnsi" w:cstheme="majorHAnsi"/>
                <w:sz w:val="18"/>
                <w:szCs w:val="18"/>
                <w:lang w:eastAsia="pl-PL"/>
              </w:rPr>
            </w:pPr>
          </w:p>
        </w:tc>
        <w:tc>
          <w:tcPr>
            <w:tcW w:w="474"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230B9369" w14:textId="77777777" w:rsidR="00EA2B5F" w:rsidRPr="00F25EBD" w:rsidRDefault="00EA2B5F" w:rsidP="00F37B88">
            <w:pPr>
              <w:spacing w:after="0" w:line="240" w:lineRule="auto"/>
              <w:jc w:val="center"/>
              <w:rPr>
                <w:rFonts w:asciiTheme="majorHAnsi" w:eastAsia="Times New Roman" w:hAnsiTheme="majorHAnsi" w:cstheme="majorHAnsi"/>
                <w:sz w:val="18"/>
                <w:szCs w:val="18"/>
                <w:lang w:eastAsia="pl-PL"/>
              </w:rPr>
            </w:pPr>
            <w:r w:rsidRPr="00F25EBD">
              <w:rPr>
                <w:rFonts w:asciiTheme="majorHAnsi" w:eastAsia="Times New Roman" w:hAnsiTheme="majorHAnsi" w:cstheme="majorHAnsi"/>
                <w:sz w:val="18"/>
                <w:szCs w:val="18"/>
                <w:lang w:eastAsia="pl-PL"/>
              </w:rPr>
              <w:t xml:space="preserve">zmiana </w:t>
            </w:r>
            <w:r w:rsidRPr="00F25EBD">
              <w:rPr>
                <w:rFonts w:asciiTheme="majorHAnsi" w:eastAsia="Times New Roman" w:hAnsiTheme="majorHAnsi" w:cstheme="majorHAnsi"/>
                <w:sz w:val="18"/>
                <w:szCs w:val="18"/>
                <w:lang w:eastAsia="pl-PL"/>
              </w:rPr>
              <w:br/>
              <w:t>w %</w:t>
            </w:r>
          </w:p>
        </w:tc>
        <w:tc>
          <w:tcPr>
            <w:tcW w:w="514"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0E22F665" w14:textId="77777777" w:rsidR="00EA2B5F" w:rsidRPr="00F25EBD" w:rsidRDefault="00EA2B5F" w:rsidP="00F37B88">
            <w:pPr>
              <w:spacing w:after="0" w:line="240" w:lineRule="auto"/>
              <w:jc w:val="center"/>
              <w:rPr>
                <w:rFonts w:asciiTheme="majorHAnsi" w:eastAsia="Times New Roman" w:hAnsiTheme="majorHAnsi" w:cstheme="majorHAnsi"/>
                <w:sz w:val="18"/>
                <w:szCs w:val="18"/>
                <w:lang w:eastAsia="pl-PL"/>
              </w:rPr>
            </w:pPr>
            <w:r w:rsidRPr="00F25EBD">
              <w:rPr>
                <w:rFonts w:asciiTheme="majorHAnsi" w:eastAsia="Times New Roman" w:hAnsiTheme="majorHAnsi" w:cstheme="majorHAnsi"/>
                <w:sz w:val="18"/>
                <w:szCs w:val="18"/>
                <w:lang w:eastAsia="pl-PL"/>
              </w:rPr>
              <w:t>7,0</w:t>
            </w:r>
          </w:p>
        </w:tc>
        <w:tc>
          <w:tcPr>
            <w:tcW w:w="356"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6E532C99" w14:textId="77777777" w:rsidR="00EA2B5F" w:rsidRPr="00F25EBD" w:rsidRDefault="00EA2B5F" w:rsidP="00F37B88">
            <w:pPr>
              <w:spacing w:after="0" w:line="240" w:lineRule="auto"/>
              <w:jc w:val="center"/>
              <w:rPr>
                <w:rFonts w:asciiTheme="majorHAnsi" w:eastAsia="Times New Roman" w:hAnsiTheme="majorHAnsi" w:cstheme="majorHAnsi"/>
                <w:sz w:val="18"/>
                <w:szCs w:val="18"/>
                <w:lang w:eastAsia="pl-PL"/>
              </w:rPr>
            </w:pPr>
            <w:r w:rsidRPr="00F25EBD">
              <w:rPr>
                <w:rFonts w:asciiTheme="majorHAnsi" w:eastAsia="Times New Roman" w:hAnsiTheme="majorHAnsi" w:cstheme="majorHAnsi"/>
                <w:sz w:val="18"/>
                <w:szCs w:val="18"/>
                <w:lang w:eastAsia="pl-PL"/>
              </w:rPr>
              <w:t>-</w:t>
            </w:r>
          </w:p>
        </w:tc>
        <w:tc>
          <w:tcPr>
            <w:tcW w:w="514"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07E2D45C" w14:textId="77777777" w:rsidR="00EA2B5F" w:rsidRPr="00F25EBD" w:rsidRDefault="00EA2B5F" w:rsidP="00F37B88">
            <w:pPr>
              <w:spacing w:after="0" w:line="240" w:lineRule="auto"/>
              <w:jc w:val="center"/>
              <w:rPr>
                <w:rFonts w:asciiTheme="majorHAnsi" w:eastAsia="Times New Roman" w:hAnsiTheme="majorHAnsi" w:cstheme="majorHAnsi"/>
                <w:sz w:val="18"/>
                <w:szCs w:val="18"/>
                <w:lang w:eastAsia="pl-PL"/>
              </w:rPr>
            </w:pPr>
            <w:r w:rsidRPr="00F25EBD">
              <w:rPr>
                <w:rFonts w:asciiTheme="majorHAnsi" w:eastAsia="Times New Roman" w:hAnsiTheme="majorHAnsi" w:cstheme="majorHAnsi"/>
                <w:sz w:val="18"/>
                <w:szCs w:val="18"/>
                <w:lang w:eastAsia="pl-PL"/>
              </w:rPr>
              <w:t>22,0</w:t>
            </w:r>
          </w:p>
        </w:tc>
        <w:tc>
          <w:tcPr>
            <w:tcW w:w="356"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23F97AC1" w14:textId="77777777" w:rsidR="00EA2B5F" w:rsidRPr="00F25EBD" w:rsidRDefault="00EA2B5F" w:rsidP="00F37B88">
            <w:pPr>
              <w:spacing w:after="0" w:line="240" w:lineRule="auto"/>
              <w:jc w:val="center"/>
              <w:rPr>
                <w:rFonts w:asciiTheme="majorHAnsi" w:eastAsia="Times New Roman" w:hAnsiTheme="majorHAnsi" w:cstheme="majorHAnsi"/>
                <w:sz w:val="18"/>
                <w:szCs w:val="18"/>
                <w:lang w:eastAsia="pl-PL"/>
              </w:rPr>
            </w:pPr>
            <w:r w:rsidRPr="00F25EBD">
              <w:rPr>
                <w:rFonts w:asciiTheme="majorHAnsi" w:eastAsia="Times New Roman" w:hAnsiTheme="majorHAnsi" w:cstheme="majorHAnsi"/>
                <w:sz w:val="18"/>
                <w:szCs w:val="18"/>
                <w:lang w:eastAsia="pl-PL"/>
              </w:rPr>
              <w:t>-</w:t>
            </w:r>
          </w:p>
        </w:tc>
        <w:tc>
          <w:tcPr>
            <w:tcW w:w="514"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34E713D5" w14:textId="77777777" w:rsidR="00EA2B5F" w:rsidRPr="00F25EBD" w:rsidRDefault="00EA2B5F" w:rsidP="00F37B88">
            <w:pPr>
              <w:spacing w:after="0" w:line="240" w:lineRule="auto"/>
              <w:jc w:val="center"/>
              <w:rPr>
                <w:rFonts w:asciiTheme="majorHAnsi" w:eastAsia="Times New Roman" w:hAnsiTheme="majorHAnsi" w:cstheme="majorHAnsi"/>
                <w:sz w:val="18"/>
                <w:szCs w:val="18"/>
                <w:lang w:eastAsia="pl-PL"/>
              </w:rPr>
            </w:pPr>
            <w:r w:rsidRPr="00F25EBD">
              <w:rPr>
                <w:rFonts w:asciiTheme="majorHAnsi" w:eastAsia="Times New Roman" w:hAnsiTheme="majorHAnsi" w:cstheme="majorHAnsi"/>
                <w:sz w:val="18"/>
                <w:szCs w:val="18"/>
                <w:lang w:eastAsia="pl-PL"/>
              </w:rPr>
              <w:t>7,4</w:t>
            </w:r>
          </w:p>
        </w:tc>
        <w:tc>
          <w:tcPr>
            <w:tcW w:w="356"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1FF0A46D" w14:textId="77777777" w:rsidR="00EA2B5F" w:rsidRPr="00F25EBD" w:rsidRDefault="00EA2B5F" w:rsidP="00F37B88">
            <w:pPr>
              <w:spacing w:after="0" w:line="240" w:lineRule="auto"/>
              <w:jc w:val="center"/>
              <w:rPr>
                <w:rFonts w:asciiTheme="majorHAnsi" w:eastAsia="Times New Roman" w:hAnsiTheme="majorHAnsi" w:cstheme="majorHAnsi"/>
                <w:sz w:val="18"/>
                <w:szCs w:val="18"/>
                <w:lang w:eastAsia="pl-PL"/>
              </w:rPr>
            </w:pPr>
            <w:r w:rsidRPr="00F25EBD">
              <w:rPr>
                <w:rFonts w:asciiTheme="majorHAnsi" w:eastAsia="Times New Roman" w:hAnsiTheme="majorHAnsi" w:cstheme="majorHAnsi"/>
                <w:sz w:val="18"/>
                <w:szCs w:val="18"/>
                <w:lang w:eastAsia="pl-PL"/>
              </w:rPr>
              <w:t>-</w:t>
            </w:r>
          </w:p>
        </w:tc>
        <w:tc>
          <w:tcPr>
            <w:tcW w:w="514"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6DE0BF77" w14:textId="77777777" w:rsidR="00EA2B5F" w:rsidRPr="00F25EBD" w:rsidRDefault="00EA2B5F" w:rsidP="00F37B88">
            <w:pPr>
              <w:spacing w:after="0" w:line="240" w:lineRule="auto"/>
              <w:jc w:val="center"/>
              <w:rPr>
                <w:rFonts w:asciiTheme="majorHAnsi" w:eastAsia="Times New Roman" w:hAnsiTheme="majorHAnsi" w:cstheme="majorHAnsi"/>
                <w:sz w:val="18"/>
                <w:szCs w:val="18"/>
                <w:lang w:eastAsia="pl-PL"/>
              </w:rPr>
            </w:pPr>
            <w:r w:rsidRPr="00F25EBD">
              <w:rPr>
                <w:rFonts w:asciiTheme="majorHAnsi" w:eastAsia="Times New Roman" w:hAnsiTheme="majorHAnsi" w:cstheme="majorHAnsi"/>
                <w:sz w:val="18"/>
                <w:szCs w:val="18"/>
                <w:lang w:eastAsia="pl-PL"/>
              </w:rPr>
              <w:t>-1,4</w:t>
            </w:r>
          </w:p>
        </w:tc>
        <w:tc>
          <w:tcPr>
            <w:tcW w:w="356"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621E1836" w14:textId="77777777" w:rsidR="00EA2B5F" w:rsidRPr="00F25EBD" w:rsidRDefault="00EA2B5F" w:rsidP="00F37B88">
            <w:pPr>
              <w:spacing w:after="0" w:line="240" w:lineRule="auto"/>
              <w:jc w:val="center"/>
              <w:rPr>
                <w:rFonts w:asciiTheme="majorHAnsi" w:eastAsia="Times New Roman" w:hAnsiTheme="majorHAnsi" w:cstheme="majorHAnsi"/>
                <w:sz w:val="18"/>
                <w:szCs w:val="18"/>
                <w:lang w:eastAsia="pl-PL"/>
              </w:rPr>
            </w:pPr>
            <w:r w:rsidRPr="00F25EBD">
              <w:rPr>
                <w:rFonts w:asciiTheme="majorHAnsi" w:eastAsia="Times New Roman" w:hAnsiTheme="majorHAnsi" w:cstheme="majorHAnsi"/>
                <w:sz w:val="18"/>
                <w:szCs w:val="18"/>
                <w:lang w:eastAsia="pl-PL"/>
              </w:rPr>
              <w:t>-</w:t>
            </w:r>
          </w:p>
        </w:tc>
      </w:tr>
      <w:tr w:rsidR="00EA2B5F" w:rsidRPr="00F25EBD" w14:paraId="7013A3CF" w14:textId="77777777" w:rsidTr="00F37B88">
        <w:trPr>
          <w:trHeight w:val="240"/>
        </w:trPr>
        <w:tc>
          <w:tcPr>
            <w:tcW w:w="1047" w:type="pct"/>
            <w:vMerge w:val="restart"/>
            <w:tcBorders>
              <w:top w:val="single" w:sz="4" w:space="0" w:color="808080" w:themeColor="background1" w:themeShade="80"/>
              <w:bottom w:val="single" w:sz="4" w:space="0" w:color="808080" w:themeColor="background1" w:themeShade="80"/>
            </w:tcBorders>
            <w:shd w:val="clear" w:color="auto" w:fill="auto"/>
            <w:vAlign w:val="center"/>
            <w:hideMark/>
          </w:tcPr>
          <w:p w14:paraId="3AC6D1EA" w14:textId="77777777" w:rsidR="00EA2B5F" w:rsidRPr="00F25EBD" w:rsidRDefault="00EA2B5F" w:rsidP="00F37B88">
            <w:pPr>
              <w:spacing w:after="0" w:line="240" w:lineRule="auto"/>
              <w:rPr>
                <w:rFonts w:asciiTheme="majorHAnsi" w:eastAsia="Times New Roman" w:hAnsiTheme="majorHAnsi" w:cstheme="majorHAnsi"/>
                <w:sz w:val="18"/>
                <w:szCs w:val="18"/>
                <w:lang w:eastAsia="pl-PL"/>
              </w:rPr>
            </w:pPr>
            <w:r w:rsidRPr="00F25EBD">
              <w:rPr>
                <w:rFonts w:asciiTheme="majorHAnsi" w:eastAsia="Times New Roman" w:hAnsiTheme="majorHAnsi" w:cstheme="majorHAnsi"/>
                <w:sz w:val="18"/>
                <w:szCs w:val="18"/>
                <w:lang w:eastAsia="pl-PL"/>
              </w:rPr>
              <w:t>Dział 851</w:t>
            </w:r>
          </w:p>
          <w:p w14:paraId="786FC077" w14:textId="77777777" w:rsidR="00EA2B5F" w:rsidRPr="00F25EBD" w:rsidRDefault="00EA2B5F" w:rsidP="00F37B88">
            <w:pPr>
              <w:spacing w:after="0" w:line="240" w:lineRule="auto"/>
              <w:rPr>
                <w:rFonts w:asciiTheme="majorHAnsi" w:eastAsia="Times New Roman" w:hAnsiTheme="majorHAnsi" w:cstheme="majorHAnsi"/>
                <w:sz w:val="18"/>
                <w:szCs w:val="18"/>
                <w:lang w:eastAsia="pl-PL"/>
              </w:rPr>
            </w:pPr>
            <w:r w:rsidRPr="00F25EBD">
              <w:rPr>
                <w:rFonts w:asciiTheme="majorHAnsi" w:eastAsia="Times New Roman" w:hAnsiTheme="majorHAnsi" w:cstheme="majorHAnsi"/>
                <w:sz w:val="18"/>
                <w:szCs w:val="18"/>
                <w:lang w:eastAsia="pl-PL"/>
              </w:rPr>
              <w:t>Ochrona zdrowia</w:t>
            </w:r>
          </w:p>
        </w:tc>
        <w:tc>
          <w:tcPr>
            <w:tcW w:w="474"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723799DA" w14:textId="77777777" w:rsidR="00EA2B5F" w:rsidRPr="00F25EBD" w:rsidRDefault="00EA2B5F" w:rsidP="00F37B88">
            <w:pPr>
              <w:spacing w:after="0" w:line="240" w:lineRule="auto"/>
              <w:jc w:val="center"/>
              <w:rPr>
                <w:rFonts w:asciiTheme="majorHAnsi" w:eastAsia="Times New Roman" w:hAnsiTheme="majorHAnsi" w:cstheme="majorHAnsi"/>
                <w:sz w:val="18"/>
                <w:szCs w:val="18"/>
                <w:lang w:eastAsia="pl-PL"/>
              </w:rPr>
            </w:pPr>
            <w:r w:rsidRPr="00F25EBD">
              <w:rPr>
                <w:rFonts w:asciiTheme="majorHAnsi" w:eastAsia="Times New Roman" w:hAnsiTheme="majorHAnsi" w:cstheme="majorHAnsi"/>
                <w:sz w:val="18"/>
                <w:szCs w:val="18"/>
                <w:lang w:eastAsia="pl-PL"/>
              </w:rPr>
              <w:t>2010</w:t>
            </w:r>
          </w:p>
        </w:tc>
        <w:tc>
          <w:tcPr>
            <w:tcW w:w="514"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5A162D84" w14:textId="77777777" w:rsidR="00EA2B5F" w:rsidRPr="00F25EBD" w:rsidRDefault="00EA2B5F" w:rsidP="00F37B88">
            <w:pPr>
              <w:spacing w:after="0" w:line="240" w:lineRule="auto"/>
              <w:jc w:val="center"/>
              <w:rPr>
                <w:rFonts w:asciiTheme="majorHAnsi" w:eastAsia="Times New Roman" w:hAnsiTheme="majorHAnsi" w:cstheme="majorHAnsi"/>
                <w:sz w:val="16"/>
                <w:szCs w:val="16"/>
                <w:lang w:eastAsia="pl-PL"/>
              </w:rPr>
            </w:pPr>
            <w:r w:rsidRPr="00F25EBD">
              <w:rPr>
                <w:rFonts w:asciiTheme="majorHAnsi" w:eastAsia="Times New Roman" w:hAnsiTheme="majorHAnsi" w:cstheme="majorHAnsi"/>
                <w:sz w:val="16"/>
                <w:szCs w:val="16"/>
                <w:lang w:eastAsia="pl-PL"/>
              </w:rPr>
              <w:t>2.913.858,6</w:t>
            </w:r>
          </w:p>
        </w:tc>
        <w:tc>
          <w:tcPr>
            <w:tcW w:w="356"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1FDCFB65" w14:textId="77777777" w:rsidR="00EA2B5F" w:rsidRPr="00F25EBD" w:rsidRDefault="00EA2B5F" w:rsidP="00F37B88">
            <w:pPr>
              <w:spacing w:after="0" w:line="240" w:lineRule="auto"/>
              <w:jc w:val="center"/>
              <w:rPr>
                <w:rFonts w:asciiTheme="majorHAnsi" w:eastAsia="Times New Roman" w:hAnsiTheme="majorHAnsi" w:cstheme="majorHAnsi"/>
                <w:sz w:val="18"/>
                <w:szCs w:val="18"/>
                <w:lang w:eastAsia="pl-PL"/>
              </w:rPr>
            </w:pPr>
            <w:r w:rsidRPr="00F25EBD">
              <w:rPr>
                <w:rFonts w:asciiTheme="majorHAnsi" w:eastAsia="Times New Roman" w:hAnsiTheme="majorHAnsi" w:cstheme="majorHAnsi"/>
                <w:sz w:val="18"/>
                <w:szCs w:val="18"/>
                <w:lang w:eastAsia="pl-PL"/>
              </w:rPr>
              <w:t>5,3</w:t>
            </w:r>
          </w:p>
        </w:tc>
        <w:tc>
          <w:tcPr>
            <w:tcW w:w="514"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7BA50E61" w14:textId="77777777" w:rsidR="00EA2B5F" w:rsidRPr="00F25EBD" w:rsidRDefault="00EA2B5F" w:rsidP="00F37B88">
            <w:pPr>
              <w:spacing w:after="0" w:line="240" w:lineRule="auto"/>
              <w:jc w:val="center"/>
              <w:rPr>
                <w:rFonts w:asciiTheme="majorHAnsi" w:eastAsia="Times New Roman" w:hAnsiTheme="majorHAnsi" w:cstheme="majorHAnsi"/>
                <w:sz w:val="16"/>
                <w:szCs w:val="16"/>
                <w:lang w:eastAsia="pl-PL"/>
              </w:rPr>
            </w:pPr>
            <w:r w:rsidRPr="00F25EBD">
              <w:rPr>
                <w:rFonts w:asciiTheme="majorHAnsi" w:eastAsia="Times New Roman" w:hAnsiTheme="majorHAnsi" w:cstheme="majorHAnsi"/>
                <w:sz w:val="16"/>
                <w:szCs w:val="16"/>
                <w:lang w:eastAsia="pl-PL"/>
              </w:rPr>
              <w:t>1.479.946,5</w:t>
            </w:r>
          </w:p>
        </w:tc>
        <w:tc>
          <w:tcPr>
            <w:tcW w:w="356"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0625A464" w14:textId="77777777" w:rsidR="00EA2B5F" w:rsidRPr="00F25EBD" w:rsidRDefault="00EA2B5F" w:rsidP="00F37B88">
            <w:pPr>
              <w:spacing w:after="0" w:line="240" w:lineRule="auto"/>
              <w:jc w:val="center"/>
              <w:rPr>
                <w:rFonts w:asciiTheme="majorHAnsi" w:eastAsia="Times New Roman" w:hAnsiTheme="majorHAnsi" w:cstheme="majorHAnsi"/>
                <w:sz w:val="18"/>
                <w:szCs w:val="18"/>
                <w:lang w:eastAsia="pl-PL"/>
              </w:rPr>
            </w:pPr>
            <w:r w:rsidRPr="00F25EBD">
              <w:rPr>
                <w:rFonts w:asciiTheme="majorHAnsi" w:eastAsia="Times New Roman" w:hAnsiTheme="majorHAnsi" w:cstheme="majorHAnsi"/>
                <w:sz w:val="18"/>
                <w:szCs w:val="18"/>
                <w:lang w:eastAsia="pl-PL"/>
              </w:rPr>
              <w:t>3,1</w:t>
            </w:r>
          </w:p>
        </w:tc>
        <w:tc>
          <w:tcPr>
            <w:tcW w:w="514"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6D203B42" w14:textId="77777777" w:rsidR="00EA2B5F" w:rsidRPr="00F25EBD" w:rsidRDefault="00EA2B5F" w:rsidP="00F37B88">
            <w:pPr>
              <w:spacing w:after="0" w:line="240" w:lineRule="auto"/>
              <w:jc w:val="center"/>
              <w:rPr>
                <w:rFonts w:asciiTheme="majorHAnsi" w:eastAsia="Times New Roman" w:hAnsiTheme="majorHAnsi" w:cstheme="majorHAnsi"/>
                <w:sz w:val="16"/>
                <w:szCs w:val="16"/>
                <w:lang w:eastAsia="pl-PL"/>
              </w:rPr>
            </w:pPr>
            <w:r w:rsidRPr="00F25EBD">
              <w:rPr>
                <w:rFonts w:asciiTheme="majorHAnsi" w:eastAsia="Times New Roman" w:hAnsiTheme="majorHAnsi" w:cstheme="majorHAnsi"/>
                <w:sz w:val="16"/>
                <w:szCs w:val="16"/>
                <w:lang w:eastAsia="pl-PL"/>
              </w:rPr>
              <w:t>3.775.200,4</w:t>
            </w:r>
          </w:p>
        </w:tc>
        <w:tc>
          <w:tcPr>
            <w:tcW w:w="356"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088E5641" w14:textId="77777777" w:rsidR="00EA2B5F" w:rsidRPr="00F25EBD" w:rsidRDefault="00EA2B5F" w:rsidP="00F37B88">
            <w:pPr>
              <w:spacing w:after="0" w:line="240" w:lineRule="auto"/>
              <w:jc w:val="center"/>
              <w:rPr>
                <w:rFonts w:asciiTheme="majorHAnsi" w:eastAsia="Times New Roman" w:hAnsiTheme="majorHAnsi" w:cstheme="majorHAnsi"/>
                <w:sz w:val="18"/>
                <w:szCs w:val="18"/>
                <w:lang w:eastAsia="pl-PL"/>
              </w:rPr>
            </w:pPr>
            <w:r w:rsidRPr="00F25EBD">
              <w:rPr>
                <w:rFonts w:asciiTheme="majorHAnsi" w:eastAsia="Times New Roman" w:hAnsiTheme="majorHAnsi" w:cstheme="majorHAnsi"/>
                <w:sz w:val="18"/>
                <w:szCs w:val="18"/>
                <w:lang w:eastAsia="pl-PL"/>
              </w:rPr>
              <w:t>5,7</w:t>
            </w:r>
          </w:p>
        </w:tc>
        <w:tc>
          <w:tcPr>
            <w:tcW w:w="514"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578FB814" w14:textId="77777777" w:rsidR="00EA2B5F" w:rsidRPr="00F25EBD" w:rsidRDefault="00EA2B5F" w:rsidP="00F37B88">
            <w:pPr>
              <w:spacing w:after="0" w:line="240" w:lineRule="auto"/>
              <w:jc w:val="center"/>
              <w:rPr>
                <w:rFonts w:asciiTheme="majorHAnsi" w:eastAsia="Times New Roman" w:hAnsiTheme="majorHAnsi" w:cstheme="majorHAnsi"/>
                <w:sz w:val="16"/>
                <w:szCs w:val="16"/>
                <w:lang w:eastAsia="pl-PL"/>
              </w:rPr>
            </w:pPr>
            <w:r w:rsidRPr="00F25EBD">
              <w:rPr>
                <w:rFonts w:asciiTheme="majorHAnsi" w:eastAsia="Times New Roman" w:hAnsiTheme="majorHAnsi" w:cstheme="majorHAnsi"/>
                <w:sz w:val="16"/>
                <w:szCs w:val="16"/>
                <w:lang w:eastAsia="pl-PL"/>
              </w:rPr>
              <w:t>4.368.064,9</w:t>
            </w:r>
          </w:p>
        </w:tc>
        <w:tc>
          <w:tcPr>
            <w:tcW w:w="356"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3F95C782" w14:textId="77777777" w:rsidR="00EA2B5F" w:rsidRPr="00F25EBD" w:rsidRDefault="00EA2B5F" w:rsidP="00F37B88">
            <w:pPr>
              <w:spacing w:after="0" w:line="240" w:lineRule="auto"/>
              <w:jc w:val="center"/>
              <w:rPr>
                <w:rFonts w:asciiTheme="majorHAnsi" w:eastAsia="Times New Roman" w:hAnsiTheme="majorHAnsi" w:cstheme="majorHAnsi"/>
                <w:sz w:val="18"/>
                <w:szCs w:val="18"/>
                <w:lang w:eastAsia="pl-PL"/>
              </w:rPr>
            </w:pPr>
            <w:r w:rsidRPr="00F25EBD">
              <w:rPr>
                <w:rFonts w:asciiTheme="majorHAnsi" w:eastAsia="Times New Roman" w:hAnsiTheme="majorHAnsi" w:cstheme="majorHAnsi"/>
                <w:sz w:val="18"/>
                <w:szCs w:val="18"/>
                <w:lang w:eastAsia="pl-PL"/>
              </w:rPr>
              <w:t>4,5</w:t>
            </w:r>
          </w:p>
        </w:tc>
      </w:tr>
      <w:tr w:rsidR="00EA2B5F" w:rsidRPr="00F25EBD" w14:paraId="22498AAC" w14:textId="77777777" w:rsidTr="00F37B88">
        <w:trPr>
          <w:trHeight w:val="240"/>
        </w:trPr>
        <w:tc>
          <w:tcPr>
            <w:tcW w:w="1047" w:type="pct"/>
            <w:vMerge/>
            <w:tcBorders>
              <w:top w:val="single" w:sz="4" w:space="0" w:color="808080" w:themeColor="background1" w:themeShade="80"/>
              <w:bottom w:val="single" w:sz="4" w:space="0" w:color="808080" w:themeColor="background1" w:themeShade="80"/>
            </w:tcBorders>
            <w:vAlign w:val="center"/>
            <w:hideMark/>
          </w:tcPr>
          <w:p w14:paraId="3C803762" w14:textId="77777777" w:rsidR="00EA2B5F" w:rsidRPr="00F25EBD" w:rsidRDefault="00EA2B5F" w:rsidP="00F37B88">
            <w:pPr>
              <w:spacing w:after="0" w:line="240" w:lineRule="auto"/>
              <w:rPr>
                <w:rFonts w:asciiTheme="majorHAnsi" w:eastAsia="Times New Roman" w:hAnsiTheme="majorHAnsi" w:cstheme="majorHAnsi"/>
                <w:sz w:val="18"/>
                <w:szCs w:val="18"/>
                <w:lang w:eastAsia="pl-PL"/>
              </w:rPr>
            </w:pPr>
          </w:p>
        </w:tc>
        <w:tc>
          <w:tcPr>
            <w:tcW w:w="474"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1DD975C2" w14:textId="77777777" w:rsidR="00EA2B5F" w:rsidRPr="00F25EBD" w:rsidRDefault="00EA2B5F" w:rsidP="00F37B88">
            <w:pPr>
              <w:spacing w:after="0" w:line="240" w:lineRule="auto"/>
              <w:jc w:val="center"/>
              <w:rPr>
                <w:rFonts w:asciiTheme="majorHAnsi" w:eastAsia="Times New Roman" w:hAnsiTheme="majorHAnsi" w:cstheme="majorHAnsi"/>
                <w:sz w:val="18"/>
                <w:szCs w:val="18"/>
                <w:lang w:eastAsia="pl-PL"/>
              </w:rPr>
            </w:pPr>
            <w:r w:rsidRPr="00F25EBD">
              <w:rPr>
                <w:rFonts w:asciiTheme="majorHAnsi" w:eastAsia="Times New Roman" w:hAnsiTheme="majorHAnsi" w:cstheme="majorHAnsi"/>
                <w:sz w:val="18"/>
                <w:szCs w:val="18"/>
                <w:lang w:eastAsia="pl-PL"/>
              </w:rPr>
              <w:t>2019</w:t>
            </w:r>
          </w:p>
        </w:tc>
        <w:tc>
          <w:tcPr>
            <w:tcW w:w="514"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3A874E12" w14:textId="77777777" w:rsidR="00EA2B5F" w:rsidRPr="00F25EBD" w:rsidRDefault="00EA2B5F" w:rsidP="00F37B88">
            <w:pPr>
              <w:spacing w:after="0" w:line="240" w:lineRule="auto"/>
              <w:jc w:val="center"/>
              <w:rPr>
                <w:rFonts w:asciiTheme="majorHAnsi" w:eastAsia="Times New Roman" w:hAnsiTheme="majorHAnsi" w:cstheme="majorHAnsi"/>
                <w:sz w:val="16"/>
                <w:szCs w:val="16"/>
                <w:lang w:eastAsia="pl-PL"/>
              </w:rPr>
            </w:pPr>
            <w:r w:rsidRPr="00F25EBD">
              <w:rPr>
                <w:rFonts w:asciiTheme="majorHAnsi" w:eastAsia="Times New Roman" w:hAnsiTheme="majorHAnsi" w:cstheme="majorHAnsi"/>
                <w:sz w:val="16"/>
                <w:szCs w:val="16"/>
                <w:lang w:eastAsia="pl-PL"/>
              </w:rPr>
              <w:t>2.674.161,9</w:t>
            </w:r>
          </w:p>
        </w:tc>
        <w:tc>
          <w:tcPr>
            <w:tcW w:w="356"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73CAE406" w14:textId="77777777" w:rsidR="00EA2B5F" w:rsidRPr="00F25EBD" w:rsidRDefault="00EA2B5F" w:rsidP="00F37B88">
            <w:pPr>
              <w:spacing w:after="0" w:line="240" w:lineRule="auto"/>
              <w:jc w:val="center"/>
              <w:rPr>
                <w:rFonts w:asciiTheme="majorHAnsi" w:eastAsia="Times New Roman" w:hAnsiTheme="majorHAnsi" w:cstheme="majorHAnsi"/>
                <w:sz w:val="18"/>
                <w:szCs w:val="18"/>
                <w:lang w:eastAsia="pl-PL"/>
              </w:rPr>
            </w:pPr>
            <w:r w:rsidRPr="00F25EBD">
              <w:rPr>
                <w:rFonts w:asciiTheme="majorHAnsi" w:eastAsia="Times New Roman" w:hAnsiTheme="majorHAnsi" w:cstheme="majorHAnsi"/>
                <w:sz w:val="18"/>
                <w:szCs w:val="18"/>
                <w:lang w:eastAsia="pl-PL"/>
              </w:rPr>
              <w:t>3,7</w:t>
            </w:r>
          </w:p>
        </w:tc>
        <w:tc>
          <w:tcPr>
            <w:tcW w:w="514"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499AB211" w14:textId="77777777" w:rsidR="00EA2B5F" w:rsidRPr="00F25EBD" w:rsidRDefault="00EA2B5F" w:rsidP="00F37B88">
            <w:pPr>
              <w:spacing w:after="0" w:line="240" w:lineRule="auto"/>
              <w:jc w:val="center"/>
              <w:rPr>
                <w:rFonts w:asciiTheme="majorHAnsi" w:eastAsia="Times New Roman" w:hAnsiTheme="majorHAnsi" w:cstheme="majorHAnsi"/>
                <w:sz w:val="16"/>
                <w:szCs w:val="16"/>
                <w:lang w:eastAsia="pl-PL"/>
              </w:rPr>
            </w:pPr>
            <w:r w:rsidRPr="00F25EBD">
              <w:rPr>
                <w:rFonts w:asciiTheme="majorHAnsi" w:eastAsia="Times New Roman" w:hAnsiTheme="majorHAnsi" w:cstheme="majorHAnsi"/>
                <w:sz w:val="16"/>
                <w:szCs w:val="16"/>
                <w:lang w:eastAsia="pl-PL"/>
              </w:rPr>
              <w:t>2.145.305,6</w:t>
            </w:r>
          </w:p>
        </w:tc>
        <w:tc>
          <w:tcPr>
            <w:tcW w:w="356"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4EAE01A1" w14:textId="77777777" w:rsidR="00EA2B5F" w:rsidRPr="00F25EBD" w:rsidRDefault="00EA2B5F" w:rsidP="00F37B88">
            <w:pPr>
              <w:spacing w:after="0" w:line="240" w:lineRule="auto"/>
              <w:jc w:val="center"/>
              <w:rPr>
                <w:rFonts w:asciiTheme="majorHAnsi" w:eastAsia="Times New Roman" w:hAnsiTheme="majorHAnsi" w:cstheme="majorHAnsi"/>
                <w:sz w:val="18"/>
                <w:szCs w:val="18"/>
                <w:lang w:eastAsia="pl-PL"/>
              </w:rPr>
            </w:pPr>
            <w:r w:rsidRPr="00F25EBD">
              <w:rPr>
                <w:rFonts w:asciiTheme="majorHAnsi" w:eastAsia="Times New Roman" w:hAnsiTheme="majorHAnsi" w:cstheme="majorHAnsi"/>
                <w:sz w:val="18"/>
                <w:szCs w:val="18"/>
                <w:lang w:eastAsia="pl-PL"/>
              </w:rPr>
              <w:t>4,4</w:t>
            </w:r>
          </w:p>
        </w:tc>
        <w:tc>
          <w:tcPr>
            <w:tcW w:w="514"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048153F6" w14:textId="77777777" w:rsidR="00EA2B5F" w:rsidRPr="00F25EBD" w:rsidRDefault="00EA2B5F" w:rsidP="00F37B88">
            <w:pPr>
              <w:spacing w:after="0" w:line="240" w:lineRule="auto"/>
              <w:jc w:val="center"/>
              <w:rPr>
                <w:rFonts w:asciiTheme="majorHAnsi" w:eastAsia="Times New Roman" w:hAnsiTheme="majorHAnsi" w:cstheme="majorHAnsi"/>
                <w:sz w:val="16"/>
                <w:szCs w:val="16"/>
                <w:lang w:eastAsia="pl-PL"/>
              </w:rPr>
            </w:pPr>
            <w:r w:rsidRPr="00F25EBD">
              <w:rPr>
                <w:rFonts w:asciiTheme="majorHAnsi" w:eastAsia="Times New Roman" w:hAnsiTheme="majorHAnsi" w:cstheme="majorHAnsi"/>
                <w:sz w:val="16"/>
                <w:szCs w:val="16"/>
                <w:lang w:eastAsia="pl-PL"/>
              </w:rPr>
              <w:t>1.336.272,0</w:t>
            </w:r>
          </w:p>
        </w:tc>
        <w:tc>
          <w:tcPr>
            <w:tcW w:w="356"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707EA901" w14:textId="77777777" w:rsidR="00EA2B5F" w:rsidRPr="00F25EBD" w:rsidRDefault="00EA2B5F" w:rsidP="00F37B88">
            <w:pPr>
              <w:spacing w:after="0" w:line="240" w:lineRule="auto"/>
              <w:jc w:val="center"/>
              <w:rPr>
                <w:rFonts w:asciiTheme="majorHAnsi" w:eastAsia="Times New Roman" w:hAnsiTheme="majorHAnsi" w:cstheme="majorHAnsi"/>
                <w:sz w:val="18"/>
                <w:szCs w:val="18"/>
                <w:lang w:eastAsia="pl-PL"/>
              </w:rPr>
            </w:pPr>
            <w:r w:rsidRPr="00F25EBD">
              <w:rPr>
                <w:rFonts w:asciiTheme="majorHAnsi" w:eastAsia="Times New Roman" w:hAnsiTheme="majorHAnsi" w:cstheme="majorHAnsi"/>
                <w:sz w:val="18"/>
                <w:szCs w:val="18"/>
                <w:lang w:eastAsia="pl-PL"/>
              </w:rPr>
              <w:t>1,8</w:t>
            </w:r>
          </w:p>
        </w:tc>
        <w:tc>
          <w:tcPr>
            <w:tcW w:w="514"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462684BF" w14:textId="77777777" w:rsidR="00EA2B5F" w:rsidRPr="00F25EBD" w:rsidRDefault="00EA2B5F" w:rsidP="00F37B88">
            <w:pPr>
              <w:spacing w:after="0" w:line="240" w:lineRule="auto"/>
              <w:jc w:val="center"/>
              <w:rPr>
                <w:rFonts w:asciiTheme="majorHAnsi" w:eastAsia="Times New Roman" w:hAnsiTheme="majorHAnsi" w:cstheme="majorHAnsi"/>
                <w:sz w:val="16"/>
                <w:szCs w:val="16"/>
                <w:lang w:eastAsia="pl-PL"/>
              </w:rPr>
            </w:pPr>
            <w:r w:rsidRPr="00F25EBD">
              <w:rPr>
                <w:rFonts w:asciiTheme="majorHAnsi" w:eastAsia="Times New Roman" w:hAnsiTheme="majorHAnsi" w:cstheme="majorHAnsi"/>
                <w:sz w:val="16"/>
                <w:szCs w:val="16"/>
                <w:lang w:eastAsia="pl-PL"/>
              </w:rPr>
              <w:t>15.125.998,6</w:t>
            </w:r>
          </w:p>
        </w:tc>
        <w:tc>
          <w:tcPr>
            <w:tcW w:w="356"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4EBF771E" w14:textId="77777777" w:rsidR="00EA2B5F" w:rsidRPr="00F25EBD" w:rsidRDefault="00EA2B5F" w:rsidP="00F37B88">
            <w:pPr>
              <w:spacing w:after="0" w:line="240" w:lineRule="auto"/>
              <w:jc w:val="center"/>
              <w:rPr>
                <w:rFonts w:asciiTheme="majorHAnsi" w:eastAsia="Times New Roman" w:hAnsiTheme="majorHAnsi" w:cstheme="majorHAnsi"/>
                <w:sz w:val="18"/>
                <w:szCs w:val="18"/>
                <w:lang w:eastAsia="pl-PL"/>
              </w:rPr>
            </w:pPr>
            <w:r w:rsidRPr="00F25EBD">
              <w:rPr>
                <w:rFonts w:asciiTheme="majorHAnsi" w:eastAsia="Times New Roman" w:hAnsiTheme="majorHAnsi" w:cstheme="majorHAnsi"/>
                <w:sz w:val="18"/>
                <w:szCs w:val="18"/>
                <w:lang w:eastAsia="pl-PL"/>
              </w:rPr>
              <w:t>15,9</w:t>
            </w:r>
          </w:p>
        </w:tc>
      </w:tr>
      <w:tr w:rsidR="00EA2B5F" w:rsidRPr="00F25EBD" w14:paraId="76D5057A" w14:textId="77777777" w:rsidTr="00F37B88">
        <w:trPr>
          <w:trHeight w:val="240"/>
        </w:trPr>
        <w:tc>
          <w:tcPr>
            <w:tcW w:w="1047" w:type="pct"/>
            <w:vMerge/>
            <w:tcBorders>
              <w:top w:val="single" w:sz="4" w:space="0" w:color="808080" w:themeColor="background1" w:themeShade="80"/>
              <w:bottom w:val="single" w:sz="4" w:space="0" w:color="808080" w:themeColor="background1" w:themeShade="80"/>
            </w:tcBorders>
            <w:vAlign w:val="center"/>
            <w:hideMark/>
          </w:tcPr>
          <w:p w14:paraId="7A59BAFA" w14:textId="77777777" w:rsidR="00EA2B5F" w:rsidRPr="00F25EBD" w:rsidRDefault="00EA2B5F" w:rsidP="00F37B88">
            <w:pPr>
              <w:spacing w:after="0" w:line="240" w:lineRule="auto"/>
              <w:rPr>
                <w:rFonts w:asciiTheme="majorHAnsi" w:eastAsia="Times New Roman" w:hAnsiTheme="majorHAnsi" w:cstheme="majorHAnsi"/>
                <w:sz w:val="18"/>
                <w:szCs w:val="18"/>
                <w:lang w:eastAsia="pl-PL"/>
              </w:rPr>
            </w:pPr>
          </w:p>
        </w:tc>
        <w:tc>
          <w:tcPr>
            <w:tcW w:w="474"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5F67087F" w14:textId="77777777" w:rsidR="00EA2B5F" w:rsidRPr="00F25EBD" w:rsidRDefault="00EA2B5F" w:rsidP="00F37B88">
            <w:pPr>
              <w:spacing w:after="0" w:line="240" w:lineRule="auto"/>
              <w:jc w:val="center"/>
              <w:rPr>
                <w:rFonts w:asciiTheme="majorHAnsi" w:eastAsia="Times New Roman" w:hAnsiTheme="majorHAnsi" w:cstheme="majorHAnsi"/>
                <w:sz w:val="18"/>
                <w:szCs w:val="18"/>
                <w:lang w:eastAsia="pl-PL"/>
              </w:rPr>
            </w:pPr>
            <w:r w:rsidRPr="00F25EBD">
              <w:rPr>
                <w:rFonts w:asciiTheme="majorHAnsi" w:eastAsia="Times New Roman" w:hAnsiTheme="majorHAnsi" w:cstheme="majorHAnsi"/>
                <w:sz w:val="18"/>
                <w:szCs w:val="18"/>
                <w:lang w:eastAsia="pl-PL"/>
              </w:rPr>
              <w:t xml:space="preserve">zmiana </w:t>
            </w:r>
            <w:r w:rsidRPr="00F25EBD">
              <w:rPr>
                <w:rFonts w:asciiTheme="majorHAnsi" w:eastAsia="Times New Roman" w:hAnsiTheme="majorHAnsi" w:cstheme="majorHAnsi"/>
                <w:sz w:val="18"/>
                <w:szCs w:val="18"/>
                <w:lang w:eastAsia="pl-PL"/>
              </w:rPr>
              <w:br/>
              <w:t>w %</w:t>
            </w:r>
          </w:p>
        </w:tc>
        <w:tc>
          <w:tcPr>
            <w:tcW w:w="514"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0EBDDDC3" w14:textId="77777777" w:rsidR="00EA2B5F" w:rsidRPr="00F25EBD" w:rsidRDefault="00EA2B5F" w:rsidP="00F37B88">
            <w:pPr>
              <w:spacing w:after="0" w:line="240" w:lineRule="auto"/>
              <w:jc w:val="center"/>
              <w:rPr>
                <w:rFonts w:asciiTheme="majorHAnsi" w:eastAsia="Times New Roman" w:hAnsiTheme="majorHAnsi" w:cstheme="majorHAnsi"/>
                <w:sz w:val="18"/>
                <w:szCs w:val="18"/>
                <w:lang w:eastAsia="pl-PL"/>
              </w:rPr>
            </w:pPr>
            <w:r w:rsidRPr="00F25EBD">
              <w:rPr>
                <w:rFonts w:asciiTheme="majorHAnsi" w:eastAsia="Times New Roman" w:hAnsiTheme="majorHAnsi" w:cstheme="majorHAnsi"/>
                <w:sz w:val="18"/>
                <w:szCs w:val="18"/>
                <w:lang w:eastAsia="pl-PL"/>
              </w:rPr>
              <w:t>-8,2</w:t>
            </w:r>
          </w:p>
        </w:tc>
        <w:tc>
          <w:tcPr>
            <w:tcW w:w="356"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24F12B5A" w14:textId="77777777" w:rsidR="00EA2B5F" w:rsidRPr="00F25EBD" w:rsidRDefault="00EA2B5F" w:rsidP="00F37B88">
            <w:pPr>
              <w:spacing w:after="0" w:line="240" w:lineRule="auto"/>
              <w:jc w:val="center"/>
              <w:rPr>
                <w:rFonts w:asciiTheme="majorHAnsi" w:eastAsia="Times New Roman" w:hAnsiTheme="majorHAnsi" w:cstheme="majorHAnsi"/>
                <w:sz w:val="18"/>
                <w:szCs w:val="18"/>
                <w:lang w:eastAsia="pl-PL"/>
              </w:rPr>
            </w:pPr>
            <w:r w:rsidRPr="00F25EBD">
              <w:rPr>
                <w:rFonts w:asciiTheme="majorHAnsi" w:eastAsia="Times New Roman" w:hAnsiTheme="majorHAnsi" w:cstheme="majorHAnsi"/>
                <w:sz w:val="18"/>
                <w:szCs w:val="18"/>
                <w:lang w:eastAsia="pl-PL"/>
              </w:rPr>
              <w:t>-</w:t>
            </w:r>
          </w:p>
        </w:tc>
        <w:tc>
          <w:tcPr>
            <w:tcW w:w="514"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5318E74C" w14:textId="77777777" w:rsidR="00EA2B5F" w:rsidRPr="00F25EBD" w:rsidRDefault="00EA2B5F" w:rsidP="00F37B88">
            <w:pPr>
              <w:spacing w:after="0" w:line="240" w:lineRule="auto"/>
              <w:jc w:val="center"/>
              <w:rPr>
                <w:rFonts w:asciiTheme="majorHAnsi" w:eastAsia="Times New Roman" w:hAnsiTheme="majorHAnsi" w:cstheme="majorHAnsi"/>
                <w:sz w:val="18"/>
                <w:szCs w:val="18"/>
                <w:lang w:eastAsia="pl-PL"/>
              </w:rPr>
            </w:pPr>
            <w:r w:rsidRPr="00F25EBD">
              <w:rPr>
                <w:rFonts w:asciiTheme="majorHAnsi" w:eastAsia="Times New Roman" w:hAnsiTheme="majorHAnsi" w:cstheme="majorHAnsi"/>
                <w:sz w:val="18"/>
                <w:szCs w:val="18"/>
                <w:lang w:eastAsia="pl-PL"/>
              </w:rPr>
              <w:t>45,0</w:t>
            </w:r>
          </w:p>
        </w:tc>
        <w:tc>
          <w:tcPr>
            <w:tcW w:w="356"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7D6E3303" w14:textId="77777777" w:rsidR="00EA2B5F" w:rsidRPr="00F25EBD" w:rsidRDefault="00EA2B5F" w:rsidP="00F37B88">
            <w:pPr>
              <w:spacing w:after="0" w:line="240" w:lineRule="auto"/>
              <w:jc w:val="center"/>
              <w:rPr>
                <w:rFonts w:asciiTheme="majorHAnsi" w:eastAsia="Times New Roman" w:hAnsiTheme="majorHAnsi" w:cstheme="majorHAnsi"/>
                <w:sz w:val="18"/>
                <w:szCs w:val="18"/>
                <w:lang w:eastAsia="pl-PL"/>
              </w:rPr>
            </w:pPr>
            <w:r w:rsidRPr="00F25EBD">
              <w:rPr>
                <w:rFonts w:asciiTheme="majorHAnsi" w:eastAsia="Times New Roman" w:hAnsiTheme="majorHAnsi" w:cstheme="majorHAnsi"/>
                <w:sz w:val="18"/>
                <w:szCs w:val="18"/>
                <w:lang w:eastAsia="pl-PL"/>
              </w:rPr>
              <w:t>-</w:t>
            </w:r>
          </w:p>
        </w:tc>
        <w:tc>
          <w:tcPr>
            <w:tcW w:w="514"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07A7E338" w14:textId="77777777" w:rsidR="00EA2B5F" w:rsidRPr="00F25EBD" w:rsidRDefault="00EA2B5F" w:rsidP="00F37B88">
            <w:pPr>
              <w:spacing w:after="0" w:line="240" w:lineRule="auto"/>
              <w:jc w:val="center"/>
              <w:rPr>
                <w:rFonts w:asciiTheme="majorHAnsi" w:eastAsia="Times New Roman" w:hAnsiTheme="majorHAnsi" w:cstheme="majorHAnsi"/>
                <w:sz w:val="18"/>
                <w:szCs w:val="18"/>
                <w:lang w:eastAsia="pl-PL"/>
              </w:rPr>
            </w:pPr>
            <w:r w:rsidRPr="00F25EBD">
              <w:rPr>
                <w:rFonts w:asciiTheme="majorHAnsi" w:eastAsia="Times New Roman" w:hAnsiTheme="majorHAnsi" w:cstheme="majorHAnsi"/>
                <w:sz w:val="18"/>
                <w:szCs w:val="18"/>
                <w:lang w:eastAsia="pl-PL"/>
              </w:rPr>
              <w:t>-64,6</w:t>
            </w:r>
          </w:p>
        </w:tc>
        <w:tc>
          <w:tcPr>
            <w:tcW w:w="356"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4EC488D3" w14:textId="77777777" w:rsidR="00EA2B5F" w:rsidRPr="00F25EBD" w:rsidRDefault="00EA2B5F" w:rsidP="00F37B88">
            <w:pPr>
              <w:spacing w:after="0" w:line="240" w:lineRule="auto"/>
              <w:jc w:val="center"/>
              <w:rPr>
                <w:rFonts w:asciiTheme="majorHAnsi" w:eastAsia="Times New Roman" w:hAnsiTheme="majorHAnsi" w:cstheme="majorHAnsi"/>
                <w:sz w:val="18"/>
                <w:szCs w:val="18"/>
                <w:lang w:eastAsia="pl-PL"/>
              </w:rPr>
            </w:pPr>
            <w:r w:rsidRPr="00F25EBD">
              <w:rPr>
                <w:rFonts w:asciiTheme="majorHAnsi" w:eastAsia="Times New Roman" w:hAnsiTheme="majorHAnsi" w:cstheme="majorHAnsi"/>
                <w:sz w:val="18"/>
                <w:szCs w:val="18"/>
                <w:lang w:eastAsia="pl-PL"/>
              </w:rPr>
              <w:t>-</w:t>
            </w:r>
          </w:p>
        </w:tc>
        <w:tc>
          <w:tcPr>
            <w:tcW w:w="514"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64C1EA4E" w14:textId="77777777" w:rsidR="00EA2B5F" w:rsidRPr="00F25EBD" w:rsidRDefault="00EA2B5F" w:rsidP="00F37B88">
            <w:pPr>
              <w:spacing w:after="0" w:line="240" w:lineRule="auto"/>
              <w:jc w:val="center"/>
              <w:rPr>
                <w:rFonts w:asciiTheme="majorHAnsi" w:eastAsia="Times New Roman" w:hAnsiTheme="majorHAnsi" w:cstheme="majorHAnsi"/>
                <w:sz w:val="18"/>
                <w:szCs w:val="18"/>
                <w:lang w:eastAsia="pl-PL"/>
              </w:rPr>
            </w:pPr>
            <w:r w:rsidRPr="00F25EBD">
              <w:rPr>
                <w:rFonts w:asciiTheme="majorHAnsi" w:eastAsia="Times New Roman" w:hAnsiTheme="majorHAnsi" w:cstheme="majorHAnsi"/>
                <w:sz w:val="18"/>
                <w:szCs w:val="18"/>
                <w:lang w:eastAsia="pl-PL"/>
              </w:rPr>
              <w:t>246,3</w:t>
            </w:r>
          </w:p>
        </w:tc>
        <w:tc>
          <w:tcPr>
            <w:tcW w:w="356"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7E46A280" w14:textId="77777777" w:rsidR="00EA2B5F" w:rsidRPr="00F25EBD" w:rsidRDefault="00EA2B5F" w:rsidP="00F37B88">
            <w:pPr>
              <w:spacing w:after="0" w:line="240" w:lineRule="auto"/>
              <w:jc w:val="center"/>
              <w:rPr>
                <w:rFonts w:asciiTheme="majorHAnsi" w:eastAsia="Times New Roman" w:hAnsiTheme="majorHAnsi" w:cstheme="majorHAnsi"/>
                <w:sz w:val="18"/>
                <w:szCs w:val="18"/>
                <w:lang w:eastAsia="pl-PL"/>
              </w:rPr>
            </w:pPr>
            <w:r w:rsidRPr="00F25EBD">
              <w:rPr>
                <w:rFonts w:asciiTheme="majorHAnsi" w:eastAsia="Times New Roman" w:hAnsiTheme="majorHAnsi" w:cstheme="majorHAnsi"/>
                <w:sz w:val="18"/>
                <w:szCs w:val="18"/>
                <w:lang w:eastAsia="pl-PL"/>
              </w:rPr>
              <w:t>-</w:t>
            </w:r>
          </w:p>
        </w:tc>
      </w:tr>
      <w:tr w:rsidR="00EA2B5F" w:rsidRPr="00F25EBD" w14:paraId="520A7EC9" w14:textId="77777777" w:rsidTr="00F37B88">
        <w:trPr>
          <w:trHeight w:val="240"/>
        </w:trPr>
        <w:tc>
          <w:tcPr>
            <w:tcW w:w="1047" w:type="pct"/>
            <w:vMerge w:val="restart"/>
            <w:tcBorders>
              <w:top w:val="single" w:sz="4" w:space="0" w:color="808080" w:themeColor="background1" w:themeShade="80"/>
              <w:bottom w:val="single" w:sz="4" w:space="0" w:color="808080" w:themeColor="background1" w:themeShade="80"/>
            </w:tcBorders>
            <w:shd w:val="clear" w:color="auto" w:fill="auto"/>
            <w:vAlign w:val="center"/>
            <w:hideMark/>
          </w:tcPr>
          <w:p w14:paraId="6540189F" w14:textId="77777777" w:rsidR="00EA2B5F" w:rsidRPr="00F25EBD" w:rsidRDefault="00EA2B5F" w:rsidP="00F37B88">
            <w:pPr>
              <w:spacing w:after="0" w:line="240" w:lineRule="auto"/>
              <w:rPr>
                <w:rFonts w:asciiTheme="majorHAnsi" w:eastAsia="Times New Roman" w:hAnsiTheme="majorHAnsi" w:cstheme="majorHAnsi"/>
                <w:sz w:val="18"/>
                <w:szCs w:val="18"/>
                <w:lang w:eastAsia="pl-PL"/>
              </w:rPr>
            </w:pPr>
            <w:r w:rsidRPr="00F25EBD">
              <w:rPr>
                <w:rFonts w:asciiTheme="majorHAnsi" w:eastAsia="Times New Roman" w:hAnsiTheme="majorHAnsi" w:cstheme="majorHAnsi"/>
                <w:sz w:val="18"/>
                <w:szCs w:val="18"/>
                <w:lang w:eastAsia="pl-PL"/>
              </w:rPr>
              <w:t>Dział 852</w:t>
            </w:r>
          </w:p>
          <w:p w14:paraId="66FD7CFA" w14:textId="77777777" w:rsidR="00EA2B5F" w:rsidRPr="00F25EBD" w:rsidRDefault="00EA2B5F" w:rsidP="00F37B88">
            <w:pPr>
              <w:spacing w:after="0" w:line="240" w:lineRule="auto"/>
              <w:rPr>
                <w:rFonts w:asciiTheme="majorHAnsi" w:eastAsia="Times New Roman" w:hAnsiTheme="majorHAnsi" w:cstheme="majorHAnsi"/>
                <w:sz w:val="18"/>
                <w:szCs w:val="18"/>
                <w:lang w:eastAsia="pl-PL"/>
              </w:rPr>
            </w:pPr>
            <w:r w:rsidRPr="00F25EBD">
              <w:rPr>
                <w:rFonts w:asciiTheme="majorHAnsi" w:eastAsia="Times New Roman" w:hAnsiTheme="majorHAnsi" w:cstheme="majorHAnsi"/>
                <w:sz w:val="18"/>
                <w:szCs w:val="18"/>
                <w:lang w:eastAsia="pl-PL"/>
              </w:rPr>
              <w:t>Pomoc społeczna</w:t>
            </w:r>
          </w:p>
        </w:tc>
        <w:tc>
          <w:tcPr>
            <w:tcW w:w="474"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25B06E45" w14:textId="77777777" w:rsidR="00EA2B5F" w:rsidRPr="00F25EBD" w:rsidRDefault="00EA2B5F" w:rsidP="00F37B88">
            <w:pPr>
              <w:spacing w:after="0" w:line="240" w:lineRule="auto"/>
              <w:jc w:val="center"/>
              <w:rPr>
                <w:rFonts w:asciiTheme="majorHAnsi" w:eastAsia="Times New Roman" w:hAnsiTheme="majorHAnsi" w:cstheme="majorHAnsi"/>
                <w:sz w:val="18"/>
                <w:szCs w:val="18"/>
                <w:lang w:eastAsia="pl-PL"/>
              </w:rPr>
            </w:pPr>
            <w:r w:rsidRPr="00F25EBD">
              <w:rPr>
                <w:rFonts w:asciiTheme="majorHAnsi" w:eastAsia="Times New Roman" w:hAnsiTheme="majorHAnsi" w:cstheme="majorHAnsi"/>
                <w:sz w:val="18"/>
                <w:szCs w:val="18"/>
                <w:lang w:eastAsia="pl-PL"/>
              </w:rPr>
              <w:t>2010</w:t>
            </w:r>
          </w:p>
        </w:tc>
        <w:tc>
          <w:tcPr>
            <w:tcW w:w="514"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7C8312AC" w14:textId="77777777" w:rsidR="00EA2B5F" w:rsidRPr="00F25EBD" w:rsidRDefault="00EA2B5F" w:rsidP="00F37B88">
            <w:pPr>
              <w:spacing w:after="0" w:line="240" w:lineRule="auto"/>
              <w:jc w:val="center"/>
              <w:rPr>
                <w:rFonts w:asciiTheme="majorHAnsi" w:eastAsia="Times New Roman" w:hAnsiTheme="majorHAnsi" w:cstheme="majorHAnsi"/>
                <w:sz w:val="16"/>
                <w:szCs w:val="16"/>
                <w:lang w:eastAsia="pl-PL"/>
              </w:rPr>
            </w:pPr>
            <w:r w:rsidRPr="00F25EBD">
              <w:rPr>
                <w:rFonts w:asciiTheme="majorHAnsi" w:eastAsia="Times New Roman" w:hAnsiTheme="majorHAnsi" w:cstheme="majorHAnsi"/>
                <w:sz w:val="16"/>
                <w:szCs w:val="16"/>
                <w:lang w:eastAsia="pl-PL"/>
              </w:rPr>
              <w:t>6.765.429,8</w:t>
            </w:r>
          </w:p>
        </w:tc>
        <w:tc>
          <w:tcPr>
            <w:tcW w:w="356"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4B7046DF" w14:textId="77777777" w:rsidR="00EA2B5F" w:rsidRPr="00F25EBD" w:rsidRDefault="00EA2B5F" w:rsidP="00F37B88">
            <w:pPr>
              <w:spacing w:after="0" w:line="240" w:lineRule="auto"/>
              <w:jc w:val="center"/>
              <w:rPr>
                <w:rFonts w:asciiTheme="majorHAnsi" w:eastAsia="Times New Roman" w:hAnsiTheme="majorHAnsi" w:cstheme="majorHAnsi"/>
                <w:sz w:val="18"/>
                <w:szCs w:val="18"/>
                <w:lang w:eastAsia="pl-PL"/>
              </w:rPr>
            </w:pPr>
            <w:r w:rsidRPr="00F25EBD">
              <w:rPr>
                <w:rFonts w:asciiTheme="majorHAnsi" w:eastAsia="Times New Roman" w:hAnsiTheme="majorHAnsi" w:cstheme="majorHAnsi"/>
                <w:sz w:val="18"/>
                <w:szCs w:val="18"/>
                <w:lang w:eastAsia="pl-PL"/>
              </w:rPr>
              <w:t>12,3</w:t>
            </w:r>
          </w:p>
        </w:tc>
        <w:tc>
          <w:tcPr>
            <w:tcW w:w="514"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2D5BB28D" w14:textId="77777777" w:rsidR="00EA2B5F" w:rsidRPr="00F25EBD" w:rsidRDefault="00EA2B5F" w:rsidP="00F37B88">
            <w:pPr>
              <w:spacing w:after="0" w:line="240" w:lineRule="auto"/>
              <w:jc w:val="center"/>
              <w:rPr>
                <w:rFonts w:asciiTheme="majorHAnsi" w:eastAsia="Times New Roman" w:hAnsiTheme="majorHAnsi" w:cstheme="majorHAnsi"/>
                <w:sz w:val="16"/>
                <w:szCs w:val="16"/>
                <w:lang w:eastAsia="pl-PL"/>
              </w:rPr>
            </w:pPr>
            <w:r w:rsidRPr="00F25EBD">
              <w:rPr>
                <w:rFonts w:asciiTheme="majorHAnsi" w:eastAsia="Times New Roman" w:hAnsiTheme="majorHAnsi" w:cstheme="majorHAnsi"/>
                <w:sz w:val="16"/>
                <w:szCs w:val="16"/>
                <w:lang w:eastAsia="pl-PL"/>
              </w:rPr>
              <w:t>3.058.528,4</w:t>
            </w:r>
          </w:p>
        </w:tc>
        <w:tc>
          <w:tcPr>
            <w:tcW w:w="356"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31DDA763" w14:textId="77777777" w:rsidR="00EA2B5F" w:rsidRPr="00F25EBD" w:rsidRDefault="00EA2B5F" w:rsidP="00F37B88">
            <w:pPr>
              <w:spacing w:after="0" w:line="240" w:lineRule="auto"/>
              <w:jc w:val="center"/>
              <w:rPr>
                <w:rFonts w:asciiTheme="majorHAnsi" w:eastAsia="Times New Roman" w:hAnsiTheme="majorHAnsi" w:cstheme="majorHAnsi"/>
                <w:sz w:val="18"/>
                <w:szCs w:val="18"/>
                <w:lang w:eastAsia="pl-PL"/>
              </w:rPr>
            </w:pPr>
            <w:r w:rsidRPr="00F25EBD">
              <w:rPr>
                <w:rFonts w:asciiTheme="majorHAnsi" w:eastAsia="Times New Roman" w:hAnsiTheme="majorHAnsi" w:cstheme="majorHAnsi"/>
                <w:sz w:val="18"/>
                <w:szCs w:val="18"/>
                <w:lang w:eastAsia="pl-PL"/>
              </w:rPr>
              <w:t>6,5</w:t>
            </w:r>
          </w:p>
        </w:tc>
        <w:tc>
          <w:tcPr>
            <w:tcW w:w="514"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1F6B447A" w14:textId="77777777" w:rsidR="00EA2B5F" w:rsidRPr="00F25EBD" w:rsidRDefault="00EA2B5F" w:rsidP="00F37B88">
            <w:pPr>
              <w:spacing w:after="0" w:line="240" w:lineRule="auto"/>
              <w:jc w:val="center"/>
              <w:rPr>
                <w:rFonts w:asciiTheme="majorHAnsi" w:eastAsia="Times New Roman" w:hAnsiTheme="majorHAnsi" w:cstheme="majorHAnsi"/>
                <w:sz w:val="16"/>
                <w:szCs w:val="16"/>
                <w:lang w:eastAsia="pl-PL"/>
              </w:rPr>
            </w:pPr>
            <w:r w:rsidRPr="00F25EBD">
              <w:rPr>
                <w:rFonts w:asciiTheme="majorHAnsi" w:eastAsia="Times New Roman" w:hAnsiTheme="majorHAnsi" w:cstheme="majorHAnsi"/>
                <w:sz w:val="16"/>
                <w:szCs w:val="16"/>
                <w:lang w:eastAsia="pl-PL"/>
              </w:rPr>
              <w:t>2.525.515,8</w:t>
            </w:r>
          </w:p>
        </w:tc>
        <w:tc>
          <w:tcPr>
            <w:tcW w:w="356"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712EC90B" w14:textId="77777777" w:rsidR="00EA2B5F" w:rsidRPr="00F25EBD" w:rsidRDefault="00EA2B5F" w:rsidP="00F37B88">
            <w:pPr>
              <w:spacing w:after="0" w:line="240" w:lineRule="auto"/>
              <w:jc w:val="center"/>
              <w:rPr>
                <w:rFonts w:asciiTheme="majorHAnsi" w:eastAsia="Times New Roman" w:hAnsiTheme="majorHAnsi" w:cstheme="majorHAnsi"/>
                <w:sz w:val="18"/>
                <w:szCs w:val="18"/>
                <w:lang w:eastAsia="pl-PL"/>
              </w:rPr>
            </w:pPr>
            <w:r w:rsidRPr="00F25EBD">
              <w:rPr>
                <w:rFonts w:asciiTheme="majorHAnsi" w:eastAsia="Times New Roman" w:hAnsiTheme="majorHAnsi" w:cstheme="majorHAnsi"/>
                <w:sz w:val="18"/>
                <w:szCs w:val="18"/>
                <w:lang w:eastAsia="pl-PL"/>
              </w:rPr>
              <w:t>3,8</w:t>
            </w:r>
          </w:p>
        </w:tc>
        <w:tc>
          <w:tcPr>
            <w:tcW w:w="514"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2AE3AB33" w14:textId="77777777" w:rsidR="00EA2B5F" w:rsidRPr="00F25EBD" w:rsidRDefault="00EA2B5F" w:rsidP="00F37B88">
            <w:pPr>
              <w:spacing w:after="0" w:line="240" w:lineRule="auto"/>
              <w:jc w:val="center"/>
              <w:rPr>
                <w:rFonts w:asciiTheme="majorHAnsi" w:eastAsia="Times New Roman" w:hAnsiTheme="majorHAnsi" w:cstheme="majorHAnsi"/>
                <w:sz w:val="16"/>
                <w:szCs w:val="16"/>
                <w:lang w:eastAsia="pl-PL"/>
              </w:rPr>
            </w:pPr>
            <w:r w:rsidRPr="00F25EBD">
              <w:rPr>
                <w:rFonts w:asciiTheme="majorHAnsi" w:eastAsia="Times New Roman" w:hAnsiTheme="majorHAnsi" w:cstheme="majorHAnsi"/>
                <w:sz w:val="16"/>
                <w:szCs w:val="16"/>
                <w:lang w:eastAsia="pl-PL"/>
              </w:rPr>
              <w:t>15.650.252,5</w:t>
            </w:r>
          </w:p>
        </w:tc>
        <w:tc>
          <w:tcPr>
            <w:tcW w:w="356"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7B2B9545" w14:textId="77777777" w:rsidR="00EA2B5F" w:rsidRPr="00F25EBD" w:rsidRDefault="00EA2B5F" w:rsidP="00F37B88">
            <w:pPr>
              <w:spacing w:after="0" w:line="240" w:lineRule="auto"/>
              <w:jc w:val="center"/>
              <w:rPr>
                <w:rFonts w:asciiTheme="majorHAnsi" w:eastAsia="Times New Roman" w:hAnsiTheme="majorHAnsi" w:cstheme="majorHAnsi"/>
                <w:sz w:val="18"/>
                <w:szCs w:val="18"/>
                <w:lang w:eastAsia="pl-PL"/>
              </w:rPr>
            </w:pPr>
            <w:r w:rsidRPr="00F25EBD">
              <w:rPr>
                <w:rFonts w:asciiTheme="majorHAnsi" w:eastAsia="Times New Roman" w:hAnsiTheme="majorHAnsi" w:cstheme="majorHAnsi"/>
                <w:sz w:val="18"/>
                <w:szCs w:val="18"/>
                <w:lang w:eastAsia="pl-PL"/>
              </w:rPr>
              <w:t>16,2</w:t>
            </w:r>
          </w:p>
        </w:tc>
      </w:tr>
      <w:tr w:rsidR="00EA2B5F" w:rsidRPr="00F25EBD" w14:paraId="1CFA44B7" w14:textId="77777777" w:rsidTr="00F37B88">
        <w:trPr>
          <w:trHeight w:val="240"/>
        </w:trPr>
        <w:tc>
          <w:tcPr>
            <w:tcW w:w="1047" w:type="pct"/>
            <w:vMerge/>
            <w:tcBorders>
              <w:top w:val="single" w:sz="4" w:space="0" w:color="808080" w:themeColor="background1" w:themeShade="80"/>
              <w:bottom w:val="single" w:sz="4" w:space="0" w:color="808080" w:themeColor="background1" w:themeShade="80"/>
            </w:tcBorders>
            <w:vAlign w:val="center"/>
            <w:hideMark/>
          </w:tcPr>
          <w:p w14:paraId="77AED5A2" w14:textId="77777777" w:rsidR="00EA2B5F" w:rsidRPr="00F25EBD" w:rsidRDefault="00EA2B5F" w:rsidP="00F37B88">
            <w:pPr>
              <w:spacing w:after="0" w:line="240" w:lineRule="auto"/>
              <w:rPr>
                <w:rFonts w:asciiTheme="majorHAnsi" w:eastAsia="Times New Roman" w:hAnsiTheme="majorHAnsi" w:cstheme="majorHAnsi"/>
                <w:sz w:val="18"/>
                <w:szCs w:val="18"/>
                <w:lang w:eastAsia="pl-PL"/>
              </w:rPr>
            </w:pPr>
          </w:p>
        </w:tc>
        <w:tc>
          <w:tcPr>
            <w:tcW w:w="474"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0946A848" w14:textId="77777777" w:rsidR="00EA2B5F" w:rsidRPr="00F25EBD" w:rsidRDefault="00EA2B5F" w:rsidP="00F37B88">
            <w:pPr>
              <w:spacing w:after="0" w:line="240" w:lineRule="auto"/>
              <w:jc w:val="center"/>
              <w:rPr>
                <w:rFonts w:asciiTheme="majorHAnsi" w:eastAsia="Times New Roman" w:hAnsiTheme="majorHAnsi" w:cstheme="majorHAnsi"/>
                <w:sz w:val="18"/>
                <w:szCs w:val="18"/>
                <w:lang w:eastAsia="pl-PL"/>
              </w:rPr>
            </w:pPr>
            <w:r w:rsidRPr="00F25EBD">
              <w:rPr>
                <w:rFonts w:asciiTheme="majorHAnsi" w:eastAsia="Times New Roman" w:hAnsiTheme="majorHAnsi" w:cstheme="majorHAnsi"/>
                <w:sz w:val="18"/>
                <w:szCs w:val="18"/>
                <w:lang w:eastAsia="pl-PL"/>
              </w:rPr>
              <w:t>2019</w:t>
            </w:r>
          </w:p>
        </w:tc>
        <w:tc>
          <w:tcPr>
            <w:tcW w:w="514"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76B29284" w14:textId="77777777" w:rsidR="00EA2B5F" w:rsidRPr="00F25EBD" w:rsidRDefault="00EA2B5F" w:rsidP="00F37B88">
            <w:pPr>
              <w:spacing w:after="0" w:line="240" w:lineRule="auto"/>
              <w:jc w:val="center"/>
              <w:rPr>
                <w:rFonts w:asciiTheme="majorHAnsi" w:eastAsia="Times New Roman" w:hAnsiTheme="majorHAnsi" w:cstheme="majorHAnsi"/>
                <w:sz w:val="16"/>
                <w:szCs w:val="16"/>
                <w:lang w:eastAsia="pl-PL"/>
              </w:rPr>
            </w:pPr>
            <w:r w:rsidRPr="00F25EBD">
              <w:rPr>
                <w:rFonts w:asciiTheme="majorHAnsi" w:eastAsia="Times New Roman" w:hAnsiTheme="majorHAnsi" w:cstheme="majorHAnsi"/>
                <w:sz w:val="16"/>
                <w:szCs w:val="16"/>
                <w:lang w:eastAsia="pl-PL"/>
              </w:rPr>
              <w:t>5.071.007,2</w:t>
            </w:r>
          </w:p>
        </w:tc>
        <w:tc>
          <w:tcPr>
            <w:tcW w:w="356"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3BABD348" w14:textId="77777777" w:rsidR="00EA2B5F" w:rsidRPr="00F25EBD" w:rsidRDefault="00EA2B5F" w:rsidP="00F37B88">
            <w:pPr>
              <w:spacing w:after="0" w:line="240" w:lineRule="auto"/>
              <w:jc w:val="center"/>
              <w:rPr>
                <w:rFonts w:asciiTheme="majorHAnsi" w:eastAsia="Times New Roman" w:hAnsiTheme="majorHAnsi" w:cstheme="majorHAnsi"/>
                <w:sz w:val="18"/>
                <w:szCs w:val="18"/>
                <w:lang w:eastAsia="pl-PL"/>
              </w:rPr>
            </w:pPr>
            <w:r w:rsidRPr="00F25EBD">
              <w:rPr>
                <w:rFonts w:asciiTheme="majorHAnsi" w:eastAsia="Times New Roman" w:hAnsiTheme="majorHAnsi" w:cstheme="majorHAnsi"/>
                <w:sz w:val="18"/>
                <w:szCs w:val="18"/>
                <w:lang w:eastAsia="pl-PL"/>
              </w:rPr>
              <w:t>7,0</w:t>
            </w:r>
          </w:p>
        </w:tc>
        <w:tc>
          <w:tcPr>
            <w:tcW w:w="514"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49D5386A" w14:textId="77777777" w:rsidR="00EA2B5F" w:rsidRPr="00F25EBD" w:rsidRDefault="00EA2B5F" w:rsidP="00F37B88">
            <w:pPr>
              <w:spacing w:after="0" w:line="240" w:lineRule="auto"/>
              <w:jc w:val="center"/>
              <w:rPr>
                <w:rFonts w:asciiTheme="majorHAnsi" w:eastAsia="Times New Roman" w:hAnsiTheme="majorHAnsi" w:cstheme="majorHAnsi"/>
                <w:sz w:val="16"/>
                <w:szCs w:val="16"/>
                <w:lang w:eastAsia="pl-PL"/>
              </w:rPr>
            </w:pPr>
            <w:r w:rsidRPr="00F25EBD">
              <w:rPr>
                <w:rFonts w:asciiTheme="majorHAnsi" w:eastAsia="Times New Roman" w:hAnsiTheme="majorHAnsi" w:cstheme="majorHAnsi"/>
                <w:sz w:val="16"/>
                <w:szCs w:val="16"/>
                <w:lang w:eastAsia="pl-PL"/>
              </w:rPr>
              <w:t>2.634.296,2</w:t>
            </w:r>
          </w:p>
        </w:tc>
        <w:tc>
          <w:tcPr>
            <w:tcW w:w="356"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13E20A62" w14:textId="77777777" w:rsidR="00EA2B5F" w:rsidRPr="00F25EBD" w:rsidRDefault="00EA2B5F" w:rsidP="00F37B88">
            <w:pPr>
              <w:spacing w:after="0" w:line="240" w:lineRule="auto"/>
              <w:jc w:val="center"/>
              <w:rPr>
                <w:rFonts w:asciiTheme="majorHAnsi" w:eastAsia="Times New Roman" w:hAnsiTheme="majorHAnsi" w:cstheme="majorHAnsi"/>
                <w:sz w:val="18"/>
                <w:szCs w:val="18"/>
                <w:lang w:eastAsia="pl-PL"/>
              </w:rPr>
            </w:pPr>
            <w:r w:rsidRPr="00F25EBD">
              <w:rPr>
                <w:rFonts w:asciiTheme="majorHAnsi" w:eastAsia="Times New Roman" w:hAnsiTheme="majorHAnsi" w:cstheme="majorHAnsi"/>
                <w:sz w:val="18"/>
                <w:szCs w:val="18"/>
                <w:lang w:eastAsia="pl-PL"/>
              </w:rPr>
              <w:t>5,4</w:t>
            </w:r>
          </w:p>
        </w:tc>
        <w:tc>
          <w:tcPr>
            <w:tcW w:w="514"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61B51D34" w14:textId="77777777" w:rsidR="00EA2B5F" w:rsidRPr="00F25EBD" w:rsidRDefault="00EA2B5F" w:rsidP="00F37B88">
            <w:pPr>
              <w:spacing w:after="0" w:line="240" w:lineRule="auto"/>
              <w:jc w:val="center"/>
              <w:rPr>
                <w:rFonts w:asciiTheme="majorHAnsi" w:eastAsia="Times New Roman" w:hAnsiTheme="majorHAnsi" w:cstheme="majorHAnsi"/>
                <w:sz w:val="16"/>
                <w:szCs w:val="16"/>
                <w:lang w:eastAsia="pl-PL"/>
              </w:rPr>
            </w:pPr>
            <w:r w:rsidRPr="00F25EBD">
              <w:rPr>
                <w:rFonts w:asciiTheme="majorHAnsi" w:eastAsia="Times New Roman" w:hAnsiTheme="majorHAnsi" w:cstheme="majorHAnsi"/>
                <w:sz w:val="16"/>
                <w:szCs w:val="16"/>
                <w:lang w:eastAsia="pl-PL"/>
              </w:rPr>
              <w:t>2.731.535,3</w:t>
            </w:r>
          </w:p>
        </w:tc>
        <w:tc>
          <w:tcPr>
            <w:tcW w:w="356"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7C2E384B" w14:textId="77777777" w:rsidR="00EA2B5F" w:rsidRPr="00F25EBD" w:rsidRDefault="00EA2B5F" w:rsidP="00F37B88">
            <w:pPr>
              <w:spacing w:after="0" w:line="240" w:lineRule="auto"/>
              <w:jc w:val="center"/>
              <w:rPr>
                <w:rFonts w:asciiTheme="majorHAnsi" w:eastAsia="Times New Roman" w:hAnsiTheme="majorHAnsi" w:cstheme="majorHAnsi"/>
                <w:sz w:val="18"/>
                <w:szCs w:val="18"/>
                <w:lang w:eastAsia="pl-PL"/>
              </w:rPr>
            </w:pPr>
            <w:r w:rsidRPr="00F25EBD">
              <w:rPr>
                <w:rFonts w:asciiTheme="majorHAnsi" w:eastAsia="Times New Roman" w:hAnsiTheme="majorHAnsi" w:cstheme="majorHAnsi"/>
                <w:sz w:val="18"/>
                <w:szCs w:val="18"/>
                <w:lang w:eastAsia="pl-PL"/>
              </w:rPr>
              <w:t>3,7</w:t>
            </w:r>
          </w:p>
        </w:tc>
        <w:tc>
          <w:tcPr>
            <w:tcW w:w="514"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14327E60" w14:textId="77777777" w:rsidR="00EA2B5F" w:rsidRPr="00F25EBD" w:rsidRDefault="00EA2B5F" w:rsidP="00F37B88">
            <w:pPr>
              <w:spacing w:after="0" w:line="240" w:lineRule="auto"/>
              <w:jc w:val="center"/>
              <w:rPr>
                <w:rFonts w:asciiTheme="majorHAnsi" w:eastAsia="Times New Roman" w:hAnsiTheme="majorHAnsi" w:cstheme="majorHAnsi"/>
                <w:sz w:val="16"/>
                <w:szCs w:val="16"/>
                <w:lang w:eastAsia="pl-PL"/>
              </w:rPr>
            </w:pPr>
            <w:r w:rsidRPr="00F25EBD">
              <w:rPr>
                <w:rFonts w:asciiTheme="majorHAnsi" w:eastAsia="Times New Roman" w:hAnsiTheme="majorHAnsi" w:cstheme="majorHAnsi"/>
                <w:sz w:val="16"/>
                <w:szCs w:val="16"/>
                <w:lang w:eastAsia="pl-PL"/>
              </w:rPr>
              <w:t>12.174.156,5</w:t>
            </w:r>
          </w:p>
        </w:tc>
        <w:tc>
          <w:tcPr>
            <w:tcW w:w="356"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7026D65B" w14:textId="77777777" w:rsidR="00EA2B5F" w:rsidRPr="00F25EBD" w:rsidRDefault="00EA2B5F" w:rsidP="00F37B88">
            <w:pPr>
              <w:spacing w:after="0" w:line="240" w:lineRule="auto"/>
              <w:jc w:val="center"/>
              <w:rPr>
                <w:rFonts w:asciiTheme="majorHAnsi" w:eastAsia="Times New Roman" w:hAnsiTheme="majorHAnsi" w:cstheme="majorHAnsi"/>
                <w:sz w:val="18"/>
                <w:szCs w:val="18"/>
                <w:lang w:eastAsia="pl-PL"/>
              </w:rPr>
            </w:pPr>
            <w:r w:rsidRPr="00F25EBD">
              <w:rPr>
                <w:rFonts w:asciiTheme="majorHAnsi" w:eastAsia="Times New Roman" w:hAnsiTheme="majorHAnsi" w:cstheme="majorHAnsi"/>
                <w:sz w:val="18"/>
                <w:szCs w:val="18"/>
                <w:lang w:eastAsia="pl-PL"/>
              </w:rPr>
              <w:t>12,8</w:t>
            </w:r>
          </w:p>
        </w:tc>
      </w:tr>
      <w:tr w:rsidR="00EA2B5F" w:rsidRPr="00F25EBD" w14:paraId="174BC5E8" w14:textId="77777777" w:rsidTr="00F37B88">
        <w:trPr>
          <w:trHeight w:val="240"/>
        </w:trPr>
        <w:tc>
          <w:tcPr>
            <w:tcW w:w="1047" w:type="pct"/>
            <w:vMerge/>
            <w:tcBorders>
              <w:top w:val="single" w:sz="4" w:space="0" w:color="808080" w:themeColor="background1" w:themeShade="80"/>
              <w:bottom w:val="single" w:sz="4" w:space="0" w:color="808080" w:themeColor="background1" w:themeShade="80"/>
            </w:tcBorders>
            <w:vAlign w:val="center"/>
            <w:hideMark/>
          </w:tcPr>
          <w:p w14:paraId="482AEA6F" w14:textId="77777777" w:rsidR="00EA2B5F" w:rsidRPr="00F25EBD" w:rsidRDefault="00EA2B5F" w:rsidP="00F37B88">
            <w:pPr>
              <w:spacing w:after="0" w:line="240" w:lineRule="auto"/>
              <w:rPr>
                <w:rFonts w:asciiTheme="majorHAnsi" w:eastAsia="Times New Roman" w:hAnsiTheme="majorHAnsi" w:cstheme="majorHAnsi"/>
                <w:sz w:val="18"/>
                <w:szCs w:val="18"/>
                <w:lang w:eastAsia="pl-PL"/>
              </w:rPr>
            </w:pPr>
          </w:p>
        </w:tc>
        <w:tc>
          <w:tcPr>
            <w:tcW w:w="474"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317088E1" w14:textId="77777777" w:rsidR="00EA2B5F" w:rsidRPr="00F25EBD" w:rsidRDefault="00EA2B5F" w:rsidP="00F37B88">
            <w:pPr>
              <w:spacing w:after="0" w:line="240" w:lineRule="auto"/>
              <w:jc w:val="center"/>
              <w:rPr>
                <w:rFonts w:asciiTheme="majorHAnsi" w:eastAsia="Times New Roman" w:hAnsiTheme="majorHAnsi" w:cstheme="majorHAnsi"/>
                <w:sz w:val="18"/>
                <w:szCs w:val="18"/>
                <w:lang w:eastAsia="pl-PL"/>
              </w:rPr>
            </w:pPr>
            <w:r w:rsidRPr="00F25EBD">
              <w:rPr>
                <w:rFonts w:asciiTheme="majorHAnsi" w:eastAsia="Times New Roman" w:hAnsiTheme="majorHAnsi" w:cstheme="majorHAnsi"/>
                <w:sz w:val="18"/>
                <w:szCs w:val="18"/>
                <w:lang w:eastAsia="pl-PL"/>
              </w:rPr>
              <w:t xml:space="preserve">zmiana </w:t>
            </w:r>
            <w:r w:rsidRPr="00F25EBD">
              <w:rPr>
                <w:rFonts w:asciiTheme="majorHAnsi" w:eastAsia="Times New Roman" w:hAnsiTheme="majorHAnsi" w:cstheme="majorHAnsi"/>
                <w:sz w:val="18"/>
                <w:szCs w:val="18"/>
                <w:lang w:eastAsia="pl-PL"/>
              </w:rPr>
              <w:br/>
              <w:t>w %</w:t>
            </w:r>
          </w:p>
        </w:tc>
        <w:tc>
          <w:tcPr>
            <w:tcW w:w="514"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453FF070" w14:textId="77777777" w:rsidR="00EA2B5F" w:rsidRPr="00F25EBD" w:rsidRDefault="00EA2B5F" w:rsidP="00F37B88">
            <w:pPr>
              <w:spacing w:after="0" w:line="240" w:lineRule="auto"/>
              <w:jc w:val="center"/>
              <w:rPr>
                <w:rFonts w:asciiTheme="majorHAnsi" w:eastAsia="Times New Roman" w:hAnsiTheme="majorHAnsi" w:cstheme="majorHAnsi"/>
                <w:sz w:val="18"/>
                <w:szCs w:val="18"/>
                <w:lang w:eastAsia="pl-PL"/>
              </w:rPr>
            </w:pPr>
            <w:r w:rsidRPr="00F25EBD">
              <w:rPr>
                <w:rFonts w:asciiTheme="majorHAnsi" w:eastAsia="Times New Roman" w:hAnsiTheme="majorHAnsi" w:cstheme="majorHAnsi"/>
                <w:sz w:val="18"/>
                <w:szCs w:val="18"/>
                <w:lang w:eastAsia="pl-PL"/>
              </w:rPr>
              <w:t>-25,0</w:t>
            </w:r>
          </w:p>
        </w:tc>
        <w:tc>
          <w:tcPr>
            <w:tcW w:w="356"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40F7C437" w14:textId="77777777" w:rsidR="00EA2B5F" w:rsidRPr="00F25EBD" w:rsidRDefault="00EA2B5F" w:rsidP="00F37B88">
            <w:pPr>
              <w:spacing w:after="0" w:line="240" w:lineRule="auto"/>
              <w:jc w:val="center"/>
              <w:rPr>
                <w:rFonts w:asciiTheme="majorHAnsi" w:eastAsia="Times New Roman" w:hAnsiTheme="majorHAnsi" w:cstheme="majorHAnsi"/>
                <w:sz w:val="18"/>
                <w:szCs w:val="18"/>
                <w:lang w:eastAsia="pl-PL"/>
              </w:rPr>
            </w:pPr>
            <w:r w:rsidRPr="00F25EBD">
              <w:rPr>
                <w:rFonts w:asciiTheme="majorHAnsi" w:eastAsia="Times New Roman" w:hAnsiTheme="majorHAnsi" w:cstheme="majorHAnsi"/>
                <w:sz w:val="18"/>
                <w:szCs w:val="18"/>
                <w:lang w:eastAsia="pl-PL"/>
              </w:rPr>
              <w:t>-</w:t>
            </w:r>
          </w:p>
        </w:tc>
        <w:tc>
          <w:tcPr>
            <w:tcW w:w="514"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7C2F4F6A" w14:textId="77777777" w:rsidR="00EA2B5F" w:rsidRPr="00F25EBD" w:rsidRDefault="00EA2B5F" w:rsidP="00F37B88">
            <w:pPr>
              <w:spacing w:after="0" w:line="240" w:lineRule="auto"/>
              <w:jc w:val="center"/>
              <w:rPr>
                <w:rFonts w:asciiTheme="majorHAnsi" w:eastAsia="Times New Roman" w:hAnsiTheme="majorHAnsi" w:cstheme="majorHAnsi"/>
                <w:sz w:val="18"/>
                <w:szCs w:val="18"/>
                <w:lang w:eastAsia="pl-PL"/>
              </w:rPr>
            </w:pPr>
            <w:r w:rsidRPr="00F25EBD">
              <w:rPr>
                <w:rFonts w:asciiTheme="majorHAnsi" w:eastAsia="Times New Roman" w:hAnsiTheme="majorHAnsi" w:cstheme="majorHAnsi"/>
                <w:sz w:val="18"/>
                <w:szCs w:val="18"/>
                <w:lang w:eastAsia="pl-PL"/>
              </w:rPr>
              <w:t>-13,9</w:t>
            </w:r>
          </w:p>
        </w:tc>
        <w:tc>
          <w:tcPr>
            <w:tcW w:w="356"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3E0682C1" w14:textId="77777777" w:rsidR="00EA2B5F" w:rsidRPr="00F25EBD" w:rsidRDefault="00EA2B5F" w:rsidP="00F37B88">
            <w:pPr>
              <w:spacing w:after="0" w:line="240" w:lineRule="auto"/>
              <w:jc w:val="center"/>
              <w:rPr>
                <w:rFonts w:asciiTheme="majorHAnsi" w:eastAsia="Times New Roman" w:hAnsiTheme="majorHAnsi" w:cstheme="majorHAnsi"/>
                <w:sz w:val="18"/>
                <w:szCs w:val="18"/>
                <w:lang w:eastAsia="pl-PL"/>
              </w:rPr>
            </w:pPr>
            <w:r w:rsidRPr="00F25EBD">
              <w:rPr>
                <w:rFonts w:asciiTheme="majorHAnsi" w:eastAsia="Times New Roman" w:hAnsiTheme="majorHAnsi" w:cstheme="majorHAnsi"/>
                <w:sz w:val="18"/>
                <w:szCs w:val="18"/>
                <w:lang w:eastAsia="pl-PL"/>
              </w:rPr>
              <w:t>-</w:t>
            </w:r>
          </w:p>
        </w:tc>
        <w:tc>
          <w:tcPr>
            <w:tcW w:w="514"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1AD2F9A9" w14:textId="77777777" w:rsidR="00EA2B5F" w:rsidRPr="00F25EBD" w:rsidRDefault="00EA2B5F" w:rsidP="00F37B88">
            <w:pPr>
              <w:spacing w:after="0" w:line="240" w:lineRule="auto"/>
              <w:jc w:val="center"/>
              <w:rPr>
                <w:rFonts w:asciiTheme="majorHAnsi" w:eastAsia="Times New Roman" w:hAnsiTheme="majorHAnsi" w:cstheme="majorHAnsi"/>
                <w:sz w:val="18"/>
                <w:szCs w:val="18"/>
                <w:lang w:eastAsia="pl-PL"/>
              </w:rPr>
            </w:pPr>
            <w:r w:rsidRPr="00F25EBD">
              <w:rPr>
                <w:rFonts w:asciiTheme="majorHAnsi" w:eastAsia="Times New Roman" w:hAnsiTheme="majorHAnsi" w:cstheme="majorHAnsi"/>
                <w:sz w:val="18"/>
                <w:szCs w:val="18"/>
                <w:lang w:eastAsia="pl-PL"/>
              </w:rPr>
              <w:t>8,2</w:t>
            </w:r>
          </w:p>
        </w:tc>
        <w:tc>
          <w:tcPr>
            <w:tcW w:w="356"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2AC0902D" w14:textId="77777777" w:rsidR="00EA2B5F" w:rsidRPr="00F25EBD" w:rsidRDefault="00EA2B5F" w:rsidP="00F37B88">
            <w:pPr>
              <w:spacing w:after="0" w:line="240" w:lineRule="auto"/>
              <w:jc w:val="center"/>
              <w:rPr>
                <w:rFonts w:asciiTheme="majorHAnsi" w:eastAsia="Times New Roman" w:hAnsiTheme="majorHAnsi" w:cstheme="majorHAnsi"/>
                <w:sz w:val="18"/>
                <w:szCs w:val="18"/>
                <w:lang w:eastAsia="pl-PL"/>
              </w:rPr>
            </w:pPr>
            <w:r w:rsidRPr="00F25EBD">
              <w:rPr>
                <w:rFonts w:asciiTheme="majorHAnsi" w:eastAsia="Times New Roman" w:hAnsiTheme="majorHAnsi" w:cstheme="majorHAnsi"/>
                <w:sz w:val="18"/>
                <w:szCs w:val="18"/>
                <w:lang w:eastAsia="pl-PL"/>
              </w:rPr>
              <w:t>-</w:t>
            </w:r>
          </w:p>
        </w:tc>
        <w:tc>
          <w:tcPr>
            <w:tcW w:w="514"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3867E8A3" w14:textId="77777777" w:rsidR="00EA2B5F" w:rsidRPr="00F25EBD" w:rsidRDefault="00EA2B5F" w:rsidP="00F37B88">
            <w:pPr>
              <w:spacing w:after="0" w:line="240" w:lineRule="auto"/>
              <w:jc w:val="center"/>
              <w:rPr>
                <w:rFonts w:asciiTheme="majorHAnsi" w:eastAsia="Times New Roman" w:hAnsiTheme="majorHAnsi" w:cstheme="majorHAnsi"/>
                <w:sz w:val="18"/>
                <w:szCs w:val="18"/>
                <w:lang w:eastAsia="pl-PL"/>
              </w:rPr>
            </w:pPr>
            <w:r w:rsidRPr="00F25EBD">
              <w:rPr>
                <w:rFonts w:asciiTheme="majorHAnsi" w:eastAsia="Times New Roman" w:hAnsiTheme="majorHAnsi" w:cstheme="majorHAnsi"/>
                <w:sz w:val="18"/>
                <w:szCs w:val="18"/>
                <w:lang w:eastAsia="pl-PL"/>
              </w:rPr>
              <w:t>-22,2</w:t>
            </w:r>
          </w:p>
        </w:tc>
        <w:tc>
          <w:tcPr>
            <w:tcW w:w="356"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05548A56" w14:textId="77777777" w:rsidR="00EA2B5F" w:rsidRPr="00F25EBD" w:rsidRDefault="00EA2B5F" w:rsidP="00F37B88">
            <w:pPr>
              <w:spacing w:after="0" w:line="240" w:lineRule="auto"/>
              <w:jc w:val="center"/>
              <w:rPr>
                <w:rFonts w:asciiTheme="majorHAnsi" w:eastAsia="Times New Roman" w:hAnsiTheme="majorHAnsi" w:cstheme="majorHAnsi"/>
                <w:sz w:val="18"/>
                <w:szCs w:val="18"/>
                <w:lang w:eastAsia="pl-PL"/>
              </w:rPr>
            </w:pPr>
            <w:r w:rsidRPr="00F25EBD">
              <w:rPr>
                <w:rFonts w:asciiTheme="majorHAnsi" w:eastAsia="Times New Roman" w:hAnsiTheme="majorHAnsi" w:cstheme="majorHAnsi"/>
                <w:sz w:val="18"/>
                <w:szCs w:val="18"/>
                <w:lang w:eastAsia="pl-PL"/>
              </w:rPr>
              <w:t>-</w:t>
            </w:r>
          </w:p>
        </w:tc>
      </w:tr>
      <w:tr w:rsidR="00EA2B5F" w:rsidRPr="00F25EBD" w14:paraId="54B10B2C" w14:textId="77777777" w:rsidTr="00F37B88">
        <w:trPr>
          <w:trHeight w:val="240"/>
        </w:trPr>
        <w:tc>
          <w:tcPr>
            <w:tcW w:w="1047" w:type="pct"/>
            <w:vMerge w:val="restart"/>
            <w:tcBorders>
              <w:top w:val="single" w:sz="4" w:space="0" w:color="808080" w:themeColor="background1" w:themeShade="80"/>
              <w:bottom w:val="single" w:sz="4" w:space="0" w:color="808080" w:themeColor="background1" w:themeShade="80"/>
            </w:tcBorders>
            <w:shd w:val="clear" w:color="auto" w:fill="auto"/>
            <w:vAlign w:val="center"/>
            <w:hideMark/>
          </w:tcPr>
          <w:p w14:paraId="50F425C1" w14:textId="77777777" w:rsidR="00EA2B5F" w:rsidRPr="00F25EBD" w:rsidRDefault="00EA2B5F" w:rsidP="00F37B88">
            <w:pPr>
              <w:spacing w:after="0" w:line="240" w:lineRule="auto"/>
              <w:rPr>
                <w:rFonts w:asciiTheme="majorHAnsi" w:eastAsia="Times New Roman" w:hAnsiTheme="majorHAnsi" w:cstheme="majorHAnsi"/>
                <w:sz w:val="18"/>
                <w:szCs w:val="18"/>
                <w:lang w:eastAsia="pl-PL"/>
              </w:rPr>
            </w:pPr>
            <w:r w:rsidRPr="00F25EBD">
              <w:rPr>
                <w:rFonts w:asciiTheme="majorHAnsi" w:eastAsia="Times New Roman" w:hAnsiTheme="majorHAnsi" w:cstheme="majorHAnsi"/>
                <w:sz w:val="18"/>
                <w:szCs w:val="18"/>
                <w:lang w:eastAsia="pl-PL"/>
              </w:rPr>
              <w:t>Dział 854</w:t>
            </w:r>
          </w:p>
          <w:p w14:paraId="41593A19" w14:textId="77777777" w:rsidR="00EA2B5F" w:rsidRPr="00F25EBD" w:rsidRDefault="00EA2B5F" w:rsidP="00F37B88">
            <w:pPr>
              <w:spacing w:after="0" w:line="240" w:lineRule="auto"/>
              <w:rPr>
                <w:rFonts w:asciiTheme="majorHAnsi" w:eastAsia="Times New Roman" w:hAnsiTheme="majorHAnsi" w:cstheme="majorHAnsi"/>
                <w:sz w:val="18"/>
                <w:szCs w:val="18"/>
                <w:lang w:eastAsia="pl-PL"/>
              </w:rPr>
            </w:pPr>
            <w:r w:rsidRPr="00F25EBD">
              <w:rPr>
                <w:rFonts w:asciiTheme="majorHAnsi" w:eastAsia="Times New Roman" w:hAnsiTheme="majorHAnsi" w:cstheme="majorHAnsi"/>
                <w:sz w:val="18"/>
                <w:szCs w:val="18"/>
                <w:lang w:eastAsia="pl-PL"/>
              </w:rPr>
              <w:t>Edukacyjna opieka wychowawcza</w:t>
            </w:r>
          </w:p>
        </w:tc>
        <w:tc>
          <w:tcPr>
            <w:tcW w:w="474"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1716BAE2" w14:textId="77777777" w:rsidR="00EA2B5F" w:rsidRPr="00F25EBD" w:rsidRDefault="00EA2B5F" w:rsidP="00F37B88">
            <w:pPr>
              <w:spacing w:after="0" w:line="240" w:lineRule="auto"/>
              <w:jc w:val="center"/>
              <w:rPr>
                <w:rFonts w:asciiTheme="majorHAnsi" w:eastAsia="Times New Roman" w:hAnsiTheme="majorHAnsi" w:cstheme="majorHAnsi"/>
                <w:sz w:val="18"/>
                <w:szCs w:val="18"/>
                <w:lang w:eastAsia="pl-PL"/>
              </w:rPr>
            </w:pPr>
            <w:r w:rsidRPr="00F25EBD">
              <w:rPr>
                <w:rFonts w:asciiTheme="majorHAnsi" w:eastAsia="Times New Roman" w:hAnsiTheme="majorHAnsi" w:cstheme="majorHAnsi"/>
                <w:sz w:val="18"/>
                <w:szCs w:val="18"/>
                <w:lang w:eastAsia="pl-PL"/>
              </w:rPr>
              <w:t>2010</w:t>
            </w:r>
          </w:p>
        </w:tc>
        <w:tc>
          <w:tcPr>
            <w:tcW w:w="514"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5E0C35DC" w14:textId="77777777" w:rsidR="00EA2B5F" w:rsidRPr="00F25EBD" w:rsidRDefault="00EA2B5F" w:rsidP="00F37B88">
            <w:pPr>
              <w:spacing w:after="0" w:line="240" w:lineRule="auto"/>
              <w:jc w:val="center"/>
              <w:rPr>
                <w:rFonts w:asciiTheme="majorHAnsi" w:eastAsia="Times New Roman" w:hAnsiTheme="majorHAnsi" w:cstheme="majorHAnsi"/>
                <w:sz w:val="18"/>
                <w:szCs w:val="18"/>
                <w:lang w:eastAsia="pl-PL"/>
              </w:rPr>
            </w:pPr>
            <w:r w:rsidRPr="00F25EBD">
              <w:rPr>
                <w:rFonts w:asciiTheme="majorHAnsi" w:eastAsia="Times New Roman" w:hAnsiTheme="majorHAnsi" w:cstheme="majorHAnsi"/>
                <w:sz w:val="18"/>
                <w:szCs w:val="18"/>
                <w:lang w:eastAsia="pl-PL"/>
              </w:rPr>
              <w:t>2.985.221,2</w:t>
            </w:r>
          </w:p>
        </w:tc>
        <w:tc>
          <w:tcPr>
            <w:tcW w:w="356"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157B16E3" w14:textId="77777777" w:rsidR="00EA2B5F" w:rsidRPr="00F25EBD" w:rsidRDefault="00EA2B5F" w:rsidP="00F37B88">
            <w:pPr>
              <w:spacing w:after="0" w:line="240" w:lineRule="auto"/>
              <w:jc w:val="center"/>
              <w:rPr>
                <w:rFonts w:asciiTheme="majorHAnsi" w:eastAsia="Times New Roman" w:hAnsiTheme="majorHAnsi" w:cstheme="majorHAnsi"/>
                <w:sz w:val="18"/>
                <w:szCs w:val="18"/>
                <w:lang w:eastAsia="pl-PL"/>
              </w:rPr>
            </w:pPr>
            <w:r w:rsidRPr="00F25EBD">
              <w:rPr>
                <w:rFonts w:asciiTheme="majorHAnsi" w:eastAsia="Times New Roman" w:hAnsiTheme="majorHAnsi" w:cstheme="majorHAnsi"/>
                <w:sz w:val="18"/>
                <w:szCs w:val="18"/>
                <w:lang w:eastAsia="pl-PL"/>
              </w:rPr>
              <w:t>5,4</w:t>
            </w:r>
          </w:p>
        </w:tc>
        <w:tc>
          <w:tcPr>
            <w:tcW w:w="514"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2E29AD66" w14:textId="77777777" w:rsidR="00EA2B5F" w:rsidRPr="00F25EBD" w:rsidRDefault="00EA2B5F" w:rsidP="00F37B88">
            <w:pPr>
              <w:spacing w:after="0" w:line="240" w:lineRule="auto"/>
              <w:jc w:val="center"/>
              <w:rPr>
                <w:rFonts w:asciiTheme="majorHAnsi" w:eastAsia="Times New Roman" w:hAnsiTheme="majorHAnsi" w:cstheme="majorHAnsi"/>
                <w:sz w:val="18"/>
                <w:szCs w:val="18"/>
                <w:lang w:eastAsia="pl-PL"/>
              </w:rPr>
            </w:pPr>
            <w:r w:rsidRPr="00F25EBD">
              <w:rPr>
                <w:rFonts w:asciiTheme="majorHAnsi" w:eastAsia="Times New Roman" w:hAnsiTheme="majorHAnsi" w:cstheme="majorHAnsi"/>
                <w:sz w:val="18"/>
                <w:szCs w:val="18"/>
                <w:lang w:eastAsia="pl-PL"/>
              </w:rPr>
              <w:t>3.371.574,3</w:t>
            </w:r>
          </w:p>
        </w:tc>
        <w:tc>
          <w:tcPr>
            <w:tcW w:w="356"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0FEDFEF8" w14:textId="77777777" w:rsidR="00EA2B5F" w:rsidRPr="00F25EBD" w:rsidRDefault="00EA2B5F" w:rsidP="00F37B88">
            <w:pPr>
              <w:spacing w:after="0" w:line="240" w:lineRule="auto"/>
              <w:jc w:val="center"/>
              <w:rPr>
                <w:rFonts w:asciiTheme="majorHAnsi" w:eastAsia="Times New Roman" w:hAnsiTheme="majorHAnsi" w:cstheme="majorHAnsi"/>
                <w:sz w:val="18"/>
                <w:szCs w:val="18"/>
                <w:lang w:eastAsia="pl-PL"/>
              </w:rPr>
            </w:pPr>
            <w:r w:rsidRPr="00F25EBD">
              <w:rPr>
                <w:rFonts w:asciiTheme="majorHAnsi" w:eastAsia="Times New Roman" w:hAnsiTheme="majorHAnsi" w:cstheme="majorHAnsi"/>
                <w:sz w:val="18"/>
                <w:szCs w:val="18"/>
                <w:lang w:eastAsia="pl-PL"/>
              </w:rPr>
              <w:t>7,1</w:t>
            </w:r>
          </w:p>
        </w:tc>
        <w:tc>
          <w:tcPr>
            <w:tcW w:w="514"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385B2C90" w14:textId="77777777" w:rsidR="00EA2B5F" w:rsidRPr="00F25EBD" w:rsidRDefault="00EA2B5F" w:rsidP="00F37B88">
            <w:pPr>
              <w:spacing w:after="0" w:line="240" w:lineRule="auto"/>
              <w:jc w:val="center"/>
              <w:rPr>
                <w:rFonts w:asciiTheme="majorHAnsi" w:eastAsia="Times New Roman" w:hAnsiTheme="majorHAnsi" w:cstheme="majorHAnsi"/>
                <w:sz w:val="18"/>
                <w:szCs w:val="18"/>
                <w:lang w:eastAsia="pl-PL"/>
              </w:rPr>
            </w:pPr>
            <w:r w:rsidRPr="00F25EBD">
              <w:rPr>
                <w:rFonts w:asciiTheme="majorHAnsi" w:eastAsia="Times New Roman" w:hAnsiTheme="majorHAnsi" w:cstheme="majorHAnsi"/>
                <w:sz w:val="18"/>
                <w:szCs w:val="18"/>
                <w:lang w:eastAsia="pl-PL"/>
              </w:rPr>
              <w:t>4.973.667,8</w:t>
            </w:r>
          </w:p>
        </w:tc>
        <w:tc>
          <w:tcPr>
            <w:tcW w:w="356"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1CC95A32" w14:textId="77777777" w:rsidR="00EA2B5F" w:rsidRPr="00F25EBD" w:rsidRDefault="00EA2B5F" w:rsidP="00F37B88">
            <w:pPr>
              <w:spacing w:after="0" w:line="240" w:lineRule="auto"/>
              <w:jc w:val="center"/>
              <w:rPr>
                <w:rFonts w:asciiTheme="majorHAnsi" w:eastAsia="Times New Roman" w:hAnsiTheme="majorHAnsi" w:cstheme="majorHAnsi"/>
                <w:sz w:val="18"/>
                <w:szCs w:val="18"/>
                <w:lang w:eastAsia="pl-PL"/>
              </w:rPr>
            </w:pPr>
            <w:r w:rsidRPr="00F25EBD">
              <w:rPr>
                <w:rFonts w:asciiTheme="majorHAnsi" w:eastAsia="Times New Roman" w:hAnsiTheme="majorHAnsi" w:cstheme="majorHAnsi"/>
                <w:sz w:val="18"/>
                <w:szCs w:val="18"/>
                <w:lang w:eastAsia="pl-PL"/>
              </w:rPr>
              <w:t>7,5</w:t>
            </w:r>
          </w:p>
        </w:tc>
        <w:tc>
          <w:tcPr>
            <w:tcW w:w="514"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7395E762" w14:textId="77777777" w:rsidR="00EA2B5F" w:rsidRPr="00F25EBD" w:rsidRDefault="00EA2B5F" w:rsidP="00F37B88">
            <w:pPr>
              <w:spacing w:after="0" w:line="240" w:lineRule="auto"/>
              <w:jc w:val="center"/>
              <w:rPr>
                <w:rFonts w:asciiTheme="majorHAnsi" w:eastAsia="Times New Roman" w:hAnsiTheme="majorHAnsi" w:cstheme="majorHAnsi"/>
                <w:sz w:val="18"/>
                <w:szCs w:val="18"/>
                <w:lang w:eastAsia="pl-PL"/>
              </w:rPr>
            </w:pPr>
            <w:r w:rsidRPr="00F25EBD">
              <w:rPr>
                <w:rFonts w:asciiTheme="majorHAnsi" w:eastAsia="Times New Roman" w:hAnsiTheme="majorHAnsi" w:cstheme="majorHAnsi"/>
                <w:sz w:val="18"/>
                <w:szCs w:val="18"/>
                <w:lang w:eastAsia="pl-PL"/>
              </w:rPr>
              <w:t>3.908.570,6</w:t>
            </w:r>
          </w:p>
        </w:tc>
        <w:tc>
          <w:tcPr>
            <w:tcW w:w="356"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58DA95C8" w14:textId="77777777" w:rsidR="00EA2B5F" w:rsidRPr="00F25EBD" w:rsidRDefault="00EA2B5F" w:rsidP="00F37B88">
            <w:pPr>
              <w:spacing w:after="0" w:line="240" w:lineRule="auto"/>
              <w:jc w:val="center"/>
              <w:rPr>
                <w:rFonts w:asciiTheme="majorHAnsi" w:eastAsia="Times New Roman" w:hAnsiTheme="majorHAnsi" w:cstheme="majorHAnsi"/>
                <w:sz w:val="18"/>
                <w:szCs w:val="18"/>
                <w:lang w:eastAsia="pl-PL"/>
              </w:rPr>
            </w:pPr>
            <w:r w:rsidRPr="00F25EBD">
              <w:rPr>
                <w:rFonts w:asciiTheme="majorHAnsi" w:eastAsia="Times New Roman" w:hAnsiTheme="majorHAnsi" w:cstheme="majorHAnsi"/>
                <w:sz w:val="18"/>
                <w:szCs w:val="18"/>
                <w:lang w:eastAsia="pl-PL"/>
              </w:rPr>
              <w:t>4,1</w:t>
            </w:r>
          </w:p>
        </w:tc>
      </w:tr>
      <w:tr w:rsidR="00EA2B5F" w:rsidRPr="00F25EBD" w14:paraId="54CAA21E" w14:textId="77777777" w:rsidTr="00F37B88">
        <w:trPr>
          <w:trHeight w:val="240"/>
        </w:trPr>
        <w:tc>
          <w:tcPr>
            <w:tcW w:w="1047" w:type="pct"/>
            <w:vMerge/>
            <w:tcBorders>
              <w:top w:val="single" w:sz="4" w:space="0" w:color="808080" w:themeColor="background1" w:themeShade="80"/>
              <w:bottom w:val="single" w:sz="4" w:space="0" w:color="808080" w:themeColor="background1" w:themeShade="80"/>
            </w:tcBorders>
            <w:vAlign w:val="center"/>
            <w:hideMark/>
          </w:tcPr>
          <w:p w14:paraId="270677F2" w14:textId="77777777" w:rsidR="00EA2B5F" w:rsidRPr="00F25EBD" w:rsidRDefault="00EA2B5F" w:rsidP="00F37B88">
            <w:pPr>
              <w:spacing w:after="0" w:line="240" w:lineRule="auto"/>
              <w:rPr>
                <w:rFonts w:asciiTheme="majorHAnsi" w:eastAsia="Times New Roman" w:hAnsiTheme="majorHAnsi" w:cstheme="majorHAnsi"/>
                <w:sz w:val="18"/>
                <w:szCs w:val="18"/>
                <w:lang w:eastAsia="pl-PL"/>
              </w:rPr>
            </w:pPr>
          </w:p>
        </w:tc>
        <w:tc>
          <w:tcPr>
            <w:tcW w:w="474"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3E34340A" w14:textId="77777777" w:rsidR="00EA2B5F" w:rsidRPr="00F25EBD" w:rsidRDefault="00EA2B5F" w:rsidP="00F37B88">
            <w:pPr>
              <w:spacing w:after="0" w:line="240" w:lineRule="auto"/>
              <w:jc w:val="center"/>
              <w:rPr>
                <w:rFonts w:asciiTheme="majorHAnsi" w:eastAsia="Times New Roman" w:hAnsiTheme="majorHAnsi" w:cstheme="majorHAnsi"/>
                <w:sz w:val="18"/>
                <w:szCs w:val="18"/>
                <w:lang w:eastAsia="pl-PL"/>
              </w:rPr>
            </w:pPr>
            <w:r w:rsidRPr="00F25EBD">
              <w:rPr>
                <w:rFonts w:asciiTheme="majorHAnsi" w:eastAsia="Times New Roman" w:hAnsiTheme="majorHAnsi" w:cstheme="majorHAnsi"/>
                <w:sz w:val="18"/>
                <w:szCs w:val="18"/>
                <w:lang w:eastAsia="pl-PL"/>
              </w:rPr>
              <w:t>2019</w:t>
            </w:r>
          </w:p>
        </w:tc>
        <w:tc>
          <w:tcPr>
            <w:tcW w:w="514"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73BD3527" w14:textId="77777777" w:rsidR="00EA2B5F" w:rsidRPr="00F25EBD" w:rsidRDefault="00EA2B5F" w:rsidP="00F37B88">
            <w:pPr>
              <w:spacing w:after="0" w:line="240" w:lineRule="auto"/>
              <w:jc w:val="center"/>
              <w:rPr>
                <w:rFonts w:asciiTheme="majorHAnsi" w:eastAsia="Times New Roman" w:hAnsiTheme="majorHAnsi" w:cstheme="majorHAnsi"/>
                <w:sz w:val="18"/>
                <w:szCs w:val="18"/>
                <w:lang w:eastAsia="pl-PL"/>
              </w:rPr>
            </w:pPr>
            <w:r w:rsidRPr="00F25EBD">
              <w:rPr>
                <w:rFonts w:asciiTheme="majorHAnsi" w:eastAsia="Times New Roman" w:hAnsiTheme="majorHAnsi" w:cstheme="majorHAnsi"/>
                <w:sz w:val="18"/>
                <w:szCs w:val="18"/>
                <w:lang w:eastAsia="pl-PL"/>
              </w:rPr>
              <w:t>5.028.116,1</w:t>
            </w:r>
          </w:p>
        </w:tc>
        <w:tc>
          <w:tcPr>
            <w:tcW w:w="356"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3CAD0AFC" w14:textId="77777777" w:rsidR="00EA2B5F" w:rsidRPr="00F25EBD" w:rsidRDefault="00EA2B5F" w:rsidP="00F37B88">
            <w:pPr>
              <w:spacing w:after="0" w:line="240" w:lineRule="auto"/>
              <w:jc w:val="center"/>
              <w:rPr>
                <w:rFonts w:asciiTheme="majorHAnsi" w:eastAsia="Times New Roman" w:hAnsiTheme="majorHAnsi" w:cstheme="majorHAnsi"/>
                <w:sz w:val="18"/>
                <w:szCs w:val="18"/>
                <w:lang w:eastAsia="pl-PL"/>
              </w:rPr>
            </w:pPr>
            <w:r w:rsidRPr="00F25EBD">
              <w:rPr>
                <w:rFonts w:asciiTheme="majorHAnsi" w:eastAsia="Times New Roman" w:hAnsiTheme="majorHAnsi" w:cstheme="majorHAnsi"/>
                <w:sz w:val="18"/>
                <w:szCs w:val="18"/>
                <w:lang w:eastAsia="pl-PL"/>
              </w:rPr>
              <w:t>6,9</w:t>
            </w:r>
          </w:p>
        </w:tc>
        <w:tc>
          <w:tcPr>
            <w:tcW w:w="514"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558B3C17" w14:textId="77777777" w:rsidR="00EA2B5F" w:rsidRPr="00F25EBD" w:rsidRDefault="00EA2B5F" w:rsidP="00F37B88">
            <w:pPr>
              <w:spacing w:after="0" w:line="240" w:lineRule="auto"/>
              <w:jc w:val="center"/>
              <w:rPr>
                <w:rFonts w:asciiTheme="majorHAnsi" w:eastAsia="Times New Roman" w:hAnsiTheme="majorHAnsi" w:cstheme="majorHAnsi"/>
                <w:sz w:val="18"/>
                <w:szCs w:val="18"/>
                <w:lang w:eastAsia="pl-PL"/>
              </w:rPr>
            </w:pPr>
            <w:r w:rsidRPr="00F25EBD">
              <w:rPr>
                <w:rFonts w:asciiTheme="majorHAnsi" w:eastAsia="Times New Roman" w:hAnsiTheme="majorHAnsi" w:cstheme="majorHAnsi"/>
                <w:sz w:val="18"/>
                <w:szCs w:val="18"/>
                <w:lang w:eastAsia="pl-PL"/>
              </w:rPr>
              <w:t>3.768.534,4</w:t>
            </w:r>
          </w:p>
        </w:tc>
        <w:tc>
          <w:tcPr>
            <w:tcW w:w="356"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598D1053" w14:textId="77777777" w:rsidR="00EA2B5F" w:rsidRPr="00F25EBD" w:rsidRDefault="00EA2B5F" w:rsidP="00F37B88">
            <w:pPr>
              <w:spacing w:after="0" w:line="240" w:lineRule="auto"/>
              <w:jc w:val="center"/>
              <w:rPr>
                <w:rFonts w:asciiTheme="majorHAnsi" w:eastAsia="Times New Roman" w:hAnsiTheme="majorHAnsi" w:cstheme="majorHAnsi"/>
                <w:sz w:val="18"/>
                <w:szCs w:val="18"/>
                <w:lang w:eastAsia="pl-PL"/>
              </w:rPr>
            </w:pPr>
            <w:r w:rsidRPr="00F25EBD">
              <w:rPr>
                <w:rFonts w:asciiTheme="majorHAnsi" w:eastAsia="Times New Roman" w:hAnsiTheme="majorHAnsi" w:cstheme="majorHAnsi"/>
                <w:sz w:val="18"/>
                <w:szCs w:val="18"/>
                <w:lang w:eastAsia="pl-PL"/>
              </w:rPr>
              <w:t>7,7</w:t>
            </w:r>
          </w:p>
        </w:tc>
        <w:tc>
          <w:tcPr>
            <w:tcW w:w="514"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13B8356B" w14:textId="77777777" w:rsidR="00EA2B5F" w:rsidRPr="00F25EBD" w:rsidRDefault="00EA2B5F" w:rsidP="00F37B88">
            <w:pPr>
              <w:spacing w:after="0" w:line="240" w:lineRule="auto"/>
              <w:jc w:val="center"/>
              <w:rPr>
                <w:rFonts w:asciiTheme="majorHAnsi" w:eastAsia="Times New Roman" w:hAnsiTheme="majorHAnsi" w:cstheme="majorHAnsi"/>
                <w:sz w:val="18"/>
                <w:szCs w:val="18"/>
                <w:lang w:eastAsia="pl-PL"/>
              </w:rPr>
            </w:pPr>
            <w:r w:rsidRPr="00F25EBD">
              <w:rPr>
                <w:rFonts w:asciiTheme="majorHAnsi" w:eastAsia="Times New Roman" w:hAnsiTheme="majorHAnsi" w:cstheme="majorHAnsi"/>
                <w:sz w:val="18"/>
                <w:szCs w:val="18"/>
                <w:lang w:eastAsia="pl-PL"/>
              </w:rPr>
              <w:t>8.715.249,8</w:t>
            </w:r>
          </w:p>
        </w:tc>
        <w:tc>
          <w:tcPr>
            <w:tcW w:w="356"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1CE6079D" w14:textId="77777777" w:rsidR="00EA2B5F" w:rsidRPr="00F25EBD" w:rsidRDefault="00EA2B5F" w:rsidP="00F37B88">
            <w:pPr>
              <w:spacing w:after="0" w:line="240" w:lineRule="auto"/>
              <w:jc w:val="center"/>
              <w:rPr>
                <w:rFonts w:asciiTheme="majorHAnsi" w:eastAsia="Times New Roman" w:hAnsiTheme="majorHAnsi" w:cstheme="majorHAnsi"/>
                <w:sz w:val="18"/>
                <w:szCs w:val="18"/>
                <w:lang w:eastAsia="pl-PL"/>
              </w:rPr>
            </w:pPr>
            <w:r w:rsidRPr="00F25EBD">
              <w:rPr>
                <w:rFonts w:asciiTheme="majorHAnsi" w:eastAsia="Times New Roman" w:hAnsiTheme="majorHAnsi" w:cstheme="majorHAnsi"/>
                <w:sz w:val="18"/>
                <w:szCs w:val="18"/>
                <w:lang w:eastAsia="pl-PL"/>
              </w:rPr>
              <w:t>11,9</w:t>
            </w:r>
          </w:p>
        </w:tc>
        <w:tc>
          <w:tcPr>
            <w:tcW w:w="514"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3FBEDF49" w14:textId="77777777" w:rsidR="00EA2B5F" w:rsidRPr="00F25EBD" w:rsidRDefault="00EA2B5F" w:rsidP="00F37B88">
            <w:pPr>
              <w:spacing w:after="0" w:line="240" w:lineRule="auto"/>
              <w:jc w:val="center"/>
              <w:rPr>
                <w:rFonts w:asciiTheme="majorHAnsi" w:eastAsia="Times New Roman" w:hAnsiTheme="majorHAnsi" w:cstheme="majorHAnsi"/>
                <w:sz w:val="18"/>
                <w:szCs w:val="18"/>
                <w:lang w:eastAsia="pl-PL"/>
              </w:rPr>
            </w:pPr>
            <w:r w:rsidRPr="00F25EBD">
              <w:rPr>
                <w:rFonts w:asciiTheme="majorHAnsi" w:eastAsia="Times New Roman" w:hAnsiTheme="majorHAnsi" w:cstheme="majorHAnsi"/>
                <w:sz w:val="18"/>
                <w:szCs w:val="18"/>
                <w:lang w:eastAsia="pl-PL"/>
              </w:rPr>
              <w:t>5.459.169,2</w:t>
            </w:r>
          </w:p>
        </w:tc>
        <w:tc>
          <w:tcPr>
            <w:tcW w:w="356"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1888D7C7" w14:textId="77777777" w:rsidR="00EA2B5F" w:rsidRPr="00F25EBD" w:rsidRDefault="00EA2B5F" w:rsidP="00F37B88">
            <w:pPr>
              <w:spacing w:after="0" w:line="240" w:lineRule="auto"/>
              <w:jc w:val="center"/>
              <w:rPr>
                <w:rFonts w:asciiTheme="majorHAnsi" w:eastAsia="Times New Roman" w:hAnsiTheme="majorHAnsi" w:cstheme="majorHAnsi"/>
                <w:sz w:val="18"/>
                <w:szCs w:val="18"/>
                <w:lang w:eastAsia="pl-PL"/>
              </w:rPr>
            </w:pPr>
            <w:r w:rsidRPr="00F25EBD">
              <w:rPr>
                <w:rFonts w:asciiTheme="majorHAnsi" w:eastAsia="Times New Roman" w:hAnsiTheme="majorHAnsi" w:cstheme="majorHAnsi"/>
                <w:sz w:val="18"/>
                <w:szCs w:val="18"/>
                <w:lang w:eastAsia="pl-PL"/>
              </w:rPr>
              <w:t>5,7</w:t>
            </w:r>
          </w:p>
        </w:tc>
      </w:tr>
      <w:tr w:rsidR="00EA2B5F" w:rsidRPr="00F25EBD" w14:paraId="07945C35" w14:textId="77777777" w:rsidTr="00F37B88">
        <w:trPr>
          <w:trHeight w:val="240"/>
        </w:trPr>
        <w:tc>
          <w:tcPr>
            <w:tcW w:w="1047" w:type="pct"/>
            <w:vMerge/>
            <w:tcBorders>
              <w:top w:val="single" w:sz="4" w:space="0" w:color="808080" w:themeColor="background1" w:themeShade="80"/>
              <w:bottom w:val="single" w:sz="4" w:space="0" w:color="808080" w:themeColor="background1" w:themeShade="80"/>
            </w:tcBorders>
            <w:vAlign w:val="center"/>
            <w:hideMark/>
          </w:tcPr>
          <w:p w14:paraId="7CBA34E8" w14:textId="77777777" w:rsidR="00EA2B5F" w:rsidRPr="00F25EBD" w:rsidRDefault="00EA2B5F" w:rsidP="00F37B88">
            <w:pPr>
              <w:spacing w:after="0" w:line="240" w:lineRule="auto"/>
              <w:rPr>
                <w:rFonts w:asciiTheme="majorHAnsi" w:eastAsia="Times New Roman" w:hAnsiTheme="majorHAnsi" w:cstheme="majorHAnsi"/>
                <w:sz w:val="18"/>
                <w:szCs w:val="18"/>
                <w:lang w:eastAsia="pl-PL"/>
              </w:rPr>
            </w:pPr>
          </w:p>
        </w:tc>
        <w:tc>
          <w:tcPr>
            <w:tcW w:w="474"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0E8CAA96" w14:textId="77777777" w:rsidR="00EA2B5F" w:rsidRPr="00F25EBD" w:rsidRDefault="00EA2B5F" w:rsidP="00F37B88">
            <w:pPr>
              <w:spacing w:after="0" w:line="240" w:lineRule="auto"/>
              <w:jc w:val="center"/>
              <w:rPr>
                <w:rFonts w:asciiTheme="majorHAnsi" w:eastAsia="Times New Roman" w:hAnsiTheme="majorHAnsi" w:cstheme="majorHAnsi"/>
                <w:sz w:val="18"/>
                <w:szCs w:val="18"/>
                <w:lang w:eastAsia="pl-PL"/>
              </w:rPr>
            </w:pPr>
            <w:r w:rsidRPr="00F25EBD">
              <w:rPr>
                <w:rFonts w:asciiTheme="majorHAnsi" w:eastAsia="Times New Roman" w:hAnsiTheme="majorHAnsi" w:cstheme="majorHAnsi"/>
                <w:sz w:val="18"/>
                <w:szCs w:val="18"/>
                <w:lang w:eastAsia="pl-PL"/>
              </w:rPr>
              <w:t xml:space="preserve">zmiana </w:t>
            </w:r>
            <w:r w:rsidRPr="00F25EBD">
              <w:rPr>
                <w:rFonts w:asciiTheme="majorHAnsi" w:eastAsia="Times New Roman" w:hAnsiTheme="majorHAnsi" w:cstheme="majorHAnsi"/>
                <w:sz w:val="18"/>
                <w:szCs w:val="18"/>
                <w:lang w:eastAsia="pl-PL"/>
              </w:rPr>
              <w:br/>
              <w:t>w %</w:t>
            </w:r>
          </w:p>
        </w:tc>
        <w:tc>
          <w:tcPr>
            <w:tcW w:w="514"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4578EB2C" w14:textId="77777777" w:rsidR="00EA2B5F" w:rsidRPr="00F25EBD" w:rsidRDefault="00EA2B5F" w:rsidP="00F37B88">
            <w:pPr>
              <w:spacing w:after="0" w:line="240" w:lineRule="auto"/>
              <w:jc w:val="center"/>
              <w:rPr>
                <w:rFonts w:asciiTheme="majorHAnsi" w:eastAsia="Times New Roman" w:hAnsiTheme="majorHAnsi" w:cstheme="majorHAnsi"/>
                <w:sz w:val="18"/>
                <w:szCs w:val="18"/>
                <w:lang w:eastAsia="pl-PL"/>
              </w:rPr>
            </w:pPr>
            <w:r w:rsidRPr="00F25EBD">
              <w:rPr>
                <w:rFonts w:asciiTheme="majorHAnsi" w:eastAsia="Times New Roman" w:hAnsiTheme="majorHAnsi" w:cstheme="majorHAnsi"/>
                <w:sz w:val="18"/>
                <w:szCs w:val="18"/>
                <w:lang w:eastAsia="pl-PL"/>
              </w:rPr>
              <w:t>68,4</w:t>
            </w:r>
          </w:p>
        </w:tc>
        <w:tc>
          <w:tcPr>
            <w:tcW w:w="356"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4AE2D70B" w14:textId="77777777" w:rsidR="00EA2B5F" w:rsidRPr="00F25EBD" w:rsidRDefault="00EA2B5F" w:rsidP="00F37B88">
            <w:pPr>
              <w:spacing w:after="0" w:line="240" w:lineRule="auto"/>
              <w:jc w:val="center"/>
              <w:rPr>
                <w:rFonts w:asciiTheme="majorHAnsi" w:eastAsia="Times New Roman" w:hAnsiTheme="majorHAnsi" w:cstheme="majorHAnsi"/>
                <w:sz w:val="18"/>
                <w:szCs w:val="18"/>
                <w:lang w:eastAsia="pl-PL"/>
              </w:rPr>
            </w:pPr>
            <w:r w:rsidRPr="00F25EBD">
              <w:rPr>
                <w:rFonts w:asciiTheme="majorHAnsi" w:eastAsia="Times New Roman" w:hAnsiTheme="majorHAnsi" w:cstheme="majorHAnsi"/>
                <w:sz w:val="18"/>
                <w:szCs w:val="18"/>
                <w:lang w:eastAsia="pl-PL"/>
              </w:rPr>
              <w:t>-</w:t>
            </w:r>
          </w:p>
        </w:tc>
        <w:tc>
          <w:tcPr>
            <w:tcW w:w="514"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7B609596" w14:textId="77777777" w:rsidR="00EA2B5F" w:rsidRPr="00F25EBD" w:rsidRDefault="00EA2B5F" w:rsidP="00F37B88">
            <w:pPr>
              <w:spacing w:after="0" w:line="240" w:lineRule="auto"/>
              <w:jc w:val="center"/>
              <w:rPr>
                <w:rFonts w:asciiTheme="majorHAnsi" w:eastAsia="Times New Roman" w:hAnsiTheme="majorHAnsi" w:cstheme="majorHAnsi"/>
                <w:sz w:val="18"/>
                <w:szCs w:val="18"/>
                <w:lang w:eastAsia="pl-PL"/>
              </w:rPr>
            </w:pPr>
            <w:r w:rsidRPr="00F25EBD">
              <w:rPr>
                <w:rFonts w:asciiTheme="majorHAnsi" w:eastAsia="Times New Roman" w:hAnsiTheme="majorHAnsi" w:cstheme="majorHAnsi"/>
                <w:sz w:val="18"/>
                <w:szCs w:val="18"/>
                <w:lang w:eastAsia="pl-PL"/>
              </w:rPr>
              <w:t>11,8</w:t>
            </w:r>
          </w:p>
        </w:tc>
        <w:tc>
          <w:tcPr>
            <w:tcW w:w="356"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43579E78" w14:textId="77777777" w:rsidR="00EA2B5F" w:rsidRPr="00F25EBD" w:rsidRDefault="00EA2B5F" w:rsidP="00F37B88">
            <w:pPr>
              <w:spacing w:after="0" w:line="240" w:lineRule="auto"/>
              <w:jc w:val="center"/>
              <w:rPr>
                <w:rFonts w:asciiTheme="majorHAnsi" w:eastAsia="Times New Roman" w:hAnsiTheme="majorHAnsi" w:cstheme="majorHAnsi"/>
                <w:sz w:val="18"/>
                <w:szCs w:val="18"/>
                <w:lang w:eastAsia="pl-PL"/>
              </w:rPr>
            </w:pPr>
            <w:r w:rsidRPr="00F25EBD">
              <w:rPr>
                <w:rFonts w:asciiTheme="majorHAnsi" w:eastAsia="Times New Roman" w:hAnsiTheme="majorHAnsi" w:cstheme="majorHAnsi"/>
                <w:sz w:val="18"/>
                <w:szCs w:val="18"/>
                <w:lang w:eastAsia="pl-PL"/>
              </w:rPr>
              <w:t>-</w:t>
            </w:r>
          </w:p>
        </w:tc>
        <w:tc>
          <w:tcPr>
            <w:tcW w:w="514"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1367288E" w14:textId="77777777" w:rsidR="00EA2B5F" w:rsidRPr="00F25EBD" w:rsidRDefault="00EA2B5F" w:rsidP="00F37B88">
            <w:pPr>
              <w:spacing w:after="0" w:line="240" w:lineRule="auto"/>
              <w:jc w:val="center"/>
              <w:rPr>
                <w:rFonts w:asciiTheme="majorHAnsi" w:eastAsia="Times New Roman" w:hAnsiTheme="majorHAnsi" w:cstheme="majorHAnsi"/>
                <w:sz w:val="18"/>
                <w:szCs w:val="18"/>
                <w:lang w:eastAsia="pl-PL"/>
              </w:rPr>
            </w:pPr>
            <w:r w:rsidRPr="00F25EBD">
              <w:rPr>
                <w:rFonts w:asciiTheme="majorHAnsi" w:eastAsia="Times New Roman" w:hAnsiTheme="majorHAnsi" w:cstheme="majorHAnsi"/>
                <w:sz w:val="18"/>
                <w:szCs w:val="18"/>
                <w:lang w:eastAsia="pl-PL"/>
              </w:rPr>
              <w:t>75,2</w:t>
            </w:r>
          </w:p>
        </w:tc>
        <w:tc>
          <w:tcPr>
            <w:tcW w:w="356"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778B8395" w14:textId="77777777" w:rsidR="00EA2B5F" w:rsidRPr="00F25EBD" w:rsidRDefault="00EA2B5F" w:rsidP="00F37B88">
            <w:pPr>
              <w:spacing w:after="0" w:line="240" w:lineRule="auto"/>
              <w:jc w:val="center"/>
              <w:rPr>
                <w:rFonts w:asciiTheme="majorHAnsi" w:eastAsia="Times New Roman" w:hAnsiTheme="majorHAnsi" w:cstheme="majorHAnsi"/>
                <w:sz w:val="18"/>
                <w:szCs w:val="18"/>
                <w:lang w:eastAsia="pl-PL"/>
              </w:rPr>
            </w:pPr>
            <w:r w:rsidRPr="00F25EBD">
              <w:rPr>
                <w:rFonts w:asciiTheme="majorHAnsi" w:eastAsia="Times New Roman" w:hAnsiTheme="majorHAnsi" w:cstheme="majorHAnsi"/>
                <w:sz w:val="18"/>
                <w:szCs w:val="18"/>
                <w:lang w:eastAsia="pl-PL"/>
              </w:rPr>
              <w:t>-</w:t>
            </w:r>
          </w:p>
        </w:tc>
        <w:tc>
          <w:tcPr>
            <w:tcW w:w="514"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3E43ED94" w14:textId="77777777" w:rsidR="00EA2B5F" w:rsidRPr="00F25EBD" w:rsidRDefault="00EA2B5F" w:rsidP="00F37B88">
            <w:pPr>
              <w:spacing w:after="0" w:line="240" w:lineRule="auto"/>
              <w:jc w:val="center"/>
              <w:rPr>
                <w:rFonts w:asciiTheme="majorHAnsi" w:eastAsia="Times New Roman" w:hAnsiTheme="majorHAnsi" w:cstheme="majorHAnsi"/>
                <w:sz w:val="18"/>
                <w:szCs w:val="18"/>
                <w:lang w:eastAsia="pl-PL"/>
              </w:rPr>
            </w:pPr>
            <w:r w:rsidRPr="00F25EBD">
              <w:rPr>
                <w:rFonts w:asciiTheme="majorHAnsi" w:eastAsia="Times New Roman" w:hAnsiTheme="majorHAnsi" w:cstheme="majorHAnsi"/>
                <w:sz w:val="18"/>
                <w:szCs w:val="18"/>
                <w:lang w:eastAsia="pl-PL"/>
              </w:rPr>
              <w:t>39,7</w:t>
            </w:r>
          </w:p>
        </w:tc>
        <w:tc>
          <w:tcPr>
            <w:tcW w:w="356"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4EFE29BF" w14:textId="77777777" w:rsidR="00EA2B5F" w:rsidRPr="00F25EBD" w:rsidRDefault="00EA2B5F" w:rsidP="00F37B88">
            <w:pPr>
              <w:spacing w:after="0" w:line="240" w:lineRule="auto"/>
              <w:jc w:val="center"/>
              <w:rPr>
                <w:rFonts w:asciiTheme="majorHAnsi" w:eastAsia="Times New Roman" w:hAnsiTheme="majorHAnsi" w:cstheme="majorHAnsi"/>
                <w:sz w:val="18"/>
                <w:szCs w:val="18"/>
                <w:lang w:eastAsia="pl-PL"/>
              </w:rPr>
            </w:pPr>
            <w:r w:rsidRPr="00F25EBD">
              <w:rPr>
                <w:rFonts w:asciiTheme="majorHAnsi" w:eastAsia="Times New Roman" w:hAnsiTheme="majorHAnsi" w:cstheme="majorHAnsi"/>
                <w:sz w:val="18"/>
                <w:szCs w:val="18"/>
                <w:lang w:eastAsia="pl-PL"/>
              </w:rPr>
              <w:t>-</w:t>
            </w:r>
          </w:p>
        </w:tc>
      </w:tr>
      <w:tr w:rsidR="00EA2B5F" w:rsidRPr="00F25EBD" w14:paraId="72FDE627" w14:textId="77777777" w:rsidTr="00F37B88">
        <w:trPr>
          <w:trHeight w:val="240"/>
        </w:trPr>
        <w:tc>
          <w:tcPr>
            <w:tcW w:w="1047" w:type="pct"/>
            <w:vMerge w:val="restart"/>
            <w:tcBorders>
              <w:top w:val="single" w:sz="4" w:space="0" w:color="808080" w:themeColor="background1" w:themeShade="80"/>
              <w:bottom w:val="single" w:sz="4" w:space="0" w:color="808080" w:themeColor="background1" w:themeShade="80"/>
            </w:tcBorders>
            <w:shd w:val="clear" w:color="auto" w:fill="auto"/>
            <w:vAlign w:val="center"/>
            <w:hideMark/>
          </w:tcPr>
          <w:p w14:paraId="61A20C3B" w14:textId="77777777" w:rsidR="00EA2B5F" w:rsidRPr="00F25EBD" w:rsidRDefault="00EA2B5F" w:rsidP="00F37B88">
            <w:pPr>
              <w:spacing w:after="0" w:line="240" w:lineRule="auto"/>
              <w:rPr>
                <w:rFonts w:asciiTheme="majorHAnsi" w:eastAsia="Times New Roman" w:hAnsiTheme="majorHAnsi" w:cstheme="majorHAnsi"/>
                <w:sz w:val="18"/>
                <w:szCs w:val="18"/>
                <w:lang w:eastAsia="pl-PL"/>
              </w:rPr>
            </w:pPr>
            <w:r w:rsidRPr="00F25EBD">
              <w:rPr>
                <w:rFonts w:asciiTheme="majorHAnsi" w:eastAsia="Times New Roman" w:hAnsiTheme="majorHAnsi" w:cstheme="majorHAnsi"/>
                <w:sz w:val="18"/>
                <w:szCs w:val="18"/>
                <w:lang w:eastAsia="pl-PL"/>
              </w:rPr>
              <w:t>Dział 855</w:t>
            </w:r>
          </w:p>
          <w:p w14:paraId="20BC2F5E" w14:textId="77777777" w:rsidR="00EA2B5F" w:rsidRPr="00F25EBD" w:rsidRDefault="00EA2B5F" w:rsidP="00F37B88">
            <w:pPr>
              <w:spacing w:after="0" w:line="240" w:lineRule="auto"/>
              <w:rPr>
                <w:rFonts w:asciiTheme="majorHAnsi" w:eastAsia="Times New Roman" w:hAnsiTheme="majorHAnsi" w:cstheme="majorHAnsi"/>
                <w:sz w:val="18"/>
                <w:szCs w:val="18"/>
                <w:lang w:eastAsia="pl-PL"/>
              </w:rPr>
            </w:pPr>
            <w:r w:rsidRPr="00F25EBD">
              <w:rPr>
                <w:rFonts w:asciiTheme="majorHAnsi" w:eastAsia="Times New Roman" w:hAnsiTheme="majorHAnsi" w:cstheme="majorHAnsi"/>
                <w:sz w:val="18"/>
                <w:szCs w:val="18"/>
                <w:lang w:eastAsia="pl-PL"/>
              </w:rPr>
              <w:t>Rodzina</w:t>
            </w:r>
          </w:p>
        </w:tc>
        <w:tc>
          <w:tcPr>
            <w:tcW w:w="474"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6E71ED41" w14:textId="77777777" w:rsidR="00EA2B5F" w:rsidRPr="00F25EBD" w:rsidRDefault="00EA2B5F" w:rsidP="00F37B88">
            <w:pPr>
              <w:spacing w:after="0" w:line="240" w:lineRule="auto"/>
              <w:jc w:val="center"/>
              <w:rPr>
                <w:rFonts w:asciiTheme="majorHAnsi" w:eastAsia="Times New Roman" w:hAnsiTheme="majorHAnsi" w:cstheme="majorHAnsi"/>
                <w:sz w:val="18"/>
                <w:szCs w:val="18"/>
                <w:lang w:eastAsia="pl-PL"/>
              </w:rPr>
            </w:pPr>
            <w:r w:rsidRPr="00F25EBD">
              <w:rPr>
                <w:rFonts w:asciiTheme="majorHAnsi" w:eastAsia="Times New Roman" w:hAnsiTheme="majorHAnsi" w:cstheme="majorHAnsi"/>
                <w:sz w:val="18"/>
                <w:szCs w:val="18"/>
                <w:lang w:eastAsia="pl-PL"/>
              </w:rPr>
              <w:t>2010</w:t>
            </w:r>
          </w:p>
        </w:tc>
        <w:tc>
          <w:tcPr>
            <w:tcW w:w="514"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23A7DB17" w14:textId="77777777" w:rsidR="00EA2B5F" w:rsidRPr="00F25EBD" w:rsidRDefault="00EA2B5F" w:rsidP="00F37B88">
            <w:pPr>
              <w:spacing w:after="0" w:line="240" w:lineRule="auto"/>
              <w:jc w:val="center"/>
              <w:rPr>
                <w:rFonts w:asciiTheme="majorHAnsi" w:eastAsia="Times New Roman" w:hAnsiTheme="majorHAnsi" w:cstheme="majorHAnsi"/>
                <w:sz w:val="16"/>
                <w:szCs w:val="16"/>
                <w:lang w:eastAsia="pl-PL"/>
              </w:rPr>
            </w:pPr>
            <w:r w:rsidRPr="00F25EBD">
              <w:rPr>
                <w:rFonts w:asciiTheme="majorHAnsi" w:eastAsia="Times New Roman" w:hAnsiTheme="majorHAnsi" w:cstheme="majorHAnsi"/>
                <w:sz w:val="16"/>
                <w:szCs w:val="16"/>
                <w:lang w:eastAsia="pl-PL"/>
              </w:rPr>
              <w:t>0,0</w:t>
            </w:r>
          </w:p>
        </w:tc>
        <w:tc>
          <w:tcPr>
            <w:tcW w:w="356"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798CBA39" w14:textId="77777777" w:rsidR="00EA2B5F" w:rsidRPr="00F25EBD" w:rsidRDefault="00EA2B5F" w:rsidP="00F37B88">
            <w:pPr>
              <w:spacing w:after="0" w:line="240" w:lineRule="auto"/>
              <w:jc w:val="center"/>
              <w:rPr>
                <w:rFonts w:asciiTheme="majorHAnsi" w:eastAsia="Times New Roman" w:hAnsiTheme="majorHAnsi" w:cstheme="majorHAnsi"/>
                <w:sz w:val="18"/>
                <w:szCs w:val="18"/>
                <w:lang w:eastAsia="pl-PL"/>
              </w:rPr>
            </w:pPr>
            <w:r w:rsidRPr="00F25EBD">
              <w:rPr>
                <w:rFonts w:asciiTheme="majorHAnsi" w:eastAsia="Times New Roman" w:hAnsiTheme="majorHAnsi" w:cstheme="majorHAnsi"/>
                <w:sz w:val="18"/>
                <w:szCs w:val="18"/>
                <w:lang w:eastAsia="pl-PL"/>
              </w:rPr>
              <w:t>0,0</w:t>
            </w:r>
          </w:p>
        </w:tc>
        <w:tc>
          <w:tcPr>
            <w:tcW w:w="514"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26D117BE" w14:textId="77777777" w:rsidR="00EA2B5F" w:rsidRPr="00F25EBD" w:rsidRDefault="00EA2B5F" w:rsidP="00F37B88">
            <w:pPr>
              <w:spacing w:after="0" w:line="240" w:lineRule="auto"/>
              <w:jc w:val="center"/>
              <w:rPr>
                <w:rFonts w:asciiTheme="majorHAnsi" w:eastAsia="Times New Roman" w:hAnsiTheme="majorHAnsi" w:cstheme="majorHAnsi"/>
                <w:sz w:val="16"/>
                <w:szCs w:val="16"/>
                <w:lang w:eastAsia="pl-PL"/>
              </w:rPr>
            </w:pPr>
            <w:r w:rsidRPr="00F25EBD">
              <w:rPr>
                <w:rFonts w:asciiTheme="majorHAnsi" w:eastAsia="Times New Roman" w:hAnsiTheme="majorHAnsi" w:cstheme="majorHAnsi"/>
                <w:sz w:val="16"/>
                <w:szCs w:val="16"/>
                <w:lang w:eastAsia="pl-PL"/>
              </w:rPr>
              <w:t>0,0</w:t>
            </w:r>
          </w:p>
        </w:tc>
        <w:tc>
          <w:tcPr>
            <w:tcW w:w="356"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3E889164" w14:textId="77777777" w:rsidR="00EA2B5F" w:rsidRPr="00F25EBD" w:rsidRDefault="00EA2B5F" w:rsidP="00F37B88">
            <w:pPr>
              <w:spacing w:after="0" w:line="240" w:lineRule="auto"/>
              <w:jc w:val="center"/>
              <w:rPr>
                <w:rFonts w:asciiTheme="majorHAnsi" w:eastAsia="Times New Roman" w:hAnsiTheme="majorHAnsi" w:cstheme="majorHAnsi"/>
                <w:sz w:val="18"/>
                <w:szCs w:val="18"/>
                <w:lang w:eastAsia="pl-PL"/>
              </w:rPr>
            </w:pPr>
            <w:r w:rsidRPr="00F25EBD">
              <w:rPr>
                <w:rFonts w:asciiTheme="majorHAnsi" w:eastAsia="Times New Roman" w:hAnsiTheme="majorHAnsi" w:cstheme="majorHAnsi"/>
                <w:sz w:val="18"/>
                <w:szCs w:val="18"/>
                <w:lang w:eastAsia="pl-PL"/>
              </w:rPr>
              <w:t>0,0</w:t>
            </w:r>
          </w:p>
        </w:tc>
        <w:tc>
          <w:tcPr>
            <w:tcW w:w="514"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183E7A1B" w14:textId="77777777" w:rsidR="00EA2B5F" w:rsidRPr="00F25EBD" w:rsidRDefault="00EA2B5F" w:rsidP="00F37B88">
            <w:pPr>
              <w:spacing w:after="0" w:line="240" w:lineRule="auto"/>
              <w:jc w:val="center"/>
              <w:rPr>
                <w:rFonts w:asciiTheme="majorHAnsi" w:eastAsia="Times New Roman" w:hAnsiTheme="majorHAnsi" w:cstheme="majorHAnsi"/>
                <w:sz w:val="16"/>
                <w:szCs w:val="16"/>
                <w:lang w:eastAsia="pl-PL"/>
              </w:rPr>
            </w:pPr>
            <w:r w:rsidRPr="00F25EBD">
              <w:rPr>
                <w:rFonts w:asciiTheme="majorHAnsi" w:eastAsia="Times New Roman" w:hAnsiTheme="majorHAnsi" w:cstheme="majorHAnsi"/>
                <w:sz w:val="16"/>
                <w:szCs w:val="16"/>
                <w:lang w:eastAsia="pl-PL"/>
              </w:rPr>
              <w:t>0,0</w:t>
            </w:r>
          </w:p>
        </w:tc>
        <w:tc>
          <w:tcPr>
            <w:tcW w:w="356"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2FDF09F1" w14:textId="77777777" w:rsidR="00EA2B5F" w:rsidRPr="00F25EBD" w:rsidRDefault="00EA2B5F" w:rsidP="00F37B88">
            <w:pPr>
              <w:spacing w:after="0" w:line="240" w:lineRule="auto"/>
              <w:jc w:val="center"/>
              <w:rPr>
                <w:rFonts w:asciiTheme="majorHAnsi" w:eastAsia="Times New Roman" w:hAnsiTheme="majorHAnsi" w:cstheme="majorHAnsi"/>
                <w:sz w:val="18"/>
                <w:szCs w:val="18"/>
                <w:lang w:eastAsia="pl-PL"/>
              </w:rPr>
            </w:pPr>
            <w:r w:rsidRPr="00F25EBD">
              <w:rPr>
                <w:rFonts w:asciiTheme="majorHAnsi" w:eastAsia="Times New Roman" w:hAnsiTheme="majorHAnsi" w:cstheme="majorHAnsi"/>
                <w:sz w:val="18"/>
                <w:szCs w:val="18"/>
                <w:lang w:eastAsia="pl-PL"/>
              </w:rPr>
              <w:t>0,0</w:t>
            </w:r>
          </w:p>
        </w:tc>
        <w:tc>
          <w:tcPr>
            <w:tcW w:w="514"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1A8D3BDE" w14:textId="77777777" w:rsidR="00EA2B5F" w:rsidRPr="00F25EBD" w:rsidRDefault="00EA2B5F" w:rsidP="00F37B88">
            <w:pPr>
              <w:spacing w:after="0" w:line="240" w:lineRule="auto"/>
              <w:jc w:val="center"/>
              <w:rPr>
                <w:rFonts w:asciiTheme="majorHAnsi" w:eastAsia="Times New Roman" w:hAnsiTheme="majorHAnsi" w:cstheme="majorHAnsi"/>
                <w:sz w:val="16"/>
                <w:szCs w:val="16"/>
                <w:lang w:eastAsia="pl-PL"/>
              </w:rPr>
            </w:pPr>
            <w:r w:rsidRPr="00F25EBD">
              <w:rPr>
                <w:rFonts w:asciiTheme="majorHAnsi" w:eastAsia="Times New Roman" w:hAnsiTheme="majorHAnsi" w:cstheme="majorHAnsi"/>
                <w:sz w:val="16"/>
                <w:szCs w:val="16"/>
                <w:lang w:eastAsia="pl-PL"/>
              </w:rPr>
              <w:t>0,0</w:t>
            </w:r>
          </w:p>
        </w:tc>
        <w:tc>
          <w:tcPr>
            <w:tcW w:w="356"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373E7AE8" w14:textId="77777777" w:rsidR="00EA2B5F" w:rsidRPr="00F25EBD" w:rsidRDefault="00EA2B5F" w:rsidP="00F37B88">
            <w:pPr>
              <w:spacing w:after="0" w:line="240" w:lineRule="auto"/>
              <w:jc w:val="center"/>
              <w:rPr>
                <w:rFonts w:asciiTheme="majorHAnsi" w:eastAsia="Times New Roman" w:hAnsiTheme="majorHAnsi" w:cstheme="majorHAnsi"/>
                <w:sz w:val="18"/>
                <w:szCs w:val="18"/>
                <w:lang w:eastAsia="pl-PL"/>
              </w:rPr>
            </w:pPr>
            <w:r w:rsidRPr="00F25EBD">
              <w:rPr>
                <w:rFonts w:asciiTheme="majorHAnsi" w:eastAsia="Times New Roman" w:hAnsiTheme="majorHAnsi" w:cstheme="majorHAnsi"/>
                <w:sz w:val="18"/>
                <w:szCs w:val="18"/>
                <w:lang w:eastAsia="pl-PL"/>
              </w:rPr>
              <w:t>0,0</w:t>
            </w:r>
          </w:p>
        </w:tc>
      </w:tr>
      <w:tr w:rsidR="00EA2B5F" w:rsidRPr="00F25EBD" w14:paraId="3A929C00" w14:textId="77777777" w:rsidTr="00F37B88">
        <w:trPr>
          <w:trHeight w:val="240"/>
        </w:trPr>
        <w:tc>
          <w:tcPr>
            <w:tcW w:w="1047" w:type="pct"/>
            <w:vMerge/>
            <w:tcBorders>
              <w:top w:val="single" w:sz="4" w:space="0" w:color="808080" w:themeColor="background1" w:themeShade="80"/>
              <w:bottom w:val="single" w:sz="4" w:space="0" w:color="808080" w:themeColor="background1" w:themeShade="80"/>
            </w:tcBorders>
            <w:vAlign w:val="center"/>
            <w:hideMark/>
          </w:tcPr>
          <w:p w14:paraId="11735823" w14:textId="77777777" w:rsidR="00EA2B5F" w:rsidRPr="00F25EBD" w:rsidRDefault="00EA2B5F" w:rsidP="00F37B88">
            <w:pPr>
              <w:spacing w:after="0" w:line="240" w:lineRule="auto"/>
              <w:rPr>
                <w:rFonts w:asciiTheme="majorHAnsi" w:eastAsia="Times New Roman" w:hAnsiTheme="majorHAnsi" w:cstheme="majorHAnsi"/>
                <w:sz w:val="18"/>
                <w:szCs w:val="18"/>
                <w:lang w:eastAsia="pl-PL"/>
              </w:rPr>
            </w:pPr>
          </w:p>
        </w:tc>
        <w:tc>
          <w:tcPr>
            <w:tcW w:w="474"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1108F4D5" w14:textId="77777777" w:rsidR="00EA2B5F" w:rsidRPr="00F25EBD" w:rsidRDefault="00EA2B5F" w:rsidP="00F37B88">
            <w:pPr>
              <w:spacing w:after="0" w:line="240" w:lineRule="auto"/>
              <w:jc w:val="center"/>
              <w:rPr>
                <w:rFonts w:asciiTheme="majorHAnsi" w:eastAsia="Times New Roman" w:hAnsiTheme="majorHAnsi" w:cstheme="majorHAnsi"/>
                <w:sz w:val="18"/>
                <w:szCs w:val="18"/>
                <w:lang w:eastAsia="pl-PL"/>
              </w:rPr>
            </w:pPr>
            <w:r w:rsidRPr="00F25EBD">
              <w:rPr>
                <w:rFonts w:asciiTheme="majorHAnsi" w:eastAsia="Times New Roman" w:hAnsiTheme="majorHAnsi" w:cstheme="majorHAnsi"/>
                <w:sz w:val="18"/>
                <w:szCs w:val="18"/>
                <w:lang w:eastAsia="pl-PL"/>
              </w:rPr>
              <w:t>2019</w:t>
            </w:r>
          </w:p>
        </w:tc>
        <w:tc>
          <w:tcPr>
            <w:tcW w:w="514"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1FA5591C" w14:textId="77777777" w:rsidR="00EA2B5F" w:rsidRPr="00F25EBD" w:rsidRDefault="00EA2B5F" w:rsidP="00F37B88">
            <w:pPr>
              <w:spacing w:after="0" w:line="240" w:lineRule="auto"/>
              <w:jc w:val="center"/>
              <w:rPr>
                <w:rFonts w:asciiTheme="majorHAnsi" w:eastAsia="Times New Roman" w:hAnsiTheme="majorHAnsi" w:cstheme="majorHAnsi"/>
                <w:sz w:val="16"/>
                <w:szCs w:val="16"/>
                <w:lang w:eastAsia="pl-PL"/>
              </w:rPr>
            </w:pPr>
            <w:r w:rsidRPr="00F25EBD">
              <w:rPr>
                <w:rFonts w:asciiTheme="majorHAnsi" w:eastAsia="Times New Roman" w:hAnsiTheme="majorHAnsi" w:cstheme="majorHAnsi"/>
                <w:sz w:val="16"/>
                <w:szCs w:val="16"/>
                <w:lang w:eastAsia="pl-PL"/>
              </w:rPr>
              <w:t>4.640.230,8</w:t>
            </w:r>
          </w:p>
        </w:tc>
        <w:tc>
          <w:tcPr>
            <w:tcW w:w="356"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255856D3" w14:textId="77777777" w:rsidR="00EA2B5F" w:rsidRPr="00F25EBD" w:rsidRDefault="00EA2B5F" w:rsidP="00F37B88">
            <w:pPr>
              <w:spacing w:after="0" w:line="240" w:lineRule="auto"/>
              <w:jc w:val="center"/>
              <w:rPr>
                <w:rFonts w:asciiTheme="majorHAnsi" w:eastAsia="Times New Roman" w:hAnsiTheme="majorHAnsi" w:cstheme="majorHAnsi"/>
                <w:sz w:val="18"/>
                <w:szCs w:val="18"/>
                <w:lang w:eastAsia="pl-PL"/>
              </w:rPr>
            </w:pPr>
            <w:r w:rsidRPr="00F25EBD">
              <w:rPr>
                <w:rFonts w:asciiTheme="majorHAnsi" w:eastAsia="Times New Roman" w:hAnsiTheme="majorHAnsi" w:cstheme="majorHAnsi"/>
                <w:sz w:val="18"/>
                <w:szCs w:val="18"/>
                <w:lang w:eastAsia="pl-PL"/>
              </w:rPr>
              <w:t>6,4</w:t>
            </w:r>
          </w:p>
        </w:tc>
        <w:tc>
          <w:tcPr>
            <w:tcW w:w="514"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4907935A" w14:textId="77777777" w:rsidR="00EA2B5F" w:rsidRPr="00F25EBD" w:rsidRDefault="00EA2B5F" w:rsidP="00F37B88">
            <w:pPr>
              <w:spacing w:after="0" w:line="240" w:lineRule="auto"/>
              <w:jc w:val="center"/>
              <w:rPr>
                <w:rFonts w:asciiTheme="majorHAnsi" w:eastAsia="Times New Roman" w:hAnsiTheme="majorHAnsi" w:cstheme="majorHAnsi"/>
                <w:sz w:val="16"/>
                <w:szCs w:val="16"/>
                <w:lang w:eastAsia="pl-PL"/>
              </w:rPr>
            </w:pPr>
            <w:r w:rsidRPr="00F25EBD">
              <w:rPr>
                <w:rFonts w:asciiTheme="majorHAnsi" w:eastAsia="Times New Roman" w:hAnsiTheme="majorHAnsi" w:cstheme="majorHAnsi"/>
                <w:sz w:val="16"/>
                <w:szCs w:val="16"/>
                <w:lang w:eastAsia="pl-PL"/>
              </w:rPr>
              <w:t>3.052.312,4</w:t>
            </w:r>
          </w:p>
        </w:tc>
        <w:tc>
          <w:tcPr>
            <w:tcW w:w="356"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42ACAE19" w14:textId="77777777" w:rsidR="00EA2B5F" w:rsidRPr="00F25EBD" w:rsidRDefault="00EA2B5F" w:rsidP="00F37B88">
            <w:pPr>
              <w:spacing w:after="0" w:line="240" w:lineRule="auto"/>
              <w:jc w:val="center"/>
              <w:rPr>
                <w:rFonts w:asciiTheme="majorHAnsi" w:eastAsia="Times New Roman" w:hAnsiTheme="majorHAnsi" w:cstheme="majorHAnsi"/>
                <w:sz w:val="18"/>
                <w:szCs w:val="18"/>
                <w:lang w:eastAsia="pl-PL"/>
              </w:rPr>
            </w:pPr>
            <w:r w:rsidRPr="00F25EBD">
              <w:rPr>
                <w:rFonts w:asciiTheme="majorHAnsi" w:eastAsia="Times New Roman" w:hAnsiTheme="majorHAnsi" w:cstheme="majorHAnsi"/>
                <w:sz w:val="18"/>
                <w:szCs w:val="18"/>
                <w:lang w:eastAsia="pl-PL"/>
              </w:rPr>
              <w:t>6,3</w:t>
            </w:r>
          </w:p>
        </w:tc>
        <w:tc>
          <w:tcPr>
            <w:tcW w:w="514"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759FDD14" w14:textId="77777777" w:rsidR="00EA2B5F" w:rsidRPr="00F25EBD" w:rsidRDefault="00EA2B5F" w:rsidP="00F37B88">
            <w:pPr>
              <w:spacing w:after="0" w:line="240" w:lineRule="auto"/>
              <w:jc w:val="center"/>
              <w:rPr>
                <w:rFonts w:asciiTheme="majorHAnsi" w:eastAsia="Times New Roman" w:hAnsiTheme="majorHAnsi" w:cstheme="majorHAnsi"/>
                <w:sz w:val="16"/>
                <w:szCs w:val="16"/>
                <w:lang w:eastAsia="pl-PL"/>
              </w:rPr>
            </w:pPr>
            <w:r w:rsidRPr="00F25EBD">
              <w:rPr>
                <w:rFonts w:asciiTheme="majorHAnsi" w:eastAsia="Times New Roman" w:hAnsiTheme="majorHAnsi" w:cstheme="majorHAnsi"/>
                <w:sz w:val="16"/>
                <w:szCs w:val="16"/>
                <w:lang w:eastAsia="pl-PL"/>
              </w:rPr>
              <w:t>2.554.744,6</w:t>
            </w:r>
          </w:p>
        </w:tc>
        <w:tc>
          <w:tcPr>
            <w:tcW w:w="356"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10F14CF8" w14:textId="77777777" w:rsidR="00EA2B5F" w:rsidRPr="00F25EBD" w:rsidRDefault="00EA2B5F" w:rsidP="00F37B88">
            <w:pPr>
              <w:spacing w:after="0" w:line="240" w:lineRule="auto"/>
              <w:jc w:val="center"/>
              <w:rPr>
                <w:rFonts w:asciiTheme="majorHAnsi" w:eastAsia="Times New Roman" w:hAnsiTheme="majorHAnsi" w:cstheme="majorHAnsi"/>
                <w:sz w:val="18"/>
                <w:szCs w:val="18"/>
                <w:lang w:eastAsia="pl-PL"/>
              </w:rPr>
            </w:pPr>
            <w:r w:rsidRPr="00F25EBD">
              <w:rPr>
                <w:rFonts w:asciiTheme="majorHAnsi" w:eastAsia="Times New Roman" w:hAnsiTheme="majorHAnsi" w:cstheme="majorHAnsi"/>
                <w:sz w:val="18"/>
                <w:szCs w:val="18"/>
                <w:lang w:eastAsia="pl-PL"/>
              </w:rPr>
              <w:t>3,5</w:t>
            </w:r>
          </w:p>
        </w:tc>
        <w:tc>
          <w:tcPr>
            <w:tcW w:w="514"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14226D95" w14:textId="77777777" w:rsidR="00EA2B5F" w:rsidRPr="00F25EBD" w:rsidRDefault="00EA2B5F" w:rsidP="00F37B88">
            <w:pPr>
              <w:spacing w:after="0" w:line="240" w:lineRule="auto"/>
              <w:jc w:val="center"/>
              <w:rPr>
                <w:rFonts w:asciiTheme="majorHAnsi" w:eastAsia="Times New Roman" w:hAnsiTheme="majorHAnsi" w:cstheme="majorHAnsi"/>
                <w:sz w:val="16"/>
                <w:szCs w:val="16"/>
                <w:lang w:eastAsia="pl-PL"/>
              </w:rPr>
            </w:pPr>
            <w:r w:rsidRPr="00F25EBD">
              <w:rPr>
                <w:rFonts w:asciiTheme="majorHAnsi" w:eastAsia="Times New Roman" w:hAnsiTheme="majorHAnsi" w:cstheme="majorHAnsi"/>
                <w:sz w:val="16"/>
                <w:szCs w:val="16"/>
                <w:lang w:eastAsia="pl-PL"/>
              </w:rPr>
              <w:t>7.398.708,3</w:t>
            </w:r>
          </w:p>
        </w:tc>
        <w:tc>
          <w:tcPr>
            <w:tcW w:w="356"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07D2BC68" w14:textId="77777777" w:rsidR="00EA2B5F" w:rsidRPr="00F25EBD" w:rsidRDefault="00EA2B5F" w:rsidP="00F37B88">
            <w:pPr>
              <w:spacing w:after="0" w:line="240" w:lineRule="auto"/>
              <w:jc w:val="center"/>
              <w:rPr>
                <w:rFonts w:asciiTheme="majorHAnsi" w:eastAsia="Times New Roman" w:hAnsiTheme="majorHAnsi" w:cstheme="majorHAnsi"/>
                <w:sz w:val="18"/>
                <w:szCs w:val="18"/>
                <w:lang w:eastAsia="pl-PL"/>
              </w:rPr>
            </w:pPr>
            <w:r w:rsidRPr="00F25EBD">
              <w:rPr>
                <w:rFonts w:asciiTheme="majorHAnsi" w:eastAsia="Times New Roman" w:hAnsiTheme="majorHAnsi" w:cstheme="majorHAnsi"/>
                <w:sz w:val="18"/>
                <w:szCs w:val="18"/>
                <w:lang w:eastAsia="pl-PL"/>
              </w:rPr>
              <w:t>7,8</w:t>
            </w:r>
          </w:p>
        </w:tc>
      </w:tr>
      <w:tr w:rsidR="00EA2B5F" w:rsidRPr="00F25EBD" w14:paraId="000D4861" w14:textId="77777777" w:rsidTr="00F37B88">
        <w:trPr>
          <w:trHeight w:val="240"/>
        </w:trPr>
        <w:tc>
          <w:tcPr>
            <w:tcW w:w="1047" w:type="pct"/>
            <w:vMerge/>
            <w:tcBorders>
              <w:top w:val="single" w:sz="4" w:space="0" w:color="808080" w:themeColor="background1" w:themeShade="80"/>
              <w:bottom w:val="single" w:sz="4" w:space="0" w:color="808080" w:themeColor="background1" w:themeShade="80"/>
            </w:tcBorders>
            <w:vAlign w:val="center"/>
            <w:hideMark/>
          </w:tcPr>
          <w:p w14:paraId="25778B03" w14:textId="77777777" w:rsidR="00EA2B5F" w:rsidRPr="00F25EBD" w:rsidRDefault="00EA2B5F" w:rsidP="00F37B88">
            <w:pPr>
              <w:spacing w:after="0" w:line="240" w:lineRule="auto"/>
              <w:rPr>
                <w:rFonts w:asciiTheme="majorHAnsi" w:eastAsia="Times New Roman" w:hAnsiTheme="majorHAnsi" w:cstheme="majorHAnsi"/>
                <w:sz w:val="18"/>
                <w:szCs w:val="18"/>
                <w:lang w:eastAsia="pl-PL"/>
              </w:rPr>
            </w:pPr>
          </w:p>
        </w:tc>
        <w:tc>
          <w:tcPr>
            <w:tcW w:w="474"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761CB1DA" w14:textId="77777777" w:rsidR="00EA2B5F" w:rsidRPr="00F25EBD" w:rsidRDefault="00EA2B5F" w:rsidP="00F37B88">
            <w:pPr>
              <w:spacing w:after="0" w:line="240" w:lineRule="auto"/>
              <w:jc w:val="center"/>
              <w:rPr>
                <w:rFonts w:asciiTheme="majorHAnsi" w:eastAsia="Times New Roman" w:hAnsiTheme="majorHAnsi" w:cstheme="majorHAnsi"/>
                <w:sz w:val="18"/>
                <w:szCs w:val="18"/>
                <w:lang w:eastAsia="pl-PL"/>
              </w:rPr>
            </w:pPr>
            <w:r w:rsidRPr="00F25EBD">
              <w:rPr>
                <w:rFonts w:asciiTheme="majorHAnsi" w:eastAsia="Times New Roman" w:hAnsiTheme="majorHAnsi" w:cstheme="majorHAnsi"/>
                <w:sz w:val="18"/>
                <w:szCs w:val="18"/>
                <w:lang w:eastAsia="pl-PL"/>
              </w:rPr>
              <w:t xml:space="preserve">zmiana </w:t>
            </w:r>
            <w:r w:rsidRPr="00F25EBD">
              <w:rPr>
                <w:rFonts w:asciiTheme="majorHAnsi" w:eastAsia="Times New Roman" w:hAnsiTheme="majorHAnsi" w:cstheme="majorHAnsi"/>
                <w:sz w:val="18"/>
                <w:szCs w:val="18"/>
                <w:lang w:eastAsia="pl-PL"/>
              </w:rPr>
              <w:br/>
              <w:t>w %</w:t>
            </w:r>
          </w:p>
        </w:tc>
        <w:tc>
          <w:tcPr>
            <w:tcW w:w="514"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45DFE823" w14:textId="77777777" w:rsidR="00EA2B5F" w:rsidRPr="00F25EBD" w:rsidRDefault="00EA2B5F" w:rsidP="00F37B88">
            <w:pPr>
              <w:spacing w:after="0" w:line="240" w:lineRule="auto"/>
              <w:jc w:val="center"/>
              <w:rPr>
                <w:rFonts w:asciiTheme="majorHAnsi" w:eastAsia="Times New Roman" w:hAnsiTheme="majorHAnsi" w:cstheme="majorHAnsi"/>
                <w:sz w:val="18"/>
                <w:szCs w:val="18"/>
                <w:lang w:eastAsia="pl-PL"/>
              </w:rPr>
            </w:pPr>
            <w:r w:rsidRPr="00F25EBD">
              <w:rPr>
                <w:rFonts w:asciiTheme="majorHAnsi" w:eastAsia="Times New Roman" w:hAnsiTheme="majorHAnsi" w:cstheme="majorHAnsi"/>
                <w:sz w:val="18"/>
                <w:szCs w:val="18"/>
                <w:lang w:eastAsia="pl-PL"/>
              </w:rPr>
              <w:t>-</w:t>
            </w:r>
          </w:p>
        </w:tc>
        <w:tc>
          <w:tcPr>
            <w:tcW w:w="356"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39D96EF1" w14:textId="77777777" w:rsidR="00EA2B5F" w:rsidRPr="00F25EBD" w:rsidRDefault="00EA2B5F" w:rsidP="00F37B88">
            <w:pPr>
              <w:spacing w:after="0" w:line="240" w:lineRule="auto"/>
              <w:jc w:val="center"/>
              <w:rPr>
                <w:rFonts w:asciiTheme="majorHAnsi" w:eastAsia="Times New Roman" w:hAnsiTheme="majorHAnsi" w:cstheme="majorHAnsi"/>
                <w:sz w:val="18"/>
                <w:szCs w:val="18"/>
                <w:lang w:eastAsia="pl-PL"/>
              </w:rPr>
            </w:pPr>
            <w:r w:rsidRPr="00F25EBD">
              <w:rPr>
                <w:rFonts w:asciiTheme="majorHAnsi" w:eastAsia="Times New Roman" w:hAnsiTheme="majorHAnsi" w:cstheme="majorHAnsi"/>
                <w:sz w:val="18"/>
                <w:szCs w:val="18"/>
                <w:lang w:eastAsia="pl-PL"/>
              </w:rPr>
              <w:t>-</w:t>
            </w:r>
          </w:p>
        </w:tc>
        <w:tc>
          <w:tcPr>
            <w:tcW w:w="514"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6581E06D" w14:textId="77777777" w:rsidR="00EA2B5F" w:rsidRPr="00F25EBD" w:rsidRDefault="00EA2B5F" w:rsidP="00F37B88">
            <w:pPr>
              <w:spacing w:after="0" w:line="240" w:lineRule="auto"/>
              <w:jc w:val="center"/>
              <w:rPr>
                <w:rFonts w:asciiTheme="majorHAnsi" w:eastAsia="Times New Roman" w:hAnsiTheme="majorHAnsi" w:cstheme="majorHAnsi"/>
                <w:sz w:val="18"/>
                <w:szCs w:val="18"/>
                <w:lang w:eastAsia="pl-PL"/>
              </w:rPr>
            </w:pPr>
            <w:r w:rsidRPr="00F25EBD">
              <w:rPr>
                <w:rFonts w:asciiTheme="majorHAnsi" w:eastAsia="Times New Roman" w:hAnsiTheme="majorHAnsi" w:cstheme="majorHAnsi"/>
                <w:sz w:val="18"/>
                <w:szCs w:val="18"/>
                <w:lang w:eastAsia="pl-PL"/>
              </w:rPr>
              <w:t>-</w:t>
            </w:r>
          </w:p>
        </w:tc>
        <w:tc>
          <w:tcPr>
            <w:tcW w:w="356"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428B9D60" w14:textId="77777777" w:rsidR="00EA2B5F" w:rsidRPr="00F25EBD" w:rsidRDefault="00EA2B5F" w:rsidP="00F37B88">
            <w:pPr>
              <w:spacing w:after="0" w:line="240" w:lineRule="auto"/>
              <w:jc w:val="center"/>
              <w:rPr>
                <w:rFonts w:asciiTheme="majorHAnsi" w:eastAsia="Times New Roman" w:hAnsiTheme="majorHAnsi" w:cstheme="majorHAnsi"/>
                <w:sz w:val="18"/>
                <w:szCs w:val="18"/>
                <w:lang w:eastAsia="pl-PL"/>
              </w:rPr>
            </w:pPr>
            <w:r w:rsidRPr="00F25EBD">
              <w:rPr>
                <w:rFonts w:asciiTheme="majorHAnsi" w:eastAsia="Times New Roman" w:hAnsiTheme="majorHAnsi" w:cstheme="majorHAnsi"/>
                <w:sz w:val="18"/>
                <w:szCs w:val="18"/>
                <w:lang w:eastAsia="pl-PL"/>
              </w:rPr>
              <w:t>-</w:t>
            </w:r>
          </w:p>
        </w:tc>
        <w:tc>
          <w:tcPr>
            <w:tcW w:w="514"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0121354F" w14:textId="77777777" w:rsidR="00EA2B5F" w:rsidRPr="00F25EBD" w:rsidRDefault="00EA2B5F" w:rsidP="00F37B88">
            <w:pPr>
              <w:spacing w:after="0" w:line="240" w:lineRule="auto"/>
              <w:jc w:val="center"/>
              <w:rPr>
                <w:rFonts w:asciiTheme="majorHAnsi" w:eastAsia="Times New Roman" w:hAnsiTheme="majorHAnsi" w:cstheme="majorHAnsi"/>
                <w:sz w:val="18"/>
                <w:szCs w:val="18"/>
                <w:lang w:eastAsia="pl-PL"/>
              </w:rPr>
            </w:pPr>
            <w:r w:rsidRPr="00F25EBD">
              <w:rPr>
                <w:rFonts w:asciiTheme="majorHAnsi" w:eastAsia="Times New Roman" w:hAnsiTheme="majorHAnsi" w:cstheme="majorHAnsi"/>
                <w:sz w:val="18"/>
                <w:szCs w:val="18"/>
                <w:lang w:eastAsia="pl-PL"/>
              </w:rPr>
              <w:t>-</w:t>
            </w:r>
          </w:p>
        </w:tc>
        <w:tc>
          <w:tcPr>
            <w:tcW w:w="356"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7206CB79" w14:textId="77777777" w:rsidR="00EA2B5F" w:rsidRPr="00F25EBD" w:rsidRDefault="00EA2B5F" w:rsidP="00F37B88">
            <w:pPr>
              <w:spacing w:after="0" w:line="240" w:lineRule="auto"/>
              <w:jc w:val="center"/>
              <w:rPr>
                <w:rFonts w:asciiTheme="majorHAnsi" w:eastAsia="Times New Roman" w:hAnsiTheme="majorHAnsi" w:cstheme="majorHAnsi"/>
                <w:sz w:val="18"/>
                <w:szCs w:val="18"/>
                <w:lang w:eastAsia="pl-PL"/>
              </w:rPr>
            </w:pPr>
            <w:r w:rsidRPr="00F25EBD">
              <w:rPr>
                <w:rFonts w:asciiTheme="majorHAnsi" w:eastAsia="Times New Roman" w:hAnsiTheme="majorHAnsi" w:cstheme="majorHAnsi"/>
                <w:sz w:val="18"/>
                <w:szCs w:val="18"/>
                <w:lang w:eastAsia="pl-PL"/>
              </w:rPr>
              <w:t>-</w:t>
            </w:r>
          </w:p>
        </w:tc>
        <w:tc>
          <w:tcPr>
            <w:tcW w:w="514"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09B8CE82" w14:textId="77777777" w:rsidR="00EA2B5F" w:rsidRPr="00F25EBD" w:rsidRDefault="00EA2B5F" w:rsidP="00F37B88">
            <w:pPr>
              <w:spacing w:after="0" w:line="240" w:lineRule="auto"/>
              <w:jc w:val="center"/>
              <w:rPr>
                <w:rFonts w:asciiTheme="majorHAnsi" w:eastAsia="Times New Roman" w:hAnsiTheme="majorHAnsi" w:cstheme="majorHAnsi"/>
                <w:sz w:val="18"/>
                <w:szCs w:val="18"/>
                <w:lang w:eastAsia="pl-PL"/>
              </w:rPr>
            </w:pPr>
            <w:r w:rsidRPr="00F25EBD">
              <w:rPr>
                <w:rFonts w:asciiTheme="majorHAnsi" w:eastAsia="Times New Roman" w:hAnsiTheme="majorHAnsi" w:cstheme="majorHAnsi"/>
                <w:sz w:val="18"/>
                <w:szCs w:val="18"/>
                <w:lang w:eastAsia="pl-PL"/>
              </w:rPr>
              <w:t>-</w:t>
            </w:r>
          </w:p>
        </w:tc>
        <w:tc>
          <w:tcPr>
            <w:tcW w:w="356" w:type="pct"/>
            <w:tcBorders>
              <w:top w:val="single" w:sz="4" w:space="0" w:color="808080" w:themeColor="background1" w:themeShade="80"/>
              <w:bottom w:val="single" w:sz="4" w:space="0" w:color="808080" w:themeColor="background1" w:themeShade="80"/>
            </w:tcBorders>
            <w:shd w:val="clear" w:color="auto" w:fill="auto"/>
            <w:noWrap/>
            <w:vAlign w:val="center"/>
            <w:hideMark/>
          </w:tcPr>
          <w:p w14:paraId="11D6FF50" w14:textId="77777777" w:rsidR="00EA2B5F" w:rsidRPr="00F25EBD" w:rsidRDefault="00EA2B5F" w:rsidP="00F37B88">
            <w:pPr>
              <w:spacing w:after="0" w:line="240" w:lineRule="auto"/>
              <w:jc w:val="center"/>
              <w:rPr>
                <w:rFonts w:asciiTheme="majorHAnsi" w:eastAsia="Times New Roman" w:hAnsiTheme="majorHAnsi" w:cstheme="majorHAnsi"/>
                <w:sz w:val="18"/>
                <w:szCs w:val="18"/>
                <w:lang w:eastAsia="pl-PL"/>
              </w:rPr>
            </w:pPr>
            <w:r w:rsidRPr="00F25EBD">
              <w:rPr>
                <w:rFonts w:asciiTheme="majorHAnsi" w:eastAsia="Times New Roman" w:hAnsiTheme="majorHAnsi" w:cstheme="majorHAnsi"/>
                <w:sz w:val="18"/>
                <w:szCs w:val="18"/>
                <w:lang w:eastAsia="pl-PL"/>
              </w:rPr>
              <w:t>-</w:t>
            </w:r>
          </w:p>
        </w:tc>
      </w:tr>
    </w:tbl>
    <w:p w14:paraId="189E5A14" w14:textId="77777777" w:rsidR="00EA2B5F" w:rsidRPr="00F25EBD" w:rsidRDefault="00EA2B5F" w:rsidP="00F37B88">
      <w:pPr>
        <w:pStyle w:val="rdo"/>
      </w:pPr>
      <w:r w:rsidRPr="00F25EBD">
        <w:t>Źródło: opracowanie własne na podstawie danych BDL.</w:t>
      </w:r>
    </w:p>
    <w:p w14:paraId="0DF26485" w14:textId="77777777" w:rsidR="00EA2B5F" w:rsidRPr="00F25EBD" w:rsidRDefault="00EA2B5F" w:rsidP="00FC7062">
      <w:pPr>
        <w:spacing w:after="0" w:line="276" w:lineRule="auto"/>
        <w:jc w:val="both"/>
        <w:rPr>
          <w:rFonts w:asciiTheme="majorHAnsi" w:hAnsiTheme="majorHAnsi" w:cstheme="majorHAnsi"/>
        </w:rPr>
      </w:pPr>
    </w:p>
    <w:p w14:paraId="27070CBE" w14:textId="77777777" w:rsidR="00EA2B5F" w:rsidRPr="00F25EBD" w:rsidRDefault="00EA2B5F" w:rsidP="00FC7062">
      <w:pPr>
        <w:spacing w:after="0" w:line="276" w:lineRule="auto"/>
        <w:jc w:val="both"/>
        <w:rPr>
          <w:rFonts w:asciiTheme="majorHAnsi" w:hAnsiTheme="majorHAnsi" w:cstheme="majorHAnsi"/>
        </w:rPr>
      </w:pPr>
      <w:r w:rsidRPr="00F25EBD">
        <w:rPr>
          <w:rFonts w:asciiTheme="majorHAnsi" w:hAnsiTheme="majorHAnsi" w:cstheme="majorHAnsi"/>
        </w:rPr>
        <w:t xml:space="preserve">Ostatnim elementem gospodarki finansowej powiatów PM jest uzyskiwany przez nie wynik finansowy. Najkorzystniejsza sytuacja w tym zakresie panowała w powiecie działdowskim, który wykazał deficyt jedynie w dwóch pierwszych latach analizy. Nieco większą liczbę lat z ujemnym wynikiem finansowym odnotowały powiat nidzicki (2010, 2011, 2017) oraz piski (2013, 2014, 2017, 2018). Najmniej korzystnie wypadł na tym tle powiat szczycieński, w którym deficyt pojawił się w sześciu z dziesięciu lat objętych analizą (rys.). </w:t>
      </w:r>
    </w:p>
    <w:p w14:paraId="54808ED0" w14:textId="77777777" w:rsidR="00EA2B5F" w:rsidRPr="00F25EBD" w:rsidRDefault="00EA2B5F" w:rsidP="00FC7062">
      <w:pPr>
        <w:spacing w:after="0" w:line="276" w:lineRule="auto"/>
        <w:jc w:val="both"/>
        <w:rPr>
          <w:rFonts w:asciiTheme="majorHAnsi" w:hAnsiTheme="majorHAnsi" w:cstheme="majorHAnsi"/>
        </w:rPr>
      </w:pPr>
    </w:p>
    <w:p w14:paraId="62F39541" w14:textId="52144560" w:rsidR="00EA2B5F" w:rsidRPr="00F25EBD" w:rsidRDefault="00EA2B5F" w:rsidP="00F37B88">
      <w:pPr>
        <w:pStyle w:val="nad"/>
      </w:pPr>
      <w:bookmarkStart w:id="81" w:name="_Toc81301562"/>
      <w:r w:rsidRPr="00F25EBD">
        <w:t xml:space="preserve">Rysunek </w:t>
      </w:r>
      <w:r w:rsidRPr="00F25EBD">
        <w:rPr>
          <w:noProof/>
        </w:rPr>
        <w:fldChar w:fldCharType="begin"/>
      </w:r>
      <w:r w:rsidRPr="00F25EBD">
        <w:rPr>
          <w:noProof/>
        </w:rPr>
        <w:instrText xml:space="preserve"> SEQ Rysunek \* ARABIC </w:instrText>
      </w:r>
      <w:r w:rsidRPr="00F25EBD">
        <w:rPr>
          <w:noProof/>
        </w:rPr>
        <w:fldChar w:fldCharType="separate"/>
      </w:r>
      <w:r w:rsidR="006C7815">
        <w:rPr>
          <w:noProof/>
        </w:rPr>
        <w:t>34</w:t>
      </w:r>
      <w:r w:rsidRPr="00F25EBD">
        <w:rPr>
          <w:noProof/>
        </w:rPr>
        <w:fldChar w:fldCharType="end"/>
      </w:r>
      <w:r w:rsidRPr="00F25EBD">
        <w:t>. Wynik finansowy budżetów powiatów Południowych Mazur w latach 2010-2019</w:t>
      </w:r>
      <w:bookmarkEnd w:id="81"/>
    </w:p>
    <w:p w14:paraId="35B1DAB2" w14:textId="77777777" w:rsidR="00EA2B5F" w:rsidRPr="00F25EBD" w:rsidRDefault="00EA2B5F" w:rsidP="00FC7062">
      <w:pPr>
        <w:spacing w:after="0" w:line="276" w:lineRule="auto"/>
        <w:jc w:val="center"/>
        <w:rPr>
          <w:rFonts w:asciiTheme="majorHAnsi" w:hAnsiTheme="majorHAnsi" w:cstheme="majorHAnsi"/>
        </w:rPr>
      </w:pPr>
      <w:r w:rsidRPr="00F25EBD">
        <w:rPr>
          <w:rFonts w:asciiTheme="majorHAnsi" w:hAnsiTheme="majorHAnsi" w:cstheme="majorHAnsi"/>
          <w:noProof/>
          <w:lang w:eastAsia="pl-PL"/>
        </w:rPr>
        <w:drawing>
          <wp:inline distT="0" distB="0" distL="0" distR="0" wp14:anchorId="06CCB819" wp14:editId="7667DBBA">
            <wp:extent cx="5759450" cy="1811547"/>
            <wp:effectExtent l="0" t="0" r="12700" b="17780"/>
            <wp:docPr id="38" name="Wykres 38">
              <a:extLst xmlns:a="http://schemas.openxmlformats.org/drawingml/2006/main">
                <a:ext uri="{FF2B5EF4-FFF2-40B4-BE49-F238E27FC236}">
                  <a16:creationId xmlns:a16="http://schemas.microsoft.com/office/drawing/2014/main" id="{328D25E6-AB6D-4D2F-8735-ADFBB52FA4C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031FB0B7" w14:textId="77777777" w:rsidR="00EA2B5F" w:rsidRPr="00F25EBD" w:rsidRDefault="00EA2B5F" w:rsidP="00F37B88">
      <w:pPr>
        <w:pStyle w:val="rdo"/>
      </w:pPr>
      <w:r w:rsidRPr="00F25EBD">
        <w:t>Źródło: opracowanie własne na podstawie danych BDL.</w:t>
      </w:r>
    </w:p>
    <w:p w14:paraId="1597A289" w14:textId="39B2AFD9" w:rsidR="00EA2B5F" w:rsidRPr="00F25EBD" w:rsidRDefault="00F37B88" w:rsidP="00F37B88">
      <w:pPr>
        <w:pStyle w:val="Nagwek2"/>
        <w:spacing w:before="0"/>
        <w:jc w:val="both"/>
        <w:rPr>
          <w:rFonts w:cstheme="majorHAnsi"/>
        </w:rPr>
      </w:pPr>
      <w:bookmarkStart w:id="82" w:name="_Toc77070621"/>
      <w:r>
        <w:rPr>
          <w:rFonts w:cstheme="majorHAnsi"/>
        </w:rPr>
        <w:t xml:space="preserve">7.2 </w:t>
      </w:r>
      <w:r w:rsidR="00EA2B5F" w:rsidRPr="00F25EBD">
        <w:rPr>
          <w:rFonts w:cstheme="majorHAnsi"/>
        </w:rPr>
        <w:t>Opracowane programy średniookresowe</w:t>
      </w:r>
      <w:bookmarkEnd w:id="82"/>
    </w:p>
    <w:p w14:paraId="2B30D0F0" w14:textId="40039CEC" w:rsidR="00EA2B5F" w:rsidRPr="00F25EBD" w:rsidRDefault="00EA2B5F" w:rsidP="00FC7062">
      <w:pPr>
        <w:spacing w:after="0" w:line="276" w:lineRule="auto"/>
        <w:jc w:val="both"/>
        <w:rPr>
          <w:rFonts w:asciiTheme="majorHAnsi" w:hAnsiTheme="majorHAnsi" w:cstheme="majorHAnsi"/>
        </w:rPr>
      </w:pPr>
      <w:r w:rsidRPr="00F25EBD">
        <w:rPr>
          <w:rFonts w:asciiTheme="majorHAnsi" w:hAnsiTheme="majorHAnsi" w:cstheme="majorHAnsi"/>
        </w:rPr>
        <w:t>Programy średniookresowe realizowane przez powiaty Południowych Mazur zestawione są w</w:t>
      </w:r>
      <w:r w:rsidR="007B04A7">
        <w:rPr>
          <w:rFonts w:asciiTheme="majorHAnsi" w:hAnsiTheme="majorHAnsi" w:cstheme="majorHAnsi"/>
        </w:rPr>
        <w:t xml:space="preserve"> </w:t>
      </w:r>
      <w:r w:rsidRPr="00F25EBD">
        <w:rPr>
          <w:rFonts w:asciiTheme="majorHAnsi" w:hAnsiTheme="majorHAnsi" w:cstheme="majorHAnsi"/>
        </w:rPr>
        <w:t>poniższej tabeli.</w:t>
      </w:r>
    </w:p>
    <w:p w14:paraId="1BB7297A" w14:textId="73E16F6B" w:rsidR="00F37B88" w:rsidRDefault="00F37B88" w:rsidP="00BB5769">
      <w:pPr>
        <w:pStyle w:val="nad"/>
        <w:spacing w:before="120"/>
      </w:pPr>
      <w:bookmarkStart w:id="83" w:name="_Toc81300544"/>
      <w:r>
        <w:t xml:space="preserve">Tabela </w:t>
      </w:r>
      <w:r w:rsidR="002E1EA5">
        <w:rPr>
          <w:noProof/>
        </w:rPr>
        <w:fldChar w:fldCharType="begin"/>
      </w:r>
      <w:r w:rsidR="002E1EA5">
        <w:rPr>
          <w:noProof/>
        </w:rPr>
        <w:instrText xml:space="preserve"> SEQ Tabela \* ARABIC </w:instrText>
      </w:r>
      <w:r w:rsidR="002E1EA5">
        <w:rPr>
          <w:noProof/>
        </w:rPr>
        <w:fldChar w:fldCharType="separate"/>
      </w:r>
      <w:r w:rsidR="006C7815">
        <w:rPr>
          <w:noProof/>
        </w:rPr>
        <w:t>18</w:t>
      </w:r>
      <w:r w:rsidR="002E1EA5">
        <w:rPr>
          <w:noProof/>
        </w:rPr>
        <w:fldChar w:fldCharType="end"/>
      </w:r>
      <w:r>
        <w:t xml:space="preserve"> </w:t>
      </w:r>
      <w:r w:rsidRPr="00F37B88">
        <w:t>Programy średniookresowe realizowane przez powiaty Południowych Mazur</w:t>
      </w:r>
      <w:bookmarkEnd w:id="83"/>
    </w:p>
    <w:tbl>
      <w:tblPr>
        <w:tblStyle w:val="Tabela-Siatka"/>
        <w:tblW w:w="5006" w:type="pct"/>
        <w:tblInd w:w="-5" w:type="dxa"/>
        <w:tblLook w:val="04A0" w:firstRow="1" w:lastRow="0" w:firstColumn="1" w:lastColumn="0" w:noHBand="0" w:noVBand="1"/>
      </w:tblPr>
      <w:tblGrid>
        <w:gridCol w:w="5195"/>
        <w:gridCol w:w="1140"/>
        <w:gridCol w:w="1368"/>
        <w:gridCol w:w="1368"/>
      </w:tblGrid>
      <w:tr w:rsidR="00F37B88" w:rsidRPr="00BB5769" w14:paraId="2C1D2751" w14:textId="77777777" w:rsidTr="00BB5769">
        <w:trPr>
          <w:trHeight w:val="113"/>
          <w:tblHeader/>
        </w:trPr>
        <w:tc>
          <w:tcPr>
            <w:tcW w:w="286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vAlign w:val="center"/>
          </w:tcPr>
          <w:p w14:paraId="5AF5BAC5" w14:textId="77777777" w:rsidR="00EA2B5F" w:rsidRPr="00BB5769" w:rsidRDefault="00EA2B5F" w:rsidP="00F37B88">
            <w:pPr>
              <w:jc w:val="center"/>
              <w:rPr>
                <w:rFonts w:asciiTheme="majorHAnsi" w:hAnsiTheme="majorHAnsi" w:cstheme="majorHAnsi"/>
                <w:color w:val="FFFFFF" w:themeColor="background1"/>
                <w:sz w:val="16"/>
                <w:szCs w:val="18"/>
              </w:rPr>
            </w:pPr>
            <w:r w:rsidRPr="00BB5769">
              <w:rPr>
                <w:rFonts w:asciiTheme="majorHAnsi" w:hAnsiTheme="majorHAnsi" w:cstheme="majorHAnsi"/>
                <w:color w:val="FFFFFF" w:themeColor="background1"/>
                <w:sz w:val="16"/>
                <w:szCs w:val="18"/>
              </w:rPr>
              <w:t>Tytuł dokumentu</w:t>
            </w:r>
          </w:p>
        </w:tc>
        <w:tc>
          <w:tcPr>
            <w:tcW w:w="62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vAlign w:val="center"/>
          </w:tcPr>
          <w:p w14:paraId="200AF90D" w14:textId="77777777" w:rsidR="00EA2B5F" w:rsidRPr="00BB5769" w:rsidRDefault="00EA2B5F" w:rsidP="00F37B88">
            <w:pPr>
              <w:jc w:val="center"/>
              <w:rPr>
                <w:rFonts w:asciiTheme="majorHAnsi" w:hAnsiTheme="majorHAnsi" w:cstheme="majorHAnsi"/>
                <w:color w:val="FFFFFF" w:themeColor="background1"/>
                <w:sz w:val="16"/>
                <w:szCs w:val="18"/>
              </w:rPr>
            </w:pPr>
            <w:r w:rsidRPr="00BB5769">
              <w:rPr>
                <w:rFonts w:asciiTheme="majorHAnsi" w:hAnsiTheme="majorHAnsi" w:cstheme="majorHAnsi"/>
                <w:color w:val="FFFFFF" w:themeColor="background1"/>
                <w:sz w:val="16"/>
                <w:szCs w:val="18"/>
              </w:rPr>
              <w:t>Data przyjęcia</w:t>
            </w:r>
          </w:p>
        </w:tc>
        <w:tc>
          <w:tcPr>
            <w:tcW w:w="75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vAlign w:val="center"/>
          </w:tcPr>
          <w:p w14:paraId="60012743" w14:textId="77777777" w:rsidR="00EA2B5F" w:rsidRPr="00BB5769" w:rsidRDefault="00EA2B5F" w:rsidP="00F37B88">
            <w:pPr>
              <w:jc w:val="center"/>
              <w:rPr>
                <w:rFonts w:asciiTheme="majorHAnsi" w:hAnsiTheme="majorHAnsi" w:cstheme="majorHAnsi"/>
                <w:color w:val="FFFFFF" w:themeColor="background1"/>
                <w:sz w:val="16"/>
                <w:szCs w:val="18"/>
              </w:rPr>
            </w:pPr>
            <w:r w:rsidRPr="00BB5769">
              <w:rPr>
                <w:rFonts w:asciiTheme="majorHAnsi" w:hAnsiTheme="majorHAnsi" w:cstheme="majorHAnsi"/>
                <w:color w:val="FFFFFF" w:themeColor="background1"/>
                <w:sz w:val="16"/>
                <w:szCs w:val="18"/>
              </w:rPr>
              <w:t>Obszar oddziaływania</w:t>
            </w:r>
          </w:p>
        </w:tc>
        <w:tc>
          <w:tcPr>
            <w:tcW w:w="75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vAlign w:val="center"/>
          </w:tcPr>
          <w:p w14:paraId="274C1061" w14:textId="77777777" w:rsidR="00EA2B5F" w:rsidRPr="00BB5769" w:rsidRDefault="00EA2B5F" w:rsidP="00F37B88">
            <w:pPr>
              <w:jc w:val="center"/>
              <w:rPr>
                <w:rFonts w:asciiTheme="majorHAnsi" w:hAnsiTheme="majorHAnsi" w:cstheme="majorHAnsi"/>
                <w:color w:val="FFFFFF" w:themeColor="background1"/>
                <w:sz w:val="16"/>
                <w:szCs w:val="18"/>
              </w:rPr>
            </w:pPr>
            <w:r w:rsidRPr="00BB5769">
              <w:rPr>
                <w:rFonts w:asciiTheme="majorHAnsi" w:hAnsiTheme="majorHAnsi" w:cstheme="majorHAnsi"/>
                <w:color w:val="FFFFFF" w:themeColor="background1"/>
                <w:sz w:val="16"/>
                <w:szCs w:val="18"/>
              </w:rPr>
              <w:t>Planowana aktualizacja (r.)</w:t>
            </w:r>
          </w:p>
        </w:tc>
      </w:tr>
      <w:tr w:rsidR="00EA2B5F" w:rsidRPr="00BB5769" w14:paraId="66347ABE" w14:textId="77777777" w:rsidTr="00BB5769">
        <w:trPr>
          <w:trHeight w:val="113"/>
        </w:trPr>
        <w:tc>
          <w:tcPr>
            <w:tcW w:w="5000" w:type="pct"/>
            <w:gridSpan w:val="4"/>
            <w:tcBorders>
              <w:top w:val="single" w:sz="4" w:space="0" w:color="FFFFFF" w:themeColor="background1"/>
              <w:left w:val="single" w:sz="4" w:space="0" w:color="FFFFFF" w:themeColor="background1"/>
              <w:bottom w:val="nil"/>
              <w:right w:val="single" w:sz="4" w:space="0" w:color="FFFFFF" w:themeColor="background1"/>
            </w:tcBorders>
            <w:shd w:val="clear" w:color="auto" w:fill="DEEAF6" w:themeFill="accent1" w:themeFillTint="33"/>
            <w:vAlign w:val="center"/>
          </w:tcPr>
          <w:p w14:paraId="757A0C3D" w14:textId="77777777" w:rsidR="00EA2B5F" w:rsidRPr="00BB5769" w:rsidRDefault="00EA2B5F" w:rsidP="00F37B88">
            <w:pPr>
              <w:rPr>
                <w:rFonts w:asciiTheme="majorHAnsi" w:hAnsiTheme="majorHAnsi" w:cstheme="majorHAnsi"/>
                <w:bCs/>
                <w:sz w:val="18"/>
                <w:szCs w:val="18"/>
              </w:rPr>
            </w:pPr>
            <w:r w:rsidRPr="00BB5769">
              <w:rPr>
                <w:rFonts w:asciiTheme="majorHAnsi" w:hAnsiTheme="majorHAnsi" w:cstheme="majorHAnsi"/>
                <w:bCs/>
                <w:sz w:val="18"/>
                <w:szCs w:val="18"/>
              </w:rPr>
              <w:t>Powiat Nidzicki</w:t>
            </w:r>
          </w:p>
        </w:tc>
      </w:tr>
      <w:tr w:rsidR="00EA2B5F" w:rsidRPr="00BB5769" w14:paraId="307B7D1F" w14:textId="77777777" w:rsidTr="00BB5769">
        <w:trPr>
          <w:trHeight w:val="113"/>
        </w:trPr>
        <w:tc>
          <w:tcPr>
            <w:tcW w:w="2864" w:type="pct"/>
            <w:tcBorders>
              <w:top w:val="nil"/>
              <w:left w:val="nil"/>
              <w:bottom w:val="single" w:sz="4" w:space="0" w:color="808080" w:themeColor="background1" w:themeShade="80"/>
              <w:right w:val="nil"/>
            </w:tcBorders>
            <w:vAlign w:val="center"/>
          </w:tcPr>
          <w:p w14:paraId="0655AB29" w14:textId="77777777" w:rsidR="00EA2B5F" w:rsidRPr="00BB5769" w:rsidRDefault="00EA2B5F" w:rsidP="00BB5769">
            <w:pPr>
              <w:rPr>
                <w:rFonts w:asciiTheme="majorHAnsi" w:hAnsiTheme="majorHAnsi" w:cstheme="majorHAnsi"/>
                <w:sz w:val="18"/>
                <w:szCs w:val="18"/>
              </w:rPr>
            </w:pPr>
            <w:r w:rsidRPr="00BB5769">
              <w:rPr>
                <w:rFonts w:asciiTheme="majorHAnsi" w:hAnsiTheme="majorHAnsi" w:cstheme="majorHAnsi"/>
                <w:sz w:val="18"/>
                <w:szCs w:val="18"/>
              </w:rPr>
              <w:t>Strategia Rozwoju Powiatu Nidzickiego na lata 2016-2022</w:t>
            </w:r>
          </w:p>
        </w:tc>
        <w:tc>
          <w:tcPr>
            <w:tcW w:w="628" w:type="pct"/>
            <w:tcBorders>
              <w:top w:val="nil"/>
              <w:left w:val="nil"/>
              <w:bottom w:val="single" w:sz="4" w:space="0" w:color="808080" w:themeColor="background1" w:themeShade="80"/>
              <w:right w:val="nil"/>
            </w:tcBorders>
            <w:vAlign w:val="center"/>
          </w:tcPr>
          <w:p w14:paraId="1F93F919" w14:textId="77777777" w:rsidR="00EA2B5F" w:rsidRPr="00BB5769" w:rsidRDefault="00EA2B5F" w:rsidP="00F37B88">
            <w:pPr>
              <w:jc w:val="center"/>
              <w:rPr>
                <w:rFonts w:asciiTheme="majorHAnsi" w:hAnsiTheme="majorHAnsi" w:cstheme="majorHAnsi"/>
                <w:sz w:val="18"/>
                <w:szCs w:val="18"/>
              </w:rPr>
            </w:pPr>
            <w:r w:rsidRPr="00BB5769">
              <w:rPr>
                <w:rFonts w:asciiTheme="majorHAnsi" w:hAnsiTheme="majorHAnsi" w:cstheme="majorHAnsi"/>
                <w:sz w:val="18"/>
                <w:szCs w:val="18"/>
              </w:rPr>
              <w:t>19.05.2016</w:t>
            </w:r>
          </w:p>
        </w:tc>
        <w:tc>
          <w:tcPr>
            <w:tcW w:w="754" w:type="pct"/>
            <w:tcBorders>
              <w:top w:val="nil"/>
              <w:left w:val="nil"/>
              <w:bottom w:val="single" w:sz="4" w:space="0" w:color="808080" w:themeColor="background1" w:themeShade="80"/>
              <w:right w:val="nil"/>
            </w:tcBorders>
            <w:vAlign w:val="center"/>
          </w:tcPr>
          <w:p w14:paraId="0AC7E636" w14:textId="77777777" w:rsidR="00EA2B5F" w:rsidRPr="00BB5769" w:rsidRDefault="00EA2B5F" w:rsidP="00F37B88">
            <w:pPr>
              <w:jc w:val="center"/>
              <w:rPr>
                <w:rFonts w:asciiTheme="majorHAnsi" w:hAnsiTheme="majorHAnsi" w:cstheme="majorHAnsi"/>
                <w:sz w:val="18"/>
                <w:szCs w:val="18"/>
              </w:rPr>
            </w:pPr>
            <w:r w:rsidRPr="00BB5769">
              <w:rPr>
                <w:rFonts w:asciiTheme="majorHAnsi" w:hAnsiTheme="majorHAnsi" w:cstheme="majorHAnsi"/>
                <w:sz w:val="18"/>
                <w:szCs w:val="18"/>
              </w:rPr>
              <w:t>strategiczny</w:t>
            </w:r>
          </w:p>
        </w:tc>
        <w:tc>
          <w:tcPr>
            <w:tcW w:w="753" w:type="pct"/>
            <w:tcBorders>
              <w:top w:val="nil"/>
              <w:left w:val="nil"/>
              <w:bottom w:val="single" w:sz="4" w:space="0" w:color="808080" w:themeColor="background1" w:themeShade="80"/>
              <w:right w:val="nil"/>
            </w:tcBorders>
            <w:vAlign w:val="center"/>
          </w:tcPr>
          <w:p w14:paraId="31D76CF3" w14:textId="77777777" w:rsidR="00EA2B5F" w:rsidRPr="00BB5769" w:rsidRDefault="00EA2B5F" w:rsidP="00F37B88">
            <w:pPr>
              <w:jc w:val="center"/>
              <w:rPr>
                <w:rFonts w:asciiTheme="majorHAnsi" w:hAnsiTheme="majorHAnsi" w:cstheme="majorHAnsi"/>
                <w:sz w:val="18"/>
                <w:szCs w:val="18"/>
              </w:rPr>
            </w:pPr>
            <w:r w:rsidRPr="00BB5769">
              <w:rPr>
                <w:rFonts w:asciiTheme="majorHAnsi" w:hAnsiTheme="majorHAnsi" w:cstheme="majorHAnsi"/>
                <w:sz w:val="18"/>
                <w:szCs w:val="18"/>
              </w:rPr>
              <w:t>2022</w:t>
            </w:r>
          </w:p>
        </w:tc>
      </w:tr>
      <w:tr w:rsidR="00EA2B5F" w:rsidRPr="00BB5769" w14:paraId="54312485" w14:textId="77777777" w:rsidTr="00BB5769">
        <w:trPr>
          <w:trHeight w:val="113"/>
        </w:trPr>
        <w:tc>
          <w:tcPr>
            <w:tcW w:w="2864" w:type="pct"/>
            <w:tcBorders>
              <w:top w:val="single" w:sz="4" w:space="0" w:color="808080" w:themeColor="background1" w:themeShade="80"/>
              <w:left w:val="nil"/>
              <w:bottom w:val="single" w:sz="4" w:space="0" w:color="808080" w:themeColor="background1" w:themeShade="80"/>
              <w:right w:val="nil"/>
            </w:tcBorders>
            <w:vAlign w:val="center"/>
          </w:tcPr>
          <w:p w14:paraId="0C7BD5BF" w14:textId="77777777" w:rsidR="00EA2B5F" w:rsidRPr="00BB5769" w:rsidRDefault="00EA2B5F" w:rsidP="00BB5769">
            <w:pPr>
              <w:rPr>
                <w:rFonts w:asciiTheme="majorHAnsi" w:hAnsiTheme="majorHAnsi" w:cstheme="majorHAnsi"/>
                <w:sz w:val="18"/>
                <w:szCs w:val="18"/>
              </w:rPr>
            </w:pPr>
            <w:r w:rsidRPr="00BB5769">
              <w:rPr>
                <w:rFonts w:asciiTheme="majorHAnsi" w:hAnsiTheme="majorHAnsi" w:cstheme="majorHAnsi"/>
                <w:sz w:val="18"/>
                <w:szCs w:val="18"/>
              </w:rPr>
              <w:t>Powiatowy Program Przeciwdziałania Przemocy w Rodzinie oraz Ochrony Ofiar Przemocy w Rodzinie w Powiecie Nidzickim na lata 2018-2022</w:t>
            </w:r>
          </w:p>
        </w:tc>
        <w:tc>
          <w:tcPr>
            <w:tcW w:w="628" w:type="pct"/>
            <w:tcBorders>
              <w:top w:val="single" w:sz="4" w:space="0" w:color="808080" w:themeColor="background1" w:themeShade="80"/>
              <w:left w:val="nil"/>
              <w:bottom w:val="single" w:sz="4" w:space="0" w:color="808080" w:themeColor="background1" w:themeShade="80"/>
              <w:right w:val="nil"/>
            </w:tcBorders>
            <w:vAlign w:val="center"/>
          </w:tcPr>
          <w:p w14:paraId="05C3BECE" w14:textId="77777777" w:rsidR="00EA2B5F" w:rsidRPr="00BB5769" w:rsidRDefault="00EA2B5F" w:rsidP="00F37B88">
            <w:pPr>
              <w:jc w:val="center"/>
              <w:rPr>
                <w:rFonts w:asciiTheme="majorHAnsi" w:hAnsiTheme="majorHAnsi" w:cstheme="majorHAnsi"/>
                <w:sz w:val="18"/>
                <w:szCs w:val="18"/>
              </w:rPr>
            </w:pPr>
            <w:r w:rsidRPr="00BB5769">
              <w:rPr>
                <w:rFonts w:asciiTheme="majorHAnsi" w:hAnsiTheme="majorHAnsi" w:cstheme="majorHAnsi"/>
                <w:sz w:val="18"/>
                <w:szCs w:val="18"/>
              </w:rPr>
              <w:t>28.03.2018</w:t>
            </w:r>
          </w:p>
        </w:tc>
        <w:tc>
          <w:tcPr>
            <w:tcW w:w="754" w:type="pct"/>
            <w:tcBorders>
              <w:top w:val="single" w:sz="4" w:space="0" w:color="808080" w:themeColor="background1" w:themeShade="80"/>
              <w:left w:val="nil"/>
              <w:bottom w:val="single" w:sz="4" w:space="0" w:color="808080" w:themeColor="background1" w:themeShade="80"/>
              <w:right w:val="nil"/>
            </w:tcBorders>
            <w:vAlign w:val="center"/>
          </w:tcPr>
          <w:p w14:paraId="417BA413" w14:textId="77777777" w:rsidR="00EA2B5F" w:rsidRPr="00BB5769" w:rsidRDefault="00EA2B5F" w:rsidP="00F37B88">
            <w:pPr>
              <w:jc w:val="center"/>
              <w:rPr>
                <w:rFonts w:asciiTheme="majorHAnsi" w:hAnsiTheme="majorHAnsi" w:cstheme="majorHAnsi"/>
                <w:sz w:val="18"/>
                <w:szCs w:val="18"/>
              </w:rPr>
            </w:pPr>
            <w:r w:rsidRPr="00BB5769">
              <w:rPr>
                <w:rFonts w:asciiTheme="majorHAnsi" w:hAnsiTheme="majorHAnsi" w:cstheme="majorHAnsi"/>
                <w:sz w:val="18"/>
                <w:szCs w:val="18"/>
              </w:rPr>
              <w:t>społeczny</w:t>
            </w:r>
          </w:p>
        </w:tc>
        <w:tc>
          <w:tcPr>
            <w:tcW w:w="753" w:type="pct"/>
            <w:tcBorders>
              <w:top w:val="single" w:sz="4" w:space="0" w:color="808080" w:themeColor="background1" w:themeShade="80"/>
              <w:left w:val="nil"/>
              <w:bottom w:val="single" w:sz="4" w:space="0" w:color="808080" w:themeColor="background1" w:themeShade="80"/>
              <w:right w:val="nil"/>
            </w:tcBorders>
            <w:vAlign w:val="center"/>
          </w:tcPr>
          <w:p w14:paraId="3F52526E" w14:textId="77777777" w:rsidR="00EA2B5F" w:rsidRPr="00BB5769" w:rsidRDefault="00EA2B5F" w:rsidP="00F37B88">
            <w:pPr>
              <w:jc w:val="center"/>
              <w:rPr>
                <w:rFonts w:asciiTheme="majorHAnsi" w:hAnsiTheme="majorHAnsi" w:cstheme="majorHAnsi"/>
                <w:sz w:val="18"/>
                <w:szCs w:val="18"/>
              </w:rPr>
            </w:pPr>
            <w:r w:rsidRPr="00BB5769">
              <w:rPr>
                <w:rFonts w:asciiTheme="majorHAnsi" w:hAnsiTheme="majorHAnsi" w:cstheme="majorHAnsi"/>
                <w:sz w:val="18"/>
                <w:szCs w:val="18"/>
              </w:rPr>
              <w:t>2022</w:t>
            </w:r>
          </w:p>
        </w:tc>
      </w:tr>
      <w:tr w:rsidR="00EA2B5F" w:rsidRPr="00BB5769" w14:paraId="5DB1690B" w14:textId="77777777" w:rsidTr="00BB5769">
        <w:trPr>
          <w:trHeight w:val="113"/>
        </w:trPr>
        <w:tc>
          <w:tcPr>
            <w:tcW w:w="2864" w:type="pct"/>
            <w:tcBorders>
              <w:top w:val="single" w:sz="4" w:space="0" w:color="808080" w:themeColor="background1" w:themeShade="80"/>
              <w:left w:val="nil"/>
              <w:bottom w:val="single" w:sz="4" w:space="0" w:color="808080" w:themeColor="background1" w:themeShade="80"/>
              <w:right w:val="nil"/>
            </w:tcBorders>
            <w:vAlign w:val="center"/>
          </w:tcPr>
          <w:p w14:paraId="7C52E4FE" w14:textId="77777777" w:rsidR="00EA2B5F" w:rsidRPr="00BB5769" w:rsidRDefault="00EA2B5F" w:rsidP="00BB5769">
            <w:pPr>
              <w:rPr>
                <w:rFonts w:asciiTheme="majorHAnsi" w:hAnsiTheme="majorHAnsi" w:cstheme="majorHAnsi"/>
                <w:sz w:val="18"/>
                <w:szCs w:val="18"/>
              </w:rPr>
            </w:pPr>
            <w:r w:rsidRPr="00BB5769">
              <w:rPr>
                <w:rFonts w:asciiTheme="majorHAnsi" w:hAnsiTheme="majorHAnsi" w:cstheme="majorHAnsi"/>
                <w:sz w:val="18"/>
                <w:szCs w:val="18"/>
              </w:rPr>
              <w:t>Program profilaktyczny w zakresie promowania i wdrożenia prawidłowych metod wychowawczych w stosunku do dzieci w rodzinach zagrożonych przemocą w rodzinie w Powiecie Nidzickim na lata 2018-2022</w:t>
            </w:r>
          </w:p>
        </w:tc>
        <w:tc>
          <w:tcPr>
            <w:tcW w:w="628" w:type="pct"/>
            <w:tcBorders>
              <w:top w:val="single" w:sz="4" w:space="0" w:color="808080" w:themeColor="background1" w:themeShade="80"/>
              <w:left w:val="nil"/>
              <w:bottom w:val="single" w:sz="4" w:space="0" w:color="808080" w:themeColor="background1" w:themeShade="80"/>
              <w:right w:val="nil"/>
            </w:tcBorders>
            <w:vAlign w:val="center"/>
          </w:tcPr>
          <w:p w14:paraId="1327ECF2" w14:textId="77777777" w:rsidR="00EA2B5F" w:rsidRPr="00BB5769" w:rsidRDefault="00EA2B5F" w:rsidP="00F37B88">
            <w:pPr>
              <w:jc w:val="center"/>
              <w:rPr>
                <w:rFonts w:asciiTheme="majorHAnsi" w:hAnsiTheme="majorHAnsi" w:cstheme="majorHAnsi"/>
                <w:sz w:val="18"/>
                <w:szCs w:val="18"/>
              </w:rPr>
            </w:pPr>
            <w:r w:rsidRPr="00BB5769">
              <w:rPr>
                <w:rFonts w:asciiTheme="majorHAnsi" w:hAnsiTheme="majorHAnsi" w:cstheme="majorHAnsi"/>
                <w:sz w:val="18"/>
                <w:szCs w:val="18"/>
              </w:rPr>
              <w:t>28.03.2018</w:t>
            </w:r>
          </w:p>
        </w:tc>
        <w:tc>
          <w:tcPr>
            <w:tcW w:w="754" w:type="pct"/>
            <w:tcBorders>
              <w:top w:val="single" w:sz="4" w:space="0" w:color="808080" w:themeColor="background1" w:themeShade="80"/>
              <w:left w:val="nil"/>
              <w:bottom w:val="single" w:sz="4" w:space="0" w:color="808080" w:themeColor="background1" w:themeShade="80"/>
              <w:right w:val="nil"/>
            </w:tcBorders>
            <w:vAlign w:val="center"/>
          </w:tcPr>
          <w:p w14:paraId="7DB9BF60" w14:textId="77777777" w:rsidR="00EA2B5F" w:rsidRPr="00BB5769" w:rsidRDefault="00EA2B5F" w:rsidP="00F37B88">
            <w:pPr>
              <w:jc w:val="center"/>
              <w:rPr>
                <w:rFonts w:asciiTheme="majorHAnsi" w:hAnsiTheme="majorHAnsi" w:cstheme="majorHAnsi"/>
                <w:sz w:val="18"/>
                <w:szCs w:val="18"/>
              </w:rPr>
            </w:pPr>
            <w:r w:rsidRPr="00BB5769">
              <w:rPr>
                <w:rFonts w:asciiTheme="majorHAnsi" w:hAnsiTheme="majorHAnsi" w:cstheme="majorHAnsi"/>
                <w:sz w:val="18"/>
                <w:szCs w:val="18"/>
              </w:rPr>
              <w:t>społeczny, środowiskowy</w:t>
            </w:r>
          </w:p>
        </w:tc>
        <w:tc>
          <w:tcPr>
            <w:tcW w:w="753" w:type="pct"/>
            <w:tcBorders>
              <w:top w:val="single" w:sz="4" w:space="0" w:color="808080" w:themeColor="background1" w:themeShade="80"/>
              <w:left w:val="nil"/>
              <w:bottom w:val="single" w:sz="4" w:space="0" w:color="808080" w:themeColor="background1" w:themeShade="80"/>
              <w:right w:val="nil"/>
            </w:tcBorders>
            <w:vAlign w:val="center"/>
          </w:tcPr>
          <w:p w14:paraId="59EFC04E" w14:textId="77777777" w:rsidR="00EA2B5F" w:rsidRPr="00BB5769" w:rsidRDefault="00EA2B5F" w:rsidP="00F37B88">
            <w:pPr>
              <w:jc w:val="center"/>
              <w:rPr>
                <w:rFonts w:asciiTheme="majorHAnsi" w:hAnsiTheme="majorHAnsi" w:cstheme="majorHAnsi"/>
                <w:sz w:val="18"/>
                <w:szCs w:val="18"/>
              </w:rPr>
            </w:pPr>
            <w:r w:rsidRPr="00BB5769">
              <w:rPr>
                <w:rFonts w:asciiTheme="majorHAnsi" w:hAnsiTheme="majorHAnsi" w:cstheme="majorHAnsi"/>
                <w:sz w:val="18"/>
                <w:szCs w:val="18"/>
              </w:rPr>
              <w:t>2022</w:t>
            </w:r>
          </w:p>
        </w:tc>
      </w:tr>
      <w:tr w:rsidR="00EA2B5F" w:rsidRPr="00BB5769" w14:paraId="1769A3E2" w14:textId="77777777" w:rsidTr="00BB5769">
        <w:trPr>
          <w:trHeight w:val="113"/>
        </w:trPr>
        <w:tc>
          <w:tcPr>
            <w:tcW w:w="2864" w:type="pct"/>
            <w:tcBorders>
              <w:top w:val="single" w:sz="4" w:space="0" w:color="808080" w:themeColor="background1" w:themeShade="80"/>
              <w:left w:val="nil"/>
              <w:bottom w:val="single" w:sz="4" w:space="0" w:color="808080" w:themeColor="background1" w:themeShade="80"/>
              <w:right w:val="nil"/>
            </w:tcBorders>
            <w:vAlign w:val="center"/>
          </w:tcPr>
          <w:p w14:paraId="7A17BCBC" w14:textId="77777777" w:rsidR="00EA2B5F" w:rsidRPr="00BB5769" w:rsidRDefault="00EA2B5F" w:rsidP="00BB5769">
            <w:pPr>
              <w:rPr>
                <w:rFonts w:asciiTheme="majorHAnsi" w:hAnsiTheme="majorHAnsi" w:cstheme="majorHAnsi"/>
                <w:sz w:val="18"/>
                <w:szCs w:val="18"/>
              </w:rPr>
            </w:pPr>
            <w:r w:rsidRPr="00BB5769">
              <w:rPr>
                <w:rFonts w:asciiTheme="majorHAnsi" w:hAnsiTheme="majorHAnsi" w:cstheme="majorHAnsi"/>
                <w:sz w:val="18"/>
                <w:szCs w:val="18"/>
              </w:rPr>
              <w:t xml:space="preserve">Powiatowy Program Ochrony Zdrowia Psychicznego w Powiecie Nidzickim na lata 2018-2022 </w:t>
            </w:r>
          </w:p>
        </w:tc>
        <w:tc>
          <w:tcPr>
            <w:tcW w:w="628" w:type="pct"/>
            <w:tcBorders>
              <w:top w:val="single" w:sz="4" w:space="0" w:color="808080" w:themeColor="background1" w:themeShade="80"/>
              <w:left w:val="nil"/>
              <w:bottom w:val="single" w:sz="4" w:space="0" w:color="808080" w:themeColor="background1" w:themeShade="80"/>
              <w:right w:val="nil"/>
            </w:tcBorders>
            <w:vAlign w:val="center"/>
          </w:tcPr>
          <w:p w14:paraId="7BB06E28" w14:textId="77777777" w:rsidR="00EA2B5F" w:rsidRPr="00BB5769" w:rsidRDefault="00EA2B5F" w:rsidP="00F37B88">
            <w:pPr>
              <w:jc w:val="center"/>
              <w:rPr>
                <w:rFonts w:asciiTheme="majorHAnsi" w:hAnsiTheme="majorHAnsi" w:cstheme="majorHAnsi"/>
                <w:sz w:val="18"/>
                <w:szCs w:val="18"/>
              </w:rPr>
            </w:pPr>
            <w:r w:rsidRPr="00BB5769">
              <w:rPr>
                <w:rFonts w:asciiTheme="majorHAnsi" w:hAnsiTheme="majorHAnsi" w:cstheme="majorHAnsi"/>
                <w:sz w:val="18"/>
                <w:szCs w:val="18"/>
              </w:rPr>
              <w:t>28.03.2018</w:t>
            </w:r>
          </w:p>
        </w:tc>
        <w:tc>
          <w:tcPr>
            <w:tcW w:w="754" w:type="pct"/>
            <w:tcBorders>
              <w:top w:val="single" w:sz="4" w:space="0" w:color="808080" w:themeColor="background1" w:themeShade="80"/>
              <w:left w:val="nil"/>
              <w:bottom w:val="single" w:sz="4" w:space="0" w:color="808080" w:themeColor="background1" w:themeShade="80"/>
              <w:right w:val="nil"/>
            </w:tcBorders>
            <w:vAlign w:val="center"/>
          </w:tcPr>
          <w:p w14:paraId="3A7EEA18" w14:textId="77777777" w:rsidR="00EA2B5F" w:rsidRPr="00BB5769" w:rsidRDefault="00EA2B5F" w:rsidP="00F37B88">
            <w:pPr>
              <w:jc w:val="center"/>
              <w:rPr>
                <w:rFonts w:asciiTheme="majorHAnsi" w:hAnsiTheme="majorHAnsi" w:cstheme="majorHAnsi"/>
                <w:sz w:val="18"/>
                <w:szCs w:val="18"/>
              </w:rPr>
            </w:pPr>
            <w:r w:rsidRPr="00BB5769">
              <w:rPr>
                <w:rFonts w:asciiTheme="majorHAnsi" w:hAnsiTheme="majorHAnsi" w:cstheme="majorHAnsi"/>
                <w:sz w:val="18"/>
                <w:szCs w:val="18"/>
              </w:rPr>
              <w:t>społeczny, środowiskowy</w:t>
            </w:r>
          </w:p>
        </w:tc>
        <w:tc>
          <w:tcPr>
            <w:tcW w:w="753" w:type="pct"/>
            <w:tcBorders>
              <w:top w:val="single" w:sz="4" w:space="0" w:color="808080" w:themeColor="background1" w:themeShade="80"/>
              <w:left w:val="nil"/>
              <w:bottom w:val="single" w:sz="4" w:space="0" w:color="808080" w:themeColor="background1" w:themeShade="80"/>
              <w:right w:val="nil"/>
            </w:tcBorders>
            <w:vAlign w:val="center"/>
          </w:tcPr>
          <w:p w14:paraId="31E77469" w14:textId="77777777" w:rsidR="00EA2B5F" w:rsidRPr="00BB5769" w:rsidRDefault="00EA2B5F" w:rsidP="00F37B88">
            <w:pPr>
              <w:jc w:val="center"/>
              <w:rPr>
                <w:rFonts w:asciiTheme="majorHAnsi" w:hAnsiTheme="majorHAnsi" w:cstheme="majorHAnsi"/>
                <w:sz w:val="18"/>
                <w:szCs w:val="18"/>
              </w:rPr>
            </w:pPr>
            <w:r w:rsidRPr="00BB5769">
              <w:rPr>
                <w:rFonts w:asciiTheme="majorHAnsi" w:hAnsiTheme="majorHAnsi" w:cstheme="majorHAnsi"/>
                <w:sz w:val="18"/>
                <w:szCs w:val="18"/>
              </w:rPr>
              <w:t>2022</w:t>
            </w:r>
          </w:p>
        </w:tc>
      </w:tr>
      <w:tr w:rsidR="00EA2B5F" w:rsidRPr="00BB5769" w14:paraId="264319E7" w14:textId="77777777" w:rsidTr="00BB5769">
        <w:trPr>
          <w:trHeight w:val="113"/>
        </w:trPr>
        <w:tc>
          <w:tcPr>
            <w:tcW w:w="2864" w:type="pct"/>
            <w:tcBorders>
              <w:top w:val="single" w:sz="4" w:space="0" w:color="808080" w:themeColor="background1" w:themeShade="80"/>
              <w:left w:val="nil"/>
              <w:bottom w:val="single" w:sz="4" w:space="0" w:color="808080" w:themeColor="background1" w:themeShade="80"/>
              <w:right w:val="nil"/>
            </w:tcBorders>
            <w:vAlign w:val="center"/>
          </w:tcPr>
          <w:p w14:paraId="4AC0D05F" w14:textId="77777777" w:rsidR="00EA2B5F" w:rsidRPr="00BB5769" w:rsidRDefault="00EA2B5F" w:rsidP="00BB5769">
            <w:pPr>
              <w:rPr>
                <w:rFonts w:asciiTheme="majorHAnsi" w:hAnsiTheme="majorHAnsi" w:cstheme="majorHAnsi"/>
                <w:sz w:val="18"/>
                <w:szCs w:val="18"/>
              </w:rPr>
            </w:pPr>
            <w:r w:rsidRPr="00BB5769">
              <w:rPr>
                <w:rFonts w:asciiTheme="majorHAnsi" w:hAnsiTheme="majorHAnsi" w:cstheme="majorHAnsi"/>
                <w:sz w:val="18"/>
                <w:szCs w:val="18"/>
              </w:rPr>
              <w:t xml:space="preserve">Program Ochrony Środowiska dla Powiatu Nidzickiego na lata 2018-2021 z perspektywą na lata 2022-2025 wraz z Prognozą Oddziaływania na Środowisko </w:t>
            </w:r>
          </w:p>
        </w:tc>
        <w:tc>
          <w:tcPr>
            <w:tcW w:w="628" w:type="pct"/>
            <w:tcBorders>
              <w:top w:val="single" w:sz="4" w:space="0" w:color="808080" w:themeColor="background1" w:themeShade="80"/>
              <w:left w:val="nil"/>
              <w:bottom w:val="single" w:sz="4" w:space="0" w:color="808080" w:themeColor="background1" w:themeShade="80"/>
              <w:right w:val="nil"/>
            </w:tcBorders>
            <w:vAlign w:val="center"/>
          </w:tcPr>
          <w:p w14:paraId="620699FC" w14:textId="77777777" w:rsidR="00EA2B5F" w:rsidRPr="00BB5769" w:rsidRDefault="00EA2B5F" w:rsidP="00F37B88">
            <w:pPr>
              <w:jc w:val="center"/>
              <w:rPr>
                <w:rFonts w:asciiTheme="majorHAnsi" w:hAnsiTheme="majorHAnsi" w:cstheme="majorHAnsi"/>
                <w:sz w:val="18"/>
                <w:szCs w:val="18"/>
              </w:rPr>
            </w:pPr>
            <w:r w:rsidRPr="00BB5769">
              <w:rPr>
                <w:rFonts w:asciiTheme="majorHAnsi" w:hAnsiTheme="majorHAnsi" w:cstheme="majorHAnsi"/>
                <w:sz w:val="18"/>
                <w:szCs w:val="18"/>
              </w:rPr>
              <w:t>27.10.2017</w:t>
            </w:r>
          </w:p>
        </w:tc>
        <w:tc>
          <w:tcPr>
            <w:tcW w:w="754" w:type="pct"/>
            <w:tcBorders>
              <w:top w:val="single" w:sz="4" w:space="0" w:color="808080" w:themeColor="background1" w:themeShade="80"/>
              <w:left w:val="nil"/>
              <w:bottom w:val="single" w:sz="4" w:space="0" w:color="808080" w:themeColor="background1" w:themeShade="80"/>
              <w:right w:val="nil"/>
            </w:tcBorders>
            <w:vAlign w:val="center"/>
          </w:tcPr>
          <w:p w14:paraId="324E51B5" w14:textId="77777777" w:rsidR="00EA2B5F" w:rsidRPr="00BB5769" w:rsidRDefault="00EA2B5F" w:rsidP="00F37B88">
            <w:pPr>
              <w:jc w:val="center"/>
              <w:rPr>
                <w:rFonts w:asciiTheme="majorHAnsi" w:hAnsiTheme="majorHAnsi" w:cstheme="majorHAnsi"/>
                <w:sz w:val="18"/>
                <w:szCs w:val="18"/>
              </w:rPr>
            </w:pPr>
            <w:r w:rsidRPr="00BB5769">
              <w:rPr>
                <w:rFonts w:asciiTheme="majorHAnsi" w:hAnsiTheme="majorHAnsi" w:cstheme="majorHAnsi"/>
                <w:sz w:val="18"/>
                <w:szCs w:val="18"/>
              </w:rPr>
              <w:t>środowiskowy</w:t>
            </w:r>
          </w:p>
        </w:tc>
        <w:tc>
          <w:tcPr>
            <w:tcW w:w="753" w:type="pct"/>
            <w:tcBorders>
              <w:top w:val="single" w:sz="4" w:space="0" w:color="808080" w:themeColor="background1" w:themeShade="80"/>
              <w:left w:val="nil"/>
              <w:bottom w:val="single" w:sz="4" w:space="0" w:color="808080" w:themeColor="background1" w:themeShade="80"/>
              <w:right w:val="nil"/>
            </w:tcBorders>
            <w:vAlign w:val="center"/>
          </w:tcPr>
          <w:p w14:paraId="01A15B95" w14:textId="77777777" w:rsidR="00EA2B5F" w:rsidRPr="00BB5769" w:rsidRDefault="00EA2B5F" w:rsidP="00F37B88">
            <w:pPr>
              <w:jc w:val="center"/>
              <w:rPr>
                <w:rFonts w:asciiTheme="majorHAnsi" w:hAnsiTheme="majorHAnsi" w:cstheme="majorHAnsi"/>
                <w:sz w:val="18"/>
                <w:szCs w:val="18"/>
              </w:rPr>
            </w:pPr>
            <w:r w:rsidRPr="00BB5769">
              <w:rPr>
                <w:rFonts w:asciiTheme="majorHAnsi" w:hAnsiTheme="majorHAnsi" w:cstheme="majorHAnsi"/>
                <w:sz w:val="18"/>
                <w:szCs w:val="18"/>
              </w:rPr>
              <w:t>po 2025</w:t>
            </w:r>
          </w:p>
        </w:tc>
      </w:tr>
      <w:tr w:rsidR="00EA2B5F" w:rsidRPr="00BB5769" w14:paraId="40F0FA44" w14:textId="77777777" w:rsidTr="00BB5769">
        <w:trPr>
          <w:trHeight w:val="113"/>
        </w:trPr>
        <w:tc>
          <w:tcPr>
            <w:tcW w:w="5000" w:type="pct"/>
            <w:gridSpan w:val="4"/>
            <w:tcBorders>
              <w:top w:val="single" w:sz="4" w:space="0" w:color="808080" w:themeColor="background1" w:themeShade="80"/>
              <w:left w:val="nil"/>
              <w:bottom w:val="single" w:sz="4" w:space="0" w:color="808080" w:themeColor="background1" w:themeShade="80"/>
              <w:right w:val="nil"/>
            </w:tcBorders>
            <w:shd w:val="clear" w:color="auto" w:fill="DEEAF6" w:themeFill="accent1" w:themeFillTint="33"/>
            <w:vAlign w:val="center"/>
          </w:tcPr>
          <w:p w14:paraId="7745844A" w14:textId="77777777" w:rsidR="00EA2B5F" w:rsidRPr="00BB5769" w:rsidRDefault="00EA2B5F" w:rsidP="00F37B88">
            <w:pPr>
              <w:rPr>
                <w:rFonts w:asciiTheme="majorHAnsi" w:hAnsiTheme="majorHAnsi" w:cstheme="majorHAnsi"/>
                <w:bCs/>
                <w:sz w:val="18"/>
                <w:szCs w:val="18"/>
              </w:rPr>
            </w:pPr>
            <w:r w:rsidRPr="00BB5769">
              <w:rPr>
                <w:rFonts w:asciiTheme="majorHAnsi" w:hAnsiTheme="majorHAnsi" w:cstheme="majorHAnsi"/>
                <w:bCs/>
                <w:sz w:val="18"/>
                <w:szCs w:val="18"/>
              </w:rPr>
              <w:t>Powiat Piski</w:t>
            </w:r>
          </w:p>
        </w:tc>
      </w:tr>
      <w:tr w:rsidR="00EA2B5F" w:rsidRPr="00BB5769" w14:paraId="2BDEF6EE" w14:textId="77777777" w:rsidTr="00BB5769">
        <w:trPr>
          <w:trHeight w:val="113"/>
        </w:trPr>
        <w:tc>
          <w:tcPr>
            <w:tcW w:w="2864" w:type="pct"/>
            <w:tcBorders>
              <w:top w:val="single" w:sz="4" w:space="0" w:color="808080" w:themeColor="background1" w:themeShade="80"/>
              <w:left w:val="nil"/>
              <w:bottom w:val="single" w:sz="4" w:space="0" w:color="808080" w:themeColor="background1" w:themeShade="80"/>
              <w:right w:val="nil"/>
            </w:tcBorders>
            <w:vAlign w:val="center"/>
          </w:tcPr>
          <w:p w14:paraId="77BDC9CF" w14:textId="77777777" w:rsidR="00EA2B5F" w:rsidRPr="00BB5769" w:rsidRDefault="00EA2B5F" w:rsidP="00BB5769">
            <w:pPr>
              <w:rPr>
                <w:rFonts w:asciiTheme="majorHAnsi" w:hAnsiTheme="majorHAnsi" w:cstheme="majorHAnsi"/>
                <w:sz w:val="18"/>
                <w:szCs w:val="18"/>
              </w:rPr>
            </w:pPr>
            <w:r w:rsidRPr="00BB5769">
              <w:rPr>
                <w:rFonts w:asciiTheme="majorHAnsi" w:hAnsiTheme="majorHAnsi" w:cstheme="majorHAnsi"/>
                <w:sz w:val="18"/>
                <w:szCs w:val="18"/>
              </w:rPr>
              <w:t xml:space="preserve">Program Ochrony Środowiska dla Powiatu </w:t>
            </w:r>
            <w:proofErr w:type="spellStart"/>
            <w:r w:rsidRPr="00BB5769">
              <w:rPr>
                <w:rFonts w:asciiTheme="majorHAnsi" w:hAnsiTheme="majorHAnsi" w:cstheme="majorHAnsi"/>
                <w:sz w:val="18"/>
                <w:szCs w:val="18"/>
              </w:rPr>
              <w:t>Piskiego</w:t>
            </w:r>
            <w:proofErr w:type="spellEnd"/>
            <w:r w:rsidRPr="00BB5769">
              <w:rPr>
                <w:rFonts w:asciiTheme="majorHAnsi" w:hAnsiTheme="majorHAnsi" w:cstheme="majorHAnsi"/>
                <w:sz w:val="18"/>
                <w:szCs w:val="18"/>
              </w:rPr>
              <w:t xml:space="preserve"> na lata 2017-2020 z perspektywą do 2024 roku</w:t>
            </w:r>
          </w:p>
        </w:tc>
        <w:tc>
          <w:tcPr>
            <w:tcW w:w="628" w:type="pct"/>
            <w:tcBorders>
              <w:top w:val="single" w:sz="4" w:space="0" w:color="808080" w:themeColor="background1" w:themeShade="80"/>
              <w:left w:val="nil"/>
              <w:bottom w:val="single" w:sz="4" w:space="0" w:color="808080" w:themeColor="background1" w:themeShade="80"/>
              <w:right w:val="nil"/>
            </w:tcBorders>
            <w:vAlign w:val="center"/>
          </w:tcPr>
          <w:p w14:paraId="46F3F280" w14:textId="77777777" w:rsidR="00EA2B5F" w:rsidRPr="00BB5769" w:rsidRDefault="00EA2B5F" w:rsidP="00F37B88">
            <w:pPr>
              <w:jc w:val="center"/>
              <w:rPr>
                <w:rFonts w:asciiTheme="majorHAnsi" w:hAnsiTheme="majorHAnsi" w:cstheme="majorHAnsi"/>
                <w:sz w:val="18"/>
                <w:szCs w:val="18"/>
              </w:rPr>
            </w:pPr>
            <w:r w:rsidRPr="00BB5769">
              <w:rPr>
                <w:rFonts w:asciiTheme="majorHAnsi" w:hAnsiTheme="majorHAnsi" w:cstheme="majorHAnsi"/>
                <w:sz w:val="18"/>
                <w:szCs w:val="18"/>
              </w:rPr>
              <w:t>15.02.2017</w:t>
            </w:r>
          </w:p>
        </w:tc>
        <w:tc>
          <w:tcPr>
            <w:tcW w:w="754" w:type="pct"/>
            <w:tcBorders>
              <w:top w:val="single" w:sz="4" w:space="0" w:color="808080" w:themeColor="background1" w:themeShade="80"/>
              <w:left w:val="nil"/>
              <w:bottom w:val="single" w:sz="4" w:space="0" w:color="808080" w:themeColor="background1" w:themeShade="80"/>
              <w:right w:val="nil"/>
            </w:tcBorders>
            <w:vAlign w:val="center"/>
          </w:tcPr>
          <w:p w14:paraId="17AAEC59" w14:textId="77777777" w:rsidR="00EA2B5F" w:rsidRPr="00BB5769" w:rsidRDefault="00EA2B5F" w:rsidP="00F37B88">
            <w:pPr>
              <w:jc w:val="center"/>
              <w:rPr>
                <w:rFonts w:asciiTheme="majorHAnsi" w:hAnsiTheme="majorHAnsi" w:cstheme="majorHAnsi"/>
                <w:sz w:val="18"/>
                <w:szCs w:val="18"/>
              </w:rPr>
            </w:pPr>
            <w:r w:rsidRPr="00BB5769">
              <w:rPr>
                <w:rFonts w:asciiTheme="majorHAnsi" w:hAnsiTheme="majorHAnsi" w:cstheme="majorHAnsi"/>
                <w:sz w:val="18"/>
                <w:szCs w:val="18"/>
              </w:rPr>
              <w:t>środowiskowy</w:t>
            </w:r>
          </w:p>
        </w:tc>
        <w:tc>
          <w:tcPr>
            <w:tcW w:w="753" w:type="pct"/>
            <w:tcBorders>
              <w:top w:val="single" w:sz="4" w:space="0" w:color="808080" w:themeColor="background1" w:themeShade="80"/>
              <w:left w:val="nil"/>
              <w:bottom w:val="single" w:sz="4" w:space="0" w:color="808080" w:themeColor="background1" w:themeShade="80"/>
              <w:right w:val="nil"/>
            </w:tcBorders>
            <w:vAlign w:val="center"/>
          </w:tcPr>
          <w:p w14:paraId="1339CFA0" w14:textId="77777777" w:rsidR="00EA2B5F" w:rsidRPr="00BB5769" w:rsidRDefault="00EA2B5F" w:rsidP="00F37B88">
            <w:pPr>
              <w:jc w:val="center"/>
              <w:rPr>
                <w:rFonts w:asciiTheme="majorHAnsi" w:hAnsiTheme="majorHAnsi" w:cstheme="majorHAnsi"/>
                <w:sz w:val="18"/>
                <w:szCs w:val="18"/>
              </w:rPr>
            </w:pPr>
            <w:r w:rsidRPr="00BB5769">
              <w:rPr>
                <w:rFonts w:asciiTheme="majorHAnsi" w:hAnsiTheme="majorHAnsi" w:cstheme="majorHAnsi"/>
                <w:sz w:val="18"/>
                <w:szCs w:val="18"/>
              </w:rPr>
              <w:t>2025</w:t>
            </w:r>
          </w:p>
        </w:tc>
      </w:tr>
      <w:tr w:rsidR="00EA2B5F" w:rsidRPr="00BB5769" w14:paraId="3158DDC5" w14:textId="77777777" w:rsidTr="00BB5769">
        <w:trPr>
          <w:trHeight w:val="113"/>
        </w:trPr>
        <w:tc>
          <w:tcPr>
            <w:tcW w:w="2864" w:type="pct"/>
            <w:tcBorders>
              <w:top w:val="single" w:sz="4" w:space="0" w:color="808080" w:themeColor="background1" w:themeShade="80"/>
              <w:left w:val="nil"/>
              <w:bottom w:val="single" w:sz="4" w:space="0" w:color="808080" w:themeColor="background1" w:themeShade="80"/>
              <w:right w:val="nil"/>
            </w:tcBorders>
            <w:vAlign w:val="center"/>
          </w:tcPr>
          <w:p w14:paraId="23B3DF15" w14:textId="77777777" w:rsidR="00EA2B5F" w:rsidRPr="00BB5769" w:rsidRDefault="00EA2B5F" w:rsidP="00BB5769">
            <w:pPr>
              <w:rPr>
                <w:rFonts w:asciiTheme="majorHAnsi" w:hAnsiTheme="majorHAnsi" w:cstheme="majorHAnsi"/>
                <w:sz w:val="18"/>
                <w:szCs w:val="18"/>
              </w:rPr>
            </w:pPr>
            <w:r w:rsidRPr="00BB5769">
              <w:rPr>
                <w:rFonts w:asciiTheme="majorHAnsi" w:hAnsiTheme="majorHAnsi" w:cstheme="majorHAnsi"/>
                <w:sz w:val="18"/>
                <w:szCs w:val="18"/>
              </w:rPr>
              <w:t>Powiatowy Program Przeciwdziałania Przemocy w Rodzinie oraz Ochrony Ofiar Przemocy w Rodzinie na lata 2016-2022</w:t>
            </w:r>
          </w:p>
        </w:tc>
        <w:tc>
          <w:tcPr>
            <w:tcW w:w="628" w:type="pct"/>
            <w:tcBorders>
              <w:top w:val="single" w:sz="4" w:space="0" w:color="808080" w:themeColor="background1" w:themeShade="80"/>
              <w:left w:val="nil"/>
              <w:bottom w:val="single" w:sz="4" w:space="0" w:color="808080" w:themeColor="background1" w:themeShade="80"/>
              <w:right w:val="nil"/>
            </w:tcBorders>
            <w:vAlign w:val="center"/>
          </w:tcPr>
          <w:p w14:paraId="4681DB35" w14:textId="77777777" w:rsidR="00EA2B5F" w:rsidRPr="00BB5769" w:rsidRDefault="00EA2B5F" w:rsidP="00F37B88">
            <w:pPr>
              <w:jc w:val="center"/>
              <w:rPr>
                <w:rFonts w:asciiTheme="majorHAnsi" w:hAnsiTheme="majorHAnsi" w:cstheme="majorHAnsi"/>
                <w:sz w:val="18"/>
                <w:szCs w:val="18"/>
              </w:rPr>
            </w:pPr>
            <w:r w:rsidRPr="00BB5769">
              <w:rPr>
                <w:rFonts w:asciiTheme="majorHAnsi" w:hAnsiTheme="majorHAnsi" w:cstheme="majorHAnsi"/>
                <w:sz w:val="18"/>
                <w:szCs w:val="18"/>
              </w:rPr>
              <w:t>29.09.2016</w:t>
            </w:r>
          </w:p>
        </w:tc>
        <w:tc>
          <w:tcPr>
            <w:tcW w:w="754" w:type="pct"/>
            <w:tcBorders>
              <w:top w:val="single" w:sz="4" w:space="0" w:color="808080" w:themeColor="background1" w:themeShade="80"/>
              <w:left w:val="nil"/>
              <w:bottom w:val="single" w:sz="4" w:space="0" w:color="808080" w:themeColor="background1" w:themeShade="80"/>
              <w:right w:val="nil"/>
            </w:tcBorders>
            <w:vAlign w:val="center"/>
          </w:tcPr>
          <w:p w14:paraId="7EC34B07" w14:textId="77777777" w:rsidR="00EA2B5F" w:rsidRPr="00BB5769" w:rsidRDefault="00EA2B5F" w:rsidP="00F37B88">
            <w:pPr>
              <w:jc w:val="center"/>
              <w:rPr>
                <w:rFonts w:asciiTheme="majorHAnsi" w:hAnsiTheme="majorHAnsi" w:cstheme="majorHAnsi"/>
                <w:sz w:val="18"/>
                <w:szCs w:val="18"/>
              </w:rPr>
            </w:pPr>
            <w:r w:rsidRPr="00BB5769">
              <w:rPr>
                <w:rFonts w:asciiTheme="majorHAnsi" w:hAnsiTheme="majorHAnsi" w:cstheme="majorHAnsi"/>
                <w:sz w:val="18"/>
                <w:szCs w:val="18"/>
              </w:rPr>
              <w:t>społeczny</w:t>
            </w:r>
          </w:p>
        </w:tc>
        <w:tc>
          <w:tcPr>
            <w:tcW w:w="753" w:type="pct"/>
            <w:tcBorders>
              <w:top w:val="single" w:sz="4" w:space="0" w:color="808080" w:themeColor="background1" w:themeShade="80"/>
              <w:left w:val="nil"/>
              <w:bottom w:val="single" w:sz="4" w:space="0" w:color="808080" w:themeColor="background1" w:themeShade="80"/>
              <w:right w:val="nil"/>
            </w:tcBorders>
            <w:vAlign w:val="center"/>
          </w:tcPr>
          <w:p w14:paraId="25225663" w14:textId="77777777" w:rsidR="00EA2B5F" w:rsidRPr="00BB5769" w:rsidRDefault="00EA2B5F" w:rsidP="00F37B88">
            <w:pPr>
              <w:jc w:val="center"/>
              <w:rPr>
                <w:rFonts w:asciiTheme="majorHAnsi" w:hAnsiTheme="majorHAnsi" w:cstheme="majorHAnsi"/>
                <w:sz w:val="18"/>
                <w:szCs w:val="18"/>
              </w:rPr>
            </w:pPr>
            <w:r w:rsidRPr="00BB5769">
              <w:rPr>
                <w:rFonts w:asciiTheme="majorHAnsi" w:hAnsiTheme="majorHAnsi" w:cstheme="majorHAnsi"/>
                <w:sz w:val="18"/>
                <w:szCs w:val="18"/>
              </w:rPr>
              <w:t>2023</w:t>
            </w:r>
          </w:p>
        </w:tc>
      </w:tr>
      <w:tr w:rsidR="00EA2B5F" w:rsidRPr="00BB5769" w14:paraId="45DB8460" w14:textId="77777777" w:rsidTr="00BB5769">
        <w:trPr>
          <w:trHeight w:val="113"/>
        </w:trPr>
        <w:tc>
          <w:tcPr>
            <w:tcW w:w="2864" w:type="pct"/>
            <w:tcBorders>
              <w:top w:val="single" w:sz="4" w:space="0" w:color="808080" w:themeColor="background1" w:themeShade="80"/>
              <w:left w:val="nil"/>
              <w:bottom w:val="single" w:sz="4" w:space="0" w:color="808080" w:themeColor="background1" w:themeShade="80"/>
              <w:right w:val="nil"/>
            </w:tcBorders>
            <w:vAlign w:val="center"/>
          </w:tcPr>
          <w:p w14:paraId="3940A52F" w14:textId="77777777" w:rsidR="00EA2B5F" w:rsidRPr="00BB5769" w:rsidRDefault="00EA2B5F" w:rsidP="00BB5769">
            <w:pPr>
              <w:rPr>
                <w:rFonts w:asciiTheme="majorHAnsi" w:hAnsiTheme="majorHAnsi" w:cstheme="majorHAnsi"/>
                <w:sz w:val="18"/>
                <w:szCs w:val="18"/>
              </w:rPr>
            </w:pPr>
            <w:r w:rsidRPr="00BB5769">
              <w:rPr>
                <w:rFonts w:asciiTheme="majorHAnsi" w:hAnsiTheme="majorHAnsi" w:cstheme="majorHAnsi"/>
                <w:sz w:val="18"/>
                <w:szCs w:val="18"/>
              </w:rPr>
              <w:t>Powiatowy Program Działań na rzecz Osób Niepełnosprawnych na lata 2016-2020.</w:t>
            </w:r>
          </w:p>
        </w:tc>
        <w:tc>
          <w:tcPr>
            <w:tcW w:w="628" w:type="pct"/>
            <w:tcBorders>
              <w:top w:val="single" w:sz="4" w:space="0" w:color="808080" w:themeColor="background1" w:themeShade="80"/>
              <w:left w:val="nil"/>
              <w:bottom w:val="single" w:sz="4" w:space="0" w:color="808080" w:themeColor="background1" w:themeShade="80"/>
              <w:right w:val="nil"/>
            </w:tcBorders>
            <w:vAlign w:val="center"/>
          </w:tcPr>
          <w:p w14:paraId="000DD505" w14:textId="77777777" w:rsidR="00EA2B5F" w:rsidRPr="00BB5769" w:rsidRDefault="00EA2B5F" w:rsidP="00F37B88">
            <w:pPr>
              <w:jc w:val="center"/>
              <w:rPr>
                <w:rFonts w:asciiTheme="majorHAnsi" w:hAnsiTheme="majorHAnsi" w:cstheme="majorHAnsi"/>
                <w:sz w:val="18"/>
                <w:szCs w:val="18"/>
              </w:rPr>
            </w:pPr>
            <w:r w:rsidRPr="00BB5769">
              <w:rPr>
                <w:rFonts w:asciiTheme="majorHAnsi" w:hAnsiTheme="majorHAnsi" w:cstheme="majorHAnsi"/>
                <w:sz w:val="18"/>
                <w:szCs w:val="18"/>
              </w:rPr>
              <w:t>31.03.2016</w:t>
            </w:r>
          </w:p>
        </w:tc>
        <w:tc>
          <w:tcPr>
            <w:tcW w:w="754" w:type="pct"/>
            <w:tcBorders>
              <w:top w:val="single" w:sz="4" w:space="0" w:color="808080" w:themeColor="background1" w:themeShade="80"/>
              <w:left w:val="nil"/>
              <w:bottom w:val="single" w:sz="4" w:space="0" w:color="808080" w:themeColor="background1" w:themeShade="80"/>
              <w:right w:val="nil"/>
            </w:tcBorders>
            <w:vAlign w:val="center"/>
          </w:tcPr>
          <w:p w14:paraId="2DB1C53C" w14:textId="77777777" w:rsidR="00EA2B5F" w:rsidRPr="00BB5769" w:rsidRDefault="00EA2B5F" w:rsidP="00F37B88">
            <w:pPr>
              <w:jc w:val="center"/>
              <w:rPr>
                <w:rFonts w:asciiTheme="majorHAnsi" w:hAnsiTheme="majorHAnsi" w:cstheme="majorHAnsi"/>
                <w:sz w:val="18"/>
                <w:szCs w:val="18"/>
              </w:rPr>
            </w:pPr>
            <w:r w:rsidRPr="00BB5769">
              <w:rPr>
                <w:rFonts w:asciiTheme="majorHAnsi" w:hAnsiTheme="majorHAnsi" w:cstheme="majorHAnsi"/>
                <w:sz w:val="18"/>
                <w:szCs w:val="18"/>
              </w:rPr>
              <w:t>społeczny</w:t>
            </w:r>
          </w:p>
        </w:tc>
        <w:tc>
          <w:tcPr>
            <w:tcW w:w="753" w:type="pct"/>
            <w:tcBorders>
              <w:top w:val="single" w:sz="4" w:space="0" w:color="808080" w:themeColor="background1" w:themeShade="80"/>
              <w:left w:val="nil"/>
              <w:bottom w:val="single" w:sz="4" w:space="0" w:color="808080" w:themeColor="background1" w:themeShade="80"/>
              <w:right w:val="nil"/>
            </w:tcBorders>
            <w:vAlign w:val="center"/>
          </w:tcPr>
          <w:p w14:paraId="17E84CEB" w14:textId="77777777" w:rsidR="00EA2B5F" w:rsidRPr="00BB5769" w:rsidRDefault="00EA2B5F" w:rsidP="00F37B88">
            <w:pPr>
              <w:jc w:val="center"/>
              <w:rPr>
                <w:rFonts w:asciiTheme="majorHAnsi" w:hAnsiTheme="majorHAnsi" w:cstheme="majorHAnsi"/>
                <w:sz w:val="18"/>
                <w:szCs w:val="18"/>
              </w:rPr>
            </w:pPr>
            <w:r w:rsidRPr="00BB5769">
              <w:rPr>
                <w:rFonts w:asciiTheme="majorHAnsi" w:hAnsiTheme="majorHAnsi" w:cstheme="majorHAnsi"/>
                <w:sz w:val="18"/>
                <w:szCs w:val="18"/>
              </w:rPr>
              <w:t>2021</w:t>
            </w:r>
          </w:p>
        </w:tc>
      </w:tr>
      <w:tr w:rsidR="00EA2B5F" w:rsidRPr="00BB5769" w14:paraId="2BEE87FD" w14:textId="77777777" w:rsidTr="00BB5769">
        <w:trPr>
          <w:trHeight w:val="113"/>
        </w:trPr>
        <w:tc>
          <w:tcPr>
            <w:tcW w:w="2864" w:type="pct"/>
            <w:tcBorders>
              <w:top w:val="single" w:sz="4" w:space="0" w:color="808080" w:themeColor="background1" w:themeShade="80"/>
              <w:left w:val="nil"/>
              <w:bottom w:val="single" w:sz="4" w:space="0" w:color="808080" w:themeColor="background1" w:themeShade="80"/>
              <w:right w:val="nil"/>
            </w:tcBorders>
            <w:vAlign w:val="center"/>
          </w:tcPr>
          <w:p w14:paraId="117228C6" w14:textId="77777777" w:rsidR="00EA2B5F" w:rsidRPr="00BB5769" w:rsidRDefault="00EA2B5F" w:rsidP="00BB5769">
            <w:pPr>
              <w:rPr>
                <w:rFonts w:asciiTheme="majorHAnsi" w:hAnsiTheme="majorHAnsi" w:cstheme="majorHAnsi"/>
                <w:sz w:val="18"/>
                <w:szCs w:val="18"/>
              </w:rPr>
            </w:pPr>
            <w:r w:rsidRPr="00BB5769">
              <w:rPr>
                <w:rFonts w:asciiTheme="majorHAnsi" w:hAnsiTheme="majorHAnsi" w:cstheme="majorHAnsi"/>
                <w:sz w:val="18"/>
                <w:szCs w:val="18"/>
              </w:rPr>
              <w:t xml:space="preserve">Powiatowy Program Rozwoju Pieczy Zastępczej w Powiecie </w:t>
            </w:r>
            <w:proofErr w:type="spellStart"/>
            <w:r w:rsidRPr="00BB5769">
              <w:rPr>
                <w:rFonts w:asciiTheme="majorHAnsi" w:hAnsiTheme="majorHAnsi" w:cstheme="majorHAnsi"/>
                <w:sz w:val="18"/>
                <w:szCs w:val="18"/>
              </w:rPr>
              <w:t>Piskim</w:t>
            </w:r>
            <w:proofErr w:type="spellEnd"/>
            <w:r w:rsidRPr="00BB5769">
              <w:rPr>
                <w:rFonts w:asciiTheme="majorHAnsi" w:hAnsiTheme="majorHAnsi" w:cstheme="majorHAnsi"/>
                <w:sz w:val="18"/>
                <w:szCs w:val="18"/>
              </w:rPr>
              <w:t xml:space="preserve"> na lata 2019-2021</w:t>
            </w:r>
          </w:p>
        </w:tc>
        <w:tc>
          <w:tcPr>
            <w:tcW w:w="628" w:type="pct"/>
            <w:tcBorders>
              <w:top w:val="single" w:sz="4" w:space="0" w:color="808080" w:themeColor="background1" w:themeShade="80"/>
              <w:left w:val="nil"/>
              <w:bottom w:val="single" w:sz="4" w:space="0" w:color="808080" w:themeColor="background1" w:themeShade="80"/>
              <w:right w:val="nil"/>
            </w:tcBorders>
            <w:vAlign w:val="center"/>
          </w:tcPr>
          <w:p w14:paraId="6392FBDC" w14:textId="77777777" w:rsidR="00EA2B5F" w:rsidRPr="00BB5769" w:rsidRDefault="00EA2B5F" w:rsidP="00F37B88">
            <w:pPr>
              <w:jc w:val="center"/>
              <w:rPr>
                <w:rFonts w:asciiTheme="majorHAnsi" w:hAnsiTheme="majorHAnsi" w:cstheme="majorHAnsi"/>
                <w:sz w:val="18"/>
                <w:szCs w:val="18"/>
              </w:rPr>
            </w:pPr>
            <w:r w:rsidRPr="00BB5769">
              <w:rPr>
                <w:rFonts w:asciiTheme="majorHAnsi" w:hAnsiTheme="majorHAnsi" w:cstheme="majorHAnsi"/>
                <w:sz w:val="18"/>
                <w:szCs w:val="18"/>
              </w:rPr>
              <w:t>28.02.2019</w:t>
            </w:r>
          </w:p>
        </w:tc>
        <w:tc>
          <w:tcPr>
            <w:tcW w:w="754" w:type="pct"/>
            <w:tcBorders>
              <w:top w:val="single" w:sz="4" w:space="0" w:color="808080" w:themeColor="background1" w:themeShade="80"/>
              <w:left w:val="nil"/>
              <w:bottom w:val="single" w:sz="4" w:space="0" w:color="808080" w:themeColor="background1" w:themeShade="80"/>
              <w:right w:val="nil"/>
            </w:tcBorders>
            <w:vAlign w:val="center"/>
          </w:tcPr>
          <w:p w14:paraId="18D50F26" w14:textId="77777777" w:rsidR="00EA2B5F" w:rsidRPr="00BB5769" w:rsidRDefault="00EA2B5F" w:rsidP="00F37B88">
            <w:pPr>
              <w:jc w:val="center"/>
              <w:rPr>
                <w:rFonts w:asciiTheme="majorHAnsi" w:hAnsiTheme="majorHAnsi" w:cstheme="majorHAnsi"/>
                <w:sz w:val="18"/>
                <w:szCs w:val="18"/>
              </w:rPr>
            </w:pPr>
            <w:r w:rsidRPr="00BB5769">
              <w:rPr>
                <w:rFonts w:asciiTheme="majorHAnsi" w:hAnsiTheme="majorHAnsi" w:cstheme="majorHAnsi"/>
                <w:sz w:val="18"/>
                <w:szCs w:val="18"/>
              </w:rPr>
              <w:t>społeczny</w:t>
            </w:r>
          </w:p>
        </w:tc>
        <w:tc>
          <w:tcPr>
            <w:tcW w:w="753" w:type="pct"/>
            <w:tcBorders>
              <w:top w:val="single" w:sz="4" w:space="0" w:color="808080" w:themeColor="background1" w:themeShade="80"/>
              <w:left w:val="nil"/>
              <w:bottom w:val="single" w:sz="4" w:space="0" w:color="808080" w:themeColor="background1" w:themeShade="80"/>
              <w:right w:val="nil"/>
            </w:tcBorders>
            <w:vAlign w:val="center"/>
          </w:tcPr>
          <w:p w14:paraId="40B2F1AE" w14:textId="77777777" w:rsidR="00EA2B5F" w:rsidRPr="00BB5769" w:rsidRDefault="00EA2B5F" w:rsidP="00F37B88">
            <w:pPr>
              <w:jc w:val="center"/>
              <w:rPr>
                <w:rFonts w:asciiTheme="majorHAnsi" w:hAnsiTheme="majorHAnsi" w:cstheme="majorHAnsi"/>
                <w:sz w:val="18"/>
                <w:szCs w:val="18"/>
              </w:rPr>
            </w:pPr>
            <w:r w:rsidRPr="00BB5769">
              <w:rPr>
                <w:rFonts w:asciiTheme="majorHAnsi" w:hAnsiTheme="majorHAnsi" w:cstheme="majorHAnsi"/>
                <w:sz w:val="18"/>
                <w:szCs w:val="18"/>
              </w:rPr>
              <w:t>2022</w:t>
            </w:r>
          </w:p>
        </w:tc>
      </w:tr>
      <w:tr w:rsidR="00EA2B5F" w:rsidRPr="00BB5769" w14:paraId="5409E9BE" w14:textId="77777777" w:rsidTr="00BB5769">
        <w:trPr>
          <w:trHeight w:val="113"/>
        </w:trPr>
        <w:tc>
          <w:tcPr>
            <w:tcW w:w="5000" w:type="pct"/>
            <w:gridSpan w:val="4"/>
            <w:tcBorders>
              <w:top w:val="single" w:sz="4" w:space="0" w:color="808080" w:themeColor="background1" w:themeShade="80"/>
              <w:left w:val="nil"/>
              <w:bottom w:val="single" w:sz="4" w:space="0" w:color="808080" w:themeColor="background1" w:themeShade="80"/>
              <w:right w:val="nil"/>
            </w:tcBorders>
            <w:shd w:val="clear" w:color="auto" w:fill="DEEAF6" w:themeFill="accent1" w:themeFillTint="33"/>
            <w:vAlign w:val="center"/>
          </w:tcPr>
          <w:p w14:paraId="78E3BE56" w14:textId="77777777" w:rsidR="00EA2B5F" w:rsidRPr="00BB5769" w:rsidRDefault="00EA2B5F" w:rsidP="00F37B88">
            <w:pPr>
              <w:rPr>
                <w:rFonts w:asciiTheme="majorHAnsi" w:hAnsiTheme="majorHAnsi" w:cstheme="majorHAnsi"/>
                <w:bCs/>
                <w:sz w:val="18"/>
                <w:szCs w:val="18"/>
              </w:rPr>
            </w:pPr>
            <w:r w:rsidRPr="00BB5769">
              <w:rPr>
                <w:rFonts w:asciiTheme="majorHAnsi" w:hAnsiTheme="majorHAnsi" w:cstheme="majorHAnsi"/>
                <w:bCs/>
                <w:sz w:val="18"/>
                <w:szCs w:val="18"/>
              </w:rPr>
              <w:t>Powiat Szczycieński</w:t>
            </w:r>
          </w:p>
        </w:tc>
      </w:tr>
      <w:tr w:rsidR="00EA2B5F" w:rsidRPr="00BB5769" w14:paraId="37AEAE8A" w14:textId="77777777" w:rsidTr="00BB5769">
        <w:trPr>
          <w:trHeight w:val="113"/>
        </w:trPr>
        <w:tc>
          <w:tcPr>
            <w:tcW w:w="2864" w:type="pct"/>
            <w:tcBorders>
              <w:top w:val="single" w:sz="4" w:space="0" w:color="808080" w:themeColor="background1" w:themeShade="80"/>
              <w:left w:val="nil"/>
              <w:bottom w:val="single" w:sz="4" w:space="0" w:color="808080" w:themeColor="background1" w:themeShade="80"/>
              <w:right w:val="nil"/>
            </w:tcBorders>
            <w:vAlign w:val="center"/>
          </w:tcPr>
          <w:p w14:paraId="1B590BA5" w14:textId="77777777" w:rsidR="00EA2B5F" w:rsidRPr="00BB5769" w:rsidRDefault="00EA2B5F" w:rsidP="00BB5769">
            <w:pPr>
              <w:rPr>
                <w:rFonts w:asciiTheme="majorHAnsi" w:hAnsiTheme="majorHAnsi" w:cstheme="majorHAnsi"/>
                <w:sz w:val="18"/>
                <w:szCs w:val="18"/>
              </w:rPr>
            </w:pPr>
            <w:r w:rsidRPr="00BB5769">
              <w:rPr>
                <w:rFonts w:asciiTheme="majorHAnsi" w:hAnsiTheme="majorHAnsi" w:cstheme="majorHAnsi"/>
                <w:sz w:val="18"/>
                <w:szCs w:val="18"/>
              </w:rPr>
              <w:t>Program Ochrony Środowiska dla Powiatu Szczycieńskiego na lata 2014-2017 z uwzględnieniem perspektywy na lata 2018-2021</w:t>
            </w:r>
          </w:p>
        </w:tc>
        <w:tc>
          <w:tcPr>
            <w:tcW w:w="628" w:type="pct"/>
            <w:tcBorders>
              <w:top w:val="single" w:sz="4" w:space="0" w:color="808080" w:themeColor="background1" w:themeShade="80"/>
              <w:left w:val="nil"/>
              <w:bottom w:val="single" w:sz="4" w:space="0" w:color="808080" w:themeColor="background1" w:themeShade="80"/>
              <w:right w:val="nil"/>
            </w:tcBorders>
            <w:vAlign w:val="center"/>
          </w:tcPr>
          <w:p w14:paraId="422088D1" w14:textId="77777777" w:rsidR="00EA2B5F" w:rsidRPr="00BB5769" w:rsidRDefault="00EA2B5F" w:rsidP="00F37B88">
            <w:pPr>
              <w:jc w:val="center"/>
              <w:rPr>
                <w:rFonts w:asciiTheme="majorHAnsi" w:hAnsiTheme="majorHAnsi" w:cstheme="majorHAnsi"/>
                <w:sz w:val="18"/>
                <w:szCs w:val="18"/>
              </w:rPr>
            </w:pPr>
            <w:r w:rsidRPr="00BB5769">
              <w:rPr>
                <w:rFonts w:asciiTheme="majorHAnsi" w:hAnsiTheme="majorHAnsi" w:cstheme="majorHAnsi"/>
                <w:sz w:val="18"/>
                <w:szCs w:val="18"/>
              </w:rPr>
              <w:t>30.12.2014r.</w:t>
            </w:r>
          </w:p>
        </w:tc>
        <w:tc>
          <w:tcPr>
            <w:tcW w:w="754" w:type="pct"/>
            <w:tcBorders>
              <w:top w:val="single" w:sz="4" w:space="0" w:color="808080" w:themeColor="background1" w:themeShade="80"/>
              <w:left w:val="nil"/>
              <w:bottom w:val="single" w:sz="4" w:space="0" w:color="808080" w:themeColor="background1" w:themeShade="80"/>
              <w:right w:val="nil"/>
            </w:tcBorders>
            <w:vAlign w:val="center"/>
          </w:tcPr>
          <w:p w14:paraId="752D8587" w14:textId="77777777" w:rsidR="00EA2B5F" w:rsidRPr="00BB5769" w:rsidRDefault="00EA2B5F" w:rsidP="00F37B88">
            <w:pPr>
              <w:jc w:val="center"/>
              <w:rPr>
                <w:rFonts w:asciiTheme="majorHAnsi" w:hAnsiTheme="majorHAnsi" w:cstheme="majorHAnsi"/>
                <w:sz w:val="18"/>
                <w:szCs w:val="18"/>
              </w:rPr>
            </w:pPr>
            <w:r w:rsidRPr="00BB5769">
              <w:rPr>
                <w:rFonts w:asciiTheme="majorHAnsi" w:hAnsiTheme="majorHAnsi" w:cstheme="majorHAnsi"/>
                <w:sz w:val="18"/>
                <w:szCs w:val="18"/>
              </w:rPr>
              <w:t>ochrona środowiska</w:t>
            </w:r>
          </w:p>
        </w:tc>
        <w:tc>
          <w:tcPr>
            <w:tcW w:w="753" w:type="pct"/>
            <w:tcBorders>
              <w:top w:val="single" w:sz="4" w:space="0" w:color="808080" w:themeColor="background1" w:themeShade="80"/>
              <w:left w:val="nil"/>
              <w:bottom w:val="single" w:sz="4" w:space="0" w:color="808080" w:themeColor="background1" w:themeShade="80"/>
              <w:right w:val="nil"/>
            </w:tcBorders>
            <w:vAlign w:val="center"/>
          </w:tcPr>
          <w:p w14:paraId="6E687072" w14:textId="77777777" w:rsidR="00EA2B5F" w:rsidRPr="00BB5769" w:rsidRDefault="00EA2B5F" w:rsidP="00F37B88">
            <w:pPr>
              <w:jc w:val="center"/>
              <w:rPr>
                <w:rFonts w:asciiTheme="majorHAnsi" w:hAnsiTheme="majorHAnsi" w:cstheme="majorHAnsi"/>
                <w:sz w:val="18"/>
                <w:szCs w:val="18"/>
              </w:rPr>
            </w:pPr>
            <w:r w:rsidRPr="00BB5769">
              <w:rPr>
                <w:rFonts w:asciiTheme="majorHAnsi" w:hAnsiTheme="majorHAnsi" w:cstheme="majorHAnsi"/>
                <w:sz w:val="18"/>
                <w:szCs w:val="18"/>
              </w:rPr>
              <w:t>2021</w:t>
            </w:r>
          </w:p>
        </w:tc>
      </w:tr>
      <w:tr w:rsidR="00EA2B5F" w:rsidRPr="00BB5769" w14:paraId="1E482856" w14:textId="77777777" w:rsidTr="00BB5769">
        <w:trPr>
          <w:trHeight w:val="113"/>
        </w:trPr>
        <w:tc>
          <w:tcPr>
            <w:tcW w:w="2864" w:type="pct"/>
            <w:tcBorders>
              <w:top w:val="single" w:sz="4" w:space="0" w:color="808080" w:themeColor="background1" w:themeShade="80"/>
              <w:left w:val="nil"/>
              <w:bottom w:val="single" w:sz="4" w:space="0" w:color="808080" w:themeColor="background1" w:themeShade="80"/>
              <w:right w:val="nil"/>
            </w:tcBorders>
            <w:vAlign w:val="center"/>
          </w:tcPr>
          <w:p w14:paraId="436AB7FA" w14:textId="77777777" w:rsidR="00EA2B5F" w:rsidRPr="00BB5769" w:rsidRDefault="00EA2B5F" w:rsidP="00BB5769">
            <w:pPr>
              <w:rPr>
                <w:rFonts w:asciiTheme="majorHAnsi" w:hAnsiTheme="majorHAnsi" w:cstheme="majorHAnsi"/>
                <w:sz w:val="18"/>
                <w:szCs w:val="18"/>
              </w:rPr>
            </w:pPr>
            <w:r w:rsidRPr="00BB5769">
              <w:rPr>
                <w:rFonts w:asciiTheme="majorHAnsi" w:hAnsiTheme="majorHAnsi" w:cstheme="majorHAnsi"/>
                <w:sz w:val="18"/>
                <w:szCs w:val="18"/>
              </w:rPr>
              <w:t>Powiatowy Program Przeciwdziałania Przemocy w Rodzinie i Ochrony Ofiar Przemocy w Rodzinie w Powiecie Szczycieńskim na lata 2015-2020”</w:t>
            </w:r>
          </w:p>
        </w:tc>
        <w:tc>
          <w:tcPr>
            <w:tcW w:w="628" w:type="pct"/>
            <w:tcBorders>
              <w:top w:val="single" w:sz="4" w:space="0" w:color="808080" w:themeColor="background1" w:themeShade="80"/>
              <w:left w:val="nil"/>
              <w:bottom w:val="single" w:sz="4" w:space="0" w:color="808080" w:themeColor="background1" w:themeShade="80"/>
              <w:right w:val="nil"/>
            </w:tcBorders>
            <w:vAlign w:val="center"/>
          </w:tcPr>
          <w:p w14:paraId="7020D579" w14:textId="77777777" w:rsidR="00EA2B5F" w:rsidRPr="00BB5769" w:rsidRDefault="00EA2B5F" w:rsidP="00F37B88">
            <w:pPr>
              <w:jc w:val="center"/>
              <w:rPr>
                <w:rFonts w:asciiTheme="majorHAnsi" w:hAnsiTheme="majorHAnsi" w:cstheme="majorHAnsi"/>
                <w:sz w:val="18"/>
                <w:szCs w:val="18"/>
              </w:rPr>
            </w:pPr>
            <w:r w:rsidRPr="00BB5769">
              <w:rPr>
                <w:rFonts w:asciiTheme="majorHAnsi" w:hAnsiTheme="majorHAnsi" w:cstheme="majorHAnsi"/>
                <w:color w:val="000000" w:themeColor="text1"/>
                <w:sz w:val="18"/>
                <w:szCs w:val="18"/>
              </w:rPr>
              <w:t>19.06.2015</w:t>
            </w:r>
          </w:p>
        </w:tc>
        <w:tc>
          <w:tcPr>
            <w:tcW w:w="754" w:type="pct"/>
            <w:tcBorders>
              <w:top w:val="single" w:sz="4" w:space="0" w:color="808080" w:themeColor="background1" w:themeShade="80"/>
              <w:left w:val="nil"/>
              <w:bottom w:val="single" w:sz="4" w:space="0" w:color="808080" w:themeColor="background1" w:themeShade="80"/>
              <w:right w:val="nil"/>
            </w:tcBorders>
            <w:vAlign w:val="center"/>
          </w:tcPr>
          <w:p w14:paraId="36AA7320" w14:textId="77777777" w:rsidR="00EA2B5F" w:rsidRPr="00BB5769" w:rsidRDefault="00EA2B5F" w:rsidP="00F37B88">
            <w:pPr>
              <w:jc w:val="center"/>
              <w:rPr>
                <w:rFonts w:asciiTheme="majorHAnsi" w:hAnsiTheme="majorHAnsi" w:cstheme="majorHAnsi"/>
                <w:sz w:val="18"/>
                <w:szCs w:val="18"/>
              </w:rPr>
            </w:pPr>
            <w:r w:rsidRPr="00BB5769">
              <w:rPr>
                <w:rFonts w:asciiTheme="majorHAnsi" w:hAnsiTheme="majorHAnsi" w:cstheme="majorHAnsi"/>
                <w:sz w:val="18"/>
                <w:szCs w:val="18"/>
              </w:rPr>
              <w:t xml:space="preserve">społeczny </w:t>
            </w:r>
          </w:p>
        </w:tc>
        <w:tc>
          <w:tcPr>
            <w:tcW w:w="753" w:type="pct"/>
            <w:tcBorders>
              <w:top w:val="single" w:sz="4" w:space="0" w:color="808080" w:themeColor="background1" w:themeShade="80"/>
              <w:left w:val="nil"/>
              <w:bottom w:val="single" w:sz="4" w:space="0" w:color="808080" w:themeColor="background1" w:themeShade="80"/>
              <w:right w:val="nil"/>
            </w:tcBorders>
            <w:vAlign w:val="center"/>
          </w:tcPr>
          <w:p w14:paraId="440F6951" w14:textId="77777777" w:rsidR="00EA2B5F" w:rsidRPr="00BB5769" w:rsidRDefault="00EA2B5F" w:rsidP="00F37B88">
            <w:pPr>
              <w:jc w:val="center"/>
              <w:rPr>
                <w:rFonts w:asciiTheme="majorHAnsi" w:hAnsiTheme="majorHAnsi" w:cstheme="majorHAnsi"/>
                <w:sz w:val="18"/>
                <w:szCs w:val="18"/>
              </w:rPr>
            </w:pPr>
            <w:r w:rsidRPr="00BB5769">
              <w:rPr>
                <w:rFonts w:asciiTheme="majorHAnsi" w:hAnsiTheme="majorHAnsi" w:cstheme="majorHAnsi"/>
                <w:sz w:val="18"/>
                <w:szCs w:val="18"/>
              </w:rPr>
              <w:t>b.d. dot. roku</w:t>
            </w:r>
          </w:p>
        </w:tc>
      </w:tr>
      <w:tr w:rsidR="00EA2B5F" w:rsidRPr="00BB5769" w14:paraId="55E0C961" w14:textId="77777777" w:rsidTr="00BB5769">
        <w:trPr>
          <w:trHeight w:val="113"/>
        </w:trPr>
        <w:tc>
          <w:tcPr>
            <w:tcW w:w="2864" w:type="pct"/>
            <w:tcBorders>
              <w:top w:val="single" w:sz="4" w:space="0" w:color="808080" w:themeColor="background1" w:themeShade="80"/>
              <w:left w:val="nil"/>
              <w:bottom w:val="single" w:sz="4" w:space="0" w:color="808080" w:themeColor="background1" w:themeShade="80"/>
              <w:right w:val="nil"/>
            </w:tcBorders>
            <w:vAlign w:val="center"/>
          </w:tcPr>
          <w:p w14:paraId="514031E6" w14:textId="77777777" w:rsidR="00EA2B5F" w:rsidRPr="00BB5769" w:rsidRDefault="00EA2B5F" w:rsidP="00BB5769">
            <w:pPr>
              <w:rPr>
                <w:rFonts w:asciiTheme="majorHAnsi" w:hAnsiTheme="majorHAnsi" w:cstheme="majorHAnsi"/>
                <w:sz w:val="18"/>
                <w:szCs w:val="18"/>
              </w:rPr>
            </w:pPr>
            <w:r w:rsidRPr="00BB5769">
              <w:rPr>
                <w:rFonts w:asciiTheme="majorHAnsi" w:hAnsiTheme="majorHAnsi" w:cstheme="majorHAnsi"/>
                <w:sz w:val="18"/>
                <w:szCs w:val="18"/>
              </w:rPr>
              <w:t>Powiatowy Program Profilaktyczno-Edukacyjny dla Dzieci i Młodzieży w Rodzinach Zagrożonych Przemocą w Powiecie Szczycieńskim na lata 2015-2020</w:t>
            </w:r>
          </w:p>
        </w:tc>
        <w:tc>
          <w:tcPr>
            <w:tcW w:w="628" w:type="pct"/>
            <w:tcBorders>
              <w:top w:val="single" w:sz="4" w:space="0" w:color="808080" w:themeColor="background1" w:themeShade="80"/>
              <w:left w:val="nil"/>
              <w:bottom w:val="single" w:sz="4" w:space="0" w:color="808080" w:themeColor="background1" w:themeShade="80"/>
              <w:right w:val="nil"/>
            </w:tcBorders>
            <w:vAlign w:val="center"/>
          </w:tcPr>
          <w:p w14:paraId="26C72969" w14:textId="77777777" w:rsidR="00EA2B5F" w:rsidRPr="00BB5769" w:rsidRDefault="00EA2B5F" w:rsidP="00F37B88">
            <w:pPr>
              <w:jc w:val="center"/>
              <w:rPr>
                <w:rFonts w:asciiTheme="majorHAnsi" w:hAnsiTheme="majorHAnsi" w:cstheme="majorHAnsi"/>
                <w:sz w:val="18"/>
                <w:szCs w:val="18"/>
              </w:rPr>
            </w:pPr>
            <w:r w:rsidRPr="00BB5769">
              <w:rPr>
                <w:rFonts w:asciiTheme="majorHAnsi" w:hAnsiTheme="majorHAnsi" w:cstheme="majorHAnsi"/>
                <w:color w:val="000000" w:themeColor="text1"/>
                <w:sz w:val="18"/>
                <w:szCs w:val="18"/>
              </w:rPr>
              <w:t>19.06.2015</w:t>
            </w:r>
          </w:p>
        </w:tc>
        <w:tc>
          <w:tcPr>
            <w:tcW w:w="754" w:type="pct"/>
            <w:tcBorders>
              <w:top w:val="single" w:sz="4" w:space="0" w:color="808080" w:themeColor="background1" w:themeShade="80"/>
              <w:left w:val="nil"/>
              <w:bottom w:val="single" w:sz="4" w:space="0" w:color="808080" w:themeColor="background1" w:themeShade="80"/>
              <w:right w:val="nil"/>
            </w:tcBorders>
            <w:vAlign w:val="center"/>
          </w:tcPr>
          <w:p w14:paraId="418C675A" w14:textId="77777777" w:rsidR="00EA2B5F" w:rsidRPr="00BB5769" w:rsidRDefault="00EA2B5F" w:rsidP="00F37B88">
            <w:pPr>
              <w:jc w:val="center"/>
              <w:rPr>
                <w:rFonts w:asciiTheme="majorHAnsi" w:hAnsiTheme="majorHAnsi" w:cstheme="majorHAnsi"/>
                <w:sz w:val="18"/>
                <w:szCs w:val="18"/>
              </w:rPr>
            </w:pPr>
            <w:r w:rsidRPr="00BB5769">
              <w:rPr>
                <w:rFonts w:asciiTheme="majorHAnsi" w:hAnsiTheme="majorHAnsi" w:cstheme="majorHAnsi"/>
                <w:sz w:val="18"/>
                <w:szCs w:val="18"/>
              </w:rPr>
              <w:t xml:space="preserve">społeczny </w:t>
            </w:r>
          </w:p>
        </w:tc>
        <w:tc>
          <w:tcPr>
            <w:tcW w:w="753" w:type="pct"/>
            <w:tcBorders>
              <w:top w:val="single" w:sz="4" w:space="0" w:color="808080" w:themeColor="background1" w:themeShade="80"/>
              <w:left w:val="nil"/>
              <w:bottom w:val="single" w:sz="4" w:space="0" w:color="808080" w:themeColor="background1" w:themeShade="80"/>
              <w:right w:val="nil"/>
            </w:tcBorders>
            <w:vAlign w:val="center"/>
          </w:tcPr>
          <w:p w14:paraId="4265C91A" w14:textId="77777777" w:rsidR="00EA2B5F" w:rsidRPr="00BB5769" w:rsidRDefault="00EA2B5F" w:rsidP="00F37B88">
            <w:pPr>
              <w:jc w:val="center"/>
              <w:rPr>
                <w:rFonts w:asciiTheme="majorHAnsi" w:hAnsiTheme="majorHAnsi" w:cstheme="majorHAnsi"/>
                <w:sz w:val="18"/>
                <w:szCs w:val="18"/>
              </w:rPr>
            </w:pPr>
            <w:r w:rsidRPr="00BB5769">
              <w:rPr>
                <w:rFonts w:asciiTheme="majorHAnsi" w:hAnsiTheme="majorHAnsi" w:cstheme="majorHAnsi"/>
                <w:sz w:val="18"/>
                <w:szCs w:val="18"/>
              </w:rPr>
              <w:t>b.d. dot. roku</w:t>
            </w:r>
          </w:p>
        </w:tc>
      </w:tr>
      <w:tr w:rsidR="00EA2B5F" w:rsidRPr="00BB5769" w14:paraId="1C5F0E3A" w14:textId="77777777" w:rsidTr="00BB5769">
        <w:trPr>
          <w:trHeight w:val="113"/>
        </w:trPr>
        <w:tc>
          <w:tcPr>
            <w:tcW w:w="2864" w:type="pct"/>
            <w:tcBorders>
              <w:top w:val="single" w:sz="4" w:space="0" w:color="808080" w:themeColor="background1" w:themeShade="80"/>
              <w:left w:val="nil"/>
              <w:bottom w:val="single" w:sz="4" w:space="0" w:color="808080" w:themeColor="background1" w:themeShade="80"/>
              <w:right w:val="nil"/>
            </w:tcBorders>
            <w:vAlign w:val="center"/>
          </w:tcPr>
          <w:p w14:paraId="2B9A6D66" w14:textId="77777777" w:rsidR="00EA2B5F" w:rsidRPr="00BB5769" w:rsidRDefault="00EA2B5F" w:rsidP="00BB5769">
            <w:pPr>
              <w:rPr>
                <w:rFonts w:asciiTheme="majorHAnsi" w:eastAsia="Times New Roman" w:hAnsiTheme="majorHAnsi" w:cstheme="majorHAnsi"/>
                <w:sz w:val="18"/>
                <w:szCs w:val="18"/>
              </w:rPr>
            </w:pPr>
            <w:r w:rsidRPr="00BB5769">
              <w:rPr>
                <w:rFonts w:asciiTheme="majorHAnsi" w:hAnsiTheme="majorHAnsi" w:cstheme="majorHAnsi"/>
                <w:sz w:val="18"/>
                <w:szCs w:val="18"/>
              </w:rPr>
              <w:t>Powiatowy Program Rozwoju Pieczy Zastępczej na lata 2018-2020</w:t>
            </w:r>
          </w:p>
        </w:tc>
        <w:tc>
          <w:tcPr>
            <w:tcW w:w="628" w:type="pct"/>
            <w:tcBorders>
              <w:top w:val="single" w:sz="4" w:space="0" w:color="808080" w:themeColor="background1" w:themeShade="80"/>
              <w:left w:val="nil"/>
              <w:bottom w:val="single" w:sz="4" w:space="0" w:color="808080" w:themeColor="background1" w:themeShade="80"/>
              <w:right w:val="nil"/>
            </w:tcBorders>
            <w:vAlign w:val="center"/>
          </w:tcPr>
          <w:p w14:paraId="5E63AFC1" w14:textId="77777777" w:rsidR="00EA2B5F" w:rsidRPr="00BB5769" w:rsidRDefault="00EA2B5F" w:rsidP="00F37B88">
            <w:pPr>
              <w:jc w:val="center"/>
              <w:rPr>
                <w:rFonts w:asciiTheme="majorHAnsi" w:hAnsiTheme="majorHAnsi" w:cstheme="majorHAnsi"/>
                <w:sz w:val="18"/>
                <w:szCs w:val="18"/>
              </w:rPr>
            </w:pPr>
            <w:r w:rsidRPr="00BB5769">
              <w:rPr>
                <w:rFonts w:asciiTheme="majorHAnsi" w:hAnsiTheme="majorHAnsi" w:cstheme="majorHAnsi"/>
                <w:sz w:val="18"/>
                <w:szCs w:val="18"/>
              </w:rPr>
              <w:t>27.06.2018</w:t>
            </w:r>
          </w:p>
        </w:tc>
        <w:tc>
          <w:tcPr>
            <w:tcW w:w="754" w:type="pct"/>
            <w:tcBorders>
              <w:top w:val="single" w:sz="4" w:space="0" w:color="808080" w:themeColor="background1" w:themeShade="80"/>
              <w:left w:val="nil"/>
              <w:bottom w:val="single" w:sz="4" w:space="0" w:color="808080" w:themeColor="background1" w:themeShade="80"/>
              <w:right w:val="nil"/>
            </w:tcBorders>
            <w:vAlign w:val="center"/>
          </w:tcPr>
          <w:p w14:paraId="315A66D1" w14:textId="77777777" w:rsidR="00EA2B5F" w:rsidRPr="00BB5769" w:rsidRDefault="00EA2B5F" w:rsidP="00F37B88">
            <w:pPr>
              <w:jc w:val="center"/>
              <w:rPr>
                <w:rFonts w:asciiTheme="majorHAnsi" w:hAnsiTheme="majorHAnsi" w:cstheme="majorHAnsi"/>
                <w:sz w:val="18"/>
                <w:szCs w:val="18"/>
              </w:rPr>
            </w:pPr>
            <w:r w:rsidRPr="00BB5769">
              <w:rPr>
                <w:rFonts w:asciiTheme="majorHAnsi" w:hAnsiTheme="majorHAnsi" w:cstheme="majorHAnsi"/>
                <w:sz w:val="18"/>
                <w:szCs w:val="18"/>
              </w:rPr>
              <w:t>społeczny</w:t>
            </w:r>
          </w:p>
        </w:tc>
        <w:tc>
          <w:tcPr>
            <w:tcW w:w="753" w:type="pct"/>
            <w:tcBorders>
              <w:top w:val="single" w:sz="4" w:space="0" w:color="808080" w:themeColor="background1" w:themeShade="80"/>
              <w:left w:val="nil"/>
              <w:bottom w:val="single" w:sz="4" w:space="0" w:color="808080" w:themeColor="background1" w:themeShade="80"/>
              <w:right w:val="nil"/>
            </w:tcBorders>
            <w:vAlign w:val="center"/>
          </w:tcPr>
          <w:p w14:paraId="74272262" w14:textId="77777777" w:rsidR="00EA2B5F" w:rsidRPr="00BB5769" w:rsidRDefault="00EA2B5F" w:rsidP="00F37B88">
            <w:pPr>
              <w:jc w:val="center"/>
              <w:rPr>
                <w:rFonts w:asciiTheme="majorHAnsi" w:hAnsiTheme="majorHAnsi" w:cstheme="majorHAnsi"/>
                <w:sz w:val="18"/>
                <w:szCs w:val="18"/>
              </w:rPr>
            </w:pPr>
            <w:r w:rsidRPr="00BB5769">
              <w:rPr>
                <w:rFonts w:asciiTheme="majorHAnsi" w:hAnsiTheme="majorHAnsi" w:cstheme="majorHAnsi"/>
                <w:sz w:val="18"/>
                <w:szCs w:val="18"/>
              </w:rPr>
              <w:t>b.d. dot. roku</w:t>
            </w:r>
          </w:p>
        </w:tc>
      </w:tr>
      <w:tr w:rsidR="00EA2B5F" w:rsidRPr="00BB5769" w14:paraId="21626AF0" w14:textId="77777777" w:rsidTr="00BB5769">
        <w:trPr>
          <w:trHeight w:val="113"/>
        </w:trPr>
        <w:tc>
          <w:tcPr>
            <w:tcW w:w="2864" w:type="pct"/>
            <w:tcBorders>
              <w:top w:val="single" w:sz="4" w:space="0" w:color="808080" w:themeColor="background1" w:themeShade="80"/>
              <w:left w:val="nil"/>
              <w:bottom w:val="single" w:sz="4" w:space="0" w:color="808080" w:themeColor="background1" w:themeShade="80"/>
              <w:right w:val="nil"/>
            </w:tcBorders>
            <w:vAlign w:val="center"/>
          </w:tcPr>
          <w:p w14:paraId="05B18E08" w14:textId="77777777" w:rsidR="00EA2B5F" w:rsidRPr="00BB5769" w:rsidRDefault="00EA2B5F" w:rsidP="00BB5769">
            <w:pPr>
              <w:rPr>
                <w:rFonts w:asciiTheme="majorHAnsi" w:hAnsiTheme="majorHAnsi" w:cstheme="majorHAnsi"/>
                <w:sz w:val="18"/>
                <w:szCs w:val="18"/>
              </w:rPr>
            </w:pPr>
            <w:r w:rsidRPr="00BB5769">
              <w:rPr>
                <w:rFonts w:asciiTheme="majorHAnsi" w:hAnsiTheme="majorHAnsi" w:cstheme="majorHAnsi"/>
                <w:sz w:val="18"/>
                <w:szCs w:val="18"/>
              </w:rPr>
              <w:t>Wieloletnia Prognoza Finansowa Powiatu Szczycieńskiego na lata 2020-2034</w:t>
            </w:r>
          </w:p>
        </w:tc>
        <w:tc>
          <w:tcPr>
            <w:tcW w:w="628" w:type="pct"/>
            <w:tcBorders>
              <w:top w:val="single" w:sz="4" w:space="0" w:color="808080" w:themeColor="background1" w:themeShade="80"/>
              <w:left w:val="nil"/>
              <w:bottom w:val="single" w:sz="4" w:space="0" w:color="808080" w:themeColor="background1" w:themeShade="80"/>
              <w:right w:val="nil"/>
            </w:tcBorders>
            <w:vAlign w:val="center"/>
          </w:tcPr>
          <w:p w14:paraId="07A27CE9" w14:textId="77777777" w:rsidR="00EA2B5F" w:rsidRPr="00BB5769" w:rsidRDefault="00EA2B5F" w:rsidP="00F37B88">
            <w:pPr>
              <w:jc w:val="center"/>
              <w:rPr>
                <w:rFonts w:asciiTheme="majorHAnsi" w:hAnsiTheme="majorHAnsi" w:cstheme="majorHAnsi"/>
                <w:sz w:val="18"/>
                <w:szCs w:val="18"/>
              </w:rPr>
            </w:pPr>
            <w:r w:rsidRPr="00BB5769">
              <w:rPr>
                <w:rFonts w:asciiTheme="majorHAnsi" w:hAnsiTheme="majorHAnsi" w:cstheme="majorHAnsi"/>
                <w:sz w:val="18"/>
                <w:szCs w:val="18"/>
              </w:rPr>
              <w:t>30.12.2019</w:t>
            </w:r>
          </w:p>
        </w:tc>
        <w:tc>
          <w:tcPr>
            <w:tcW w:w="754" w:type="pct"/>
            <w:tcBorders>
              <w:top w:val="single" w:sz="4" w:space="0" w:color="808080" w:themeColor="background1" w:themeShade="80"/>
              <w:left w:val="nil"/>
              <w:bottom w:val="single" w:sz="4" w:space="0" w:color="808080" w:themeColor="background1" w:themeShade="80"/>
              <w:right w:val="nil"/>
            </w:tcBorders>
            <w:vAlign w:val="center"/>
          </w:tcPr>
          <w:p w14:paraId="7F9EAC5D" w14:textId="77777777" w:rsidR="00EA2B5F" w:rsidRPr="00BB5769" w:rsidRDefault="00EA2B5F" w:rsidP="00F37B88">
            <w:pPr>
              <w:jc w:val="center"/>
              <w:rPr>
                <w:rFonts w:asciiTheme="majorHAnsi" w:hAnsiTheme="majorHAnsi" w:cstheme="majorHAnsi"/>
                <w:sz w:val="18"/>
                <w:szCs w:val="18"/>
              </w:rPr>
            </w:pPr>
            <w:r w:rsidRPr="00BB5769">
              <w:rPr>
                <w:rFonts w:asciiTheme="majorHAnsi" w:hAnsiTheme="majorHAnsi" w:cstheme="majorHAnsi"/>
                <w:sz w:val="18"/>
                <w:szCs w:val="18"/>
              </w:rPr>
              <w:t>ekonomiczny</w:t>
            </w:r>
          </w:p>
        </w:tc>
        <w:tc>
          <w:tcPr>
            <w:tcW w:w="753" w:type="pct"/>
            <w:tcBorders>
              <w:top w:val="single" w:sz="4" w:space="0" w:color="808080" w:themeColor="background1" w:themeShade="80"/>
              <w:left w:val="nil"/>
              <w:bottom w:val="single" w:sz="4" w:space="0" w:color="808080" w:themeColor="background1" w:themeShade="80"/>
              <w:right w:val="nil"/>
            </w:tcBorders>
            <w:vAlign w:val="center"/>
          </w:tcPr>
          <w:p w14:paraId="0547750F" w14:textId="77777777" w:rsidR="00EA2B5F" w:rsidRPr="00BB5769" w:rsidRDefault="00EA2B5F" w:rsidP="00F37B88">
            <w:pPr>
              <w:jc w:val="center"/>
              <w:rPr>
                <w:rFonts w:asciiTheme="majorHAnsi" w:hAnsiTheme="majorHAnsi" w:cstheme="majorHAnsi"/>
                <w:sz w:val="18"/>
                <w:szCs w:val="18"/>
              </w:rPr>
            </w:pPr>
            <w:r w:rsidRPr="00BB5769">
              <w:rPr>
                <w:rFonts w:asciiTheme="majorHAnsi" w:hAnsiTheme="majorHAnsi" w:cstheme="majorHAnsi"/>
                <w:sz w:val="18"/>
                <w:szCs w:val="18"/>
              </w:rPr>
              <w:t>b.d. dot. roku</w:t>
            </w:r>
          </w:p>
        </w:tc>
      </w:tr>
      <w:tr w:rsidR="00EA2B5F" w:rsidRPr="00BB5769" w14:paraId="1AC9F6A5" w14:textId="77777777" w:rsidTr="00BB5769">
        <w:trPr>
          <w:trHeight w:val="113"/>
        </w:trPr>
        <w:tc>
          <w:tcPr>
            <w:tcW w:w="2864" w:type="pct"/>
            <w:tcBorders>
              <w:top w:val="single" w:sz="4" w:space="0" w:color="808080" w:themeColor="background1" w:themeShade="80"/>
              <w:left w:val="nil"/>
              <w:bottom w:val="single" w:sz="4" w:space="0" w:color="808080" w:themeColor="background1" w:themeShade="80"/>
              <w:right w:val="nil"/>
            </w:tcBorders>
            <w:vAlign w:val="center"/>
          </w:tcPr>
          <w:p w14:paraId="57AD2C4A" w14:textId="77777777" w:rsidR="00EA2B5F" w:rsidRPr="00BB5769" w:rsidRDefault="00EA2B5F" w:rsidP="00BB5769">
            <w:pPr>
              <w:rPr>
                <w:rFonts w:asciiTheme="majorHAnsi" w:hAnsiTheme="majorHAnsi" w:cstheme="majorHAnsi"/>
                <w:sz w:val="18"/>
                <w:szCs w:val="18"/>
              </w:rPr>
            </w:pPr>
            <w:r w:rsidRPr="00BB5769">
              <w:rPr>
                <w:rFonts w:asciiTheme="majorHAnsi" w:hAnsiTheme="majorHAnsi" w:cstheme="majorHAnsi"/>
                <w:sz w:val="18"/>
                <w:szCs w:val="18"/>
              </w:rPr>
              <w:t>Ramowy Program Współpracy Powiatu Szczycieńskiego z Organizacjami Pozarządowymi</w:t>
            </w:r>
          </w:p>
        </w:tc>
        <w:tc>
          <w:tcPr>
            <w:tcW w:w="628" w:type="pct"/>
            <w:tcBorders>
              <w:top w:val="single" w:sz="4" w:space="0" w:color="808080" w:themeColor="background1" w:themeShade="80"/>
              <w:left w:val="nil"/>
              <w:bottom w:val="single" w:sz="4" w:space="0" w:color="808080" w:themeColor="background1" w:themeShade="80"/>
              <w:right w:val="nil"/>
            </w:tcBorders>
            <w:vAlign w:val="center"/>
          </w:tcPr>
          <w:p w14:paraId="2988E814" w14:textId="77777777" w:rsidR="00EA2B5F" w:rsidRPr="00BB5769" w:rsidRDefault="00EA2B5F" w:rsidP="00F37B88">
            <w:pPr>
              <w:jc w:val="center"/>
              <w:rPr>
                <w:rFonts w:asciiTheme="majorHAnsi" w:hAnsiTheme="majorHAnsi" w:cstheme="majorHAnsi"/>
                <w:sz w:val="18"/>
                <w:szCs w:val="18"/>
              </w:rPr>
            </w:pPr>
            <w:r w:rsidRPr="00BB5769">
              <w:rPr>
                <w:rFonts w:asciiTheme="majorHAnsi" w:hAnsiTheme="majorHAnsi" w:cstheme="majorHAnsi"/>
                <w:sz w:val="18"/>
                <w:szCs w:val="18"/>
              </w:rPr>
              <w:t>12.12.2011</w:t>
            </w:r>
          </w:p>
        </w:tc>
        <w:tc>
          <w:tcPr>
            <w:tcW w:w="754" w:type="pct"/>
            <w:tcBorders>
              <w:top w:val="single" w:sz="4" w:space="0" w:color="808080" w:themeColor="background1" w:themeShade="80"/>
              <w:left w:val="nil"/>
              <w:bottom w:val="single" w:sz="4" w:space="0" w:color="808080" w:themeColor="background1" w:themeShade="80"/>
              <w:right w:val="nil"/>
            </w:tcBorders>
            <w:vAlign w:val="center"/>
          </w:tcPr>
          <w:p w14:paraId="043C0EE7" w14:textId="77777777" w:rsidR="00EA2B5F" w:rsidRPr="00BB5769" w:rsidRDefault="00EA2B5F" w:rsidP="00F37B88">
            <w:pPr>
              <w:jc w:val="center"/>
              <w:rPr>
                <w:rFonts w:asciiTheme="majorHAnsi" w:hAnsiTheme="majorHAnsi" w:cstheme="majorHAnsi"/>
                <w:sz w:val="18"/>
                <w:szCs w:val="18"/>
              </w:rPr>
            </w:pPr>
            <w:r w:rsidRPr="00BB5769">
              <w:rPr>
                <w:rFonts w:asciiTheme="majorHAnsi" w:hAnsiTheme="majorHAnsi" w:cstheme="majorHAnsi"/>
                <w:sz w:val="18"/>
                <w:szCs w:val="18"/>
              </w:rPr>
              <w:t>społeczny</w:t>
            </w:r>
          </w:p>
        </w:tc>
        <w:tc>
          <w:tcPr>
            <w:tcW w:w="753" w:type="pct"/>
            <w:tcBorders>
              <w:top w:val="single" w:sz="4" w:space="0" w:color="808080" w:themeColor="background1" w:themeShade="80"/>
              <w:left w:val="nil"/>
              <w:bottom w:val="single" w:sz="4" w:space="0" w:color="808080" w:themeColor="background1" w:themeShade="80"/>
              <w:right w:val="nil"/>
            </w:tcBorders>
            <w:vAlign w:val="center"/>
          </w:tcPr>
          <w:p w14:paraId="0F1459E9" w14:textId="77777777" w:rsidR="00EA2B5F" w:rsidRPr="00BB5769" w:rsidRDefault="00EA2B5F" w:rsidP="00F37B88">
            <w:pPr>
              <w:jc w:val="center"/>
              <w:rPr>
                <w:rFonts w:asciiTheme="majorHAnsi" w:hAnsiTheme="majorHAnsi" w:cstheme="majorHAnsi"/>
                <w:sz w:val="18"/>
                <w:szCs w:val="18"/>
              </w:rPr>
            </w:pPr>
            <w:r w:rsidRPr="00BB5769">
              <w:rPr>
                <w:rFonts w:asciiTheme="majorHAnsi" w:hAnsiTheme="majorHAnsi" w:cstheme="majorHAnsi"/>
                <w:sz w:val="18"/>
                <w:szCs w:val="18"/>
              </w:rPr>
              <w:t>nie planowana</w:t>
            </w:r>
          </w:p>
        </w:tc>
      </w:tr>
    </w:tbl>
    <w:p w14:paraId="26E48CB6" w14:textId="77777777" w:rsidR="00962762" w:rsidRDefault="00EA2B5F" w:rsidP="00BB5769">
      <w:pPr>
        <w:pStyle w:val="rdo"/>
        <w:sectPr w:rsidR="00962762" w:rsidSect="00BB5769">
          <w:headerReference w:type="even" r:id="rId47"/>
          <w:headerReference w:type="default" r:id="rId48"/>
          <w:footerReference w:type="even" r:id="rId49"/>
          <w:footerReference w:type="default" r:id="rId50"/>
          <w:footerReference w:type="first" r:id="rId51"/>
          <w:pgSz w:w="11906" w:h="16838"/>
          <w:pgMar w:top="1418" w:right="1418" w:bottom="1418" w:left="1418" w:header="709" w:footer="709" w:gutter="0"/>
          <w:cols w:space="708"/>
          <w:docGrid w:linePitch="360"/>
        </w:sectPr>
      </w:pPr>
      <w:r w:rsidRPr="00F25EBD">
        <w:t>Źródło: informacje pozyskane ze Starostw Powiatowych.</w:t>
      </w:r>
    </w:p>
    <w:p w14:paraId="139EECBD" w14:textId="0965602A" w:rsidR="00EA2B5F" w:rsidRPr="00F25EBD" w:rsidRDefault="00BB5769" w:rsidP="00BB5769">
      <w:pPr>
        <w:pStyle w:val="Nagwek2"/>
        <w:spacing w:before="0"/>
        <w:jc w:val="both"/>
        <w:rPr>
          <w:rFonts w:cstheme="majorHAnsi"/>
        </w:rPr>
      </w:pPr>
      <w:bookmarkStart w:id="84" w:name="_Toc77070622"/>
      <w:r>
        <w:rPr>
          <w:rFonts w:cstheme="majorHAnsi"/>
        </w:rPr>
        <w:t xml:space="preserve">7.3 </w:t>
      </w:r>
      <w:r w:rsidR="00EA2B5F" w:rsidRPr="00F25EBD">
        <w:rPr>
          <w:rFonts w:cstheme="majorHAnsi"/>
        </w:rPr>
        <w:t>Promocja powiatów</w:t>
      </w:r>
      <w:bookmarkEnd w:id="84"/>
    </w:p>
    <w:p w14:paraId="61B5154E" w14:textId="720F2FE3" w:rsidR="00EA2B5F" w:rsidRPr="00F25EBD" w:rsidRDefault="00EA2B5F" w:rsidP="00FC7062">
      <w:pPr>
        <w:spacing w:after="0" w:line="276" w:lineRule="auto"/>
        <w:jc w:val="both"/>
        <w:rPr>
          <w:rFonts w:asciiTheme="majorHAnsi" w:hAnsiTheme="majorHAnsi" w:cstheme="majorHAnsi"/>
        </w:rPr>
      </w:pPr>
      <w:r w:rsidRPr="00F25EBD">
        <w:rPr>
          <w:rFonts w:asciiTheme="majorHAnsi" w:hAnsiTheme="majorHAnsi" w:cstheme="majorHAnsi"/>
        </w:rPr>
        <w:t>Działania promocyjne podejmowane przez powiaty Południowych Mazur zestawione są w</w:t>
      </w:r>
      <w:r w:rsidR="007B04A7">
        <w:rPr>
          <w:rFonts w:asciiTheme="majorHAnsi" w:hAnsiTheme="majorHAnsi" w:cstheme="majorHAnsi"/>
        </w:rPr>
        <w:t xml:space="preserve"> </w:t>
      </w:r>
      <w:r w:rsidRPr="00F25EBD">
        <w:rPr>
          <w:rFonts w:asciiTheme="majorHAnsi" w:hAnsiTheme="majorHAnsi" w:cstheme="majorHAnsi"/>
        </w:rPr>
        <w:t>poniższej tabeli.</w:t>
      </w:r>
    </w:p>
    <w:p w14:paraId="15D82806" w14:textId="64CF165C" w:rsidR="00BB5769" w:rsidRDefault="00BB5769" w:rsidP="00BB5769">
      <w:pPr>
        <w:pStyle w:val="nad"/>
      </w:pPr>
      <w:bookmarkStart w:id="85" w:name="_Toc81300545"/>
      <w:r>
        <w:t xml:space="preserve">Tabela </w:t>
      </w:r>
      <w:r w:rsidR="002E1EA5">
        <w:rPr>
          <w:noProof/>
        </w:rPr>
        <w:fldChar w:fldCharType="begin"/>
      </w:r>
      <w:r w:rsidR="002E1EA5">
        <w:rPr>
          <w:noProof/>
        </w:rPr>
        <w:instrText xml:space="preserve"> SEQ Tabela \* ARABIC </w:instrText>
      </w:r>
      <w:r w:rsidR="002E1EA5">
        <w:rPr>
          <w:noProof/>
        </w:rPr>
        <w:fldChar w:fldCharType="separate"/>
      </w:r>
      <w:r w:rsidR="006C7815">
        <w:rPr>
          <w:noProof/>
        </w:rPr>
        <w:t>19</w:t>
      </w:r>
      <w:r w:rsidR="002E1EA5">
        <w:rPr>
          <w:noProof/>
        </w:rPr>
        <w:fldChar w:fldCharType="end"/>
      </w:r>
      <w:r>
        <w:t xml:space="preserve"> </w:t>
      </w:r>
      <w:r w:rsidRPr="00BB5769">
        <w:t>Działania promocyjne podejmowane przez powiaty Południowych Mazur</w:t>
      </w:r>
      <w:bookmarkEnd w:id="85"/>
    </w:p>
    <w:tbl>
      <w:tblPr>
        <w:tblStyle w:val="Tabela-Siatka"/>
        <w:tblW w:w="14175" w:type="dxa"/>
        <w:tblInd w:w="127" w:type="dxa"/>
        <w:tblLook w:val="04A0" w:firstRow="1" w:lastRow="0" w:firstColumn="1" w:lastColumn="0" w:noHBand="0" w:noVBand="1"/>
      </w:tblPr>
      <w:tblGrid>
        <w:gridCol w:w="2410"/>
        <w:gridCol w:w="5958"/>
        <w:gridCol w:w="1565"/>
        <w:gridCol w:w="2258"/>
        <w:gridCol w:w="1984"/>
      </w:tblGrid>
      <w:tr w:rsidR="00962762" w:rsidRPr="00962762" w14:paraId="67228F5C" w14:textId="77777777" w:rsidTr="00962762">
        <w:trPr>
          <w:tblHeader/>
        </w:trPr>
        <w:tc>
          <w:tcPr>
            <w:tcW w:w="24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vAlign w:val="center"/>
          </w:tcPr>
          <w:p w14:paraId="7106DD06" w14:textId="77777777" w:rsidR="00EA2B5F" w:rsidRPr="00962762" w:rsidRDefault="00EA2B5F" w:rsidP="00BB5769">
            <w:pPr>
              <w:jc w:val="center"/>
              <w:rPr>
                <w:rFonts w:asciiTheme="majorHAnsi" w:hAnsiTheme="majorHAnsi" w:cstheme="majorHAnsi"/>
                <w:color w:val="FFFFFF" w:themeColor="background1"/>
                <w:sz w:val="18"/>
                <w:szCs w:val="18"/>
              </w:rPr>
            </w:pPr>
            <w:r w:rsidRPr="00962762">
              <w:rPr>
                <w:rFonts w:asciiTheme="majorHAnsi" w:hAnsiTheme="majorHAnsi" w:cstheme="majorHAnsi"/>
                <w:color w:val="FFFFFF" w:themeColor="background1"/>
                <w:sz w:val="18"/>
                <w:szCs w:val="18"/>
              </w:rPr>
              <w:t>Nazwa działania</w:t>
            </w:r>
          </w:p>
        </w:tc>
        <w:tc>
          <w:tcPr>
            <w:tcW w:w="59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vAlign w:val="center"/>
          </w:tcPr>
          <w:p w14:paraId="2F5A30E2" w14:textId="77777777" w:rsidR="00EA2B5F" w:rsidRPr="00962762" w:rsidRDefault="00EA2B5F" w:rsidP="00BB5769">
            <w:pPr>
              <w:jc w:val="center"/>
              <w:rPr>
                <w:rFonts w:asciiTheme="majorHAnsi" w:hAnsiTheme="majorHAnsi" w:cstheme="majorHAnsi"/>
                <w:color w:val="FFFFFF" w:themeColor="background1"/>
                <w:sz w:val="18"/>
                <w:szCs w:val="18"/>
              </w:rPr>
            </w:pPr>
            <w:r w:rsidRPr="00962762">
              <w:rPr>
                <w:rFonts w:asciiTheme="majorHAnsi" w:hAnsiTheme="majorHAnsi" w:cstheme="majorHAnsi"/>
                <w:color w:val="FFFFFF" w:themeColor="background1"/>
                <w:sz w:val="18"/>
                <w:szCs w:val="18"/>
              </w:rPr>
              <w:t>Charakterystyka</w:t>
            </w:r>
          </w:p>
        </w:tc>
        <w:tc>
          <w:tcPr>
            <w:tcW w:w="15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vAlign w:val="center"/>
          </w:tcPr>
          <w:p w14:paraId="321211C3" w14:textId="77777777" w:rsidR="00EA2B5F" w:rsidRPr="00962762" w:rsidRDefault="00EA2B5F" w:rsidP="00BB5769">
            <w:pPr>
              <w:jc w:val="center"/>
              <w:rPr>
                <w:rFonts w:asciiTheme="majorHAnsi" w:hAnsiTheme="majorHAnsi" w:cstheme="majorHAnsi"/>
                <w:color w:val="FFFFFF" w:themeColor="background1"/>
                <w:sz w:val="18"/>
                <w:szCs w:val="18"/>
              </w:rPr>
            </w:pPr>
            <w:r w:rsidRPr="00962762">
              <w:rPr>
                <w:rFonts w:asciiTheme="majorHAnsi" w:hAnsiTheme="majorHAnsi" w:cstheme="majorHAnsi"/>
                <w:color w:val="FFFFFF" w:themeColor="background1"/>
                <w:sz w:val="18"/>
                <w:szCs w:val="18"/>
              </w:rPr>
              <w:t>cykliczność</w:t>
            </w:r>
          </w:p>
        </w:tc>
        <w:tc>
          <w:tcPr>
            <w:tcW w:w="22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vAlign w:val="center"/>
          </w:tcPr>
          <w:p w14:paraId="7A404080" w14:textId="77777777" w:rsidR="00EA2B5F" w:rsidRPr="00962762" w:rsidRDefault="00EA2B5F" w:rsidP="00BB5769">
            <w:pPr>
              <w:jc w:val="center"/>
              <w:rPr>
                <w:rFonts w:asciiTheme="majorHAnsi" w:hAnsiTheme="majorHAnsi" w:cstheme="majorHAnsi"/>
                <w:color w:val="FFFFFF" w:themeColor="background1"/>
                <w:sz w:val="18"/>
                <w:szCs w:val="18"/>
              </w:rPr>
            </w:pPr>
            <w:r w:rsidRPr="00962762">
              <w:rPr>
                <w:rFonts w:asciiTheme="majorHAnsi" w:hAnsiTheme="majorHAnsi" w:cstheme="majorHAnsi"/>
                <w:color w:val="FFFFFF" w:themeColor="background1"/>
                <w:sz w:val="18"/>
                <w:szCs w:val="18"/>
              </w:rPr>
              <w:t>Inicjator i partnerzy działania</w:t>
            </w:r>
          </w:p>
        </w:tc>
        <w:tc>
          <w:tcPr>
            <w:tcW w:w="19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vAlign w:val="center"/>
          </w:tcPr>
          <w:p w14:paraId="0DF76677" w14:textId="77777777" w:rsidR="00EA2B5F" w:rsidRPr="00962762" w:rsidRDefault="00EA2B5F" w:rsidP="00BB5769">
            <w:pPr>
              <w:jc w:val="center"/>
              <w:rPr>
                <w:rFonts w:asciiTheme="majorHAnsi" w:hAnsiTheme="majorHAnsi" w:cstheme="majorHAnsi"/>
                <w:color w:val="FFFFFF" w:themeColor="background1"/>
                <w:sz w:val="18"/>
                <w:szCs w:val="18"/>
              </w:rPr>
            </w:pPr>
            <w:r w:rsidRPr="00962762">
              <w:rPr>
                <w:rFonts w:asciiTheme="majorHAnsi" w:hAnsiTheme="majorHAnsi" w:cstheme="majorHAnsi"/>
                <w:color w:val="FFFFFF" w:themeColor="background1"/>
                <w:sz w:val="18"/>
                <w:szCs w:val="18"/>
              </w:rPr>
              <w:t>Źródło finansowania działania</w:t>
            </w:r>
          </w:p>
        </w:tc>
      </w:tr>
      <w:tr w:rsidR="00EA2B5F" w:rsidRPr="00962762" w14:paraId="1C56F8B4" w14:textId="77777777" w:rsidTr="00962762">
        <w:tc>
          <w:tcPr>
            <w:tcW w:w="14175" w:type="dxa"/>
            <w:gridSpan w:val="5"/>
            <w:tcBorders>
              <w:top w:val="single" w:sz="4" w:space="0" w:color="FFFFFF" w:themeColor="background1"/>
              <w:left w:val="single" w:sz="4" w:space="0" w:color="FFFFFF" w:themeColor="background1"/>
              <w:bottom w:val="nil"/>
              <w:right w:val="single" w:sz="4" w:space="0" w:color="FFFFFF" w:themeColor="background1"/>
            </w:tcBorders>
            <w:shd w:val="clear" w:color="auto" w:fill="DEEAF6" w:themeFill="accent1" w:themeFillTint="33"/>
            <w:vAlign w:val="center"/>
          </w:tcPr>
          <w:p w14:paraId="33E2BC1A" w14:textId="77777777" w:rsidR="00EA2B5F" w:rsidRPr="00962762" w:rsidRDefault="00EA2B5F" w:rsidP="00BB5769">
            <w:pPr>
              <w:rPr>
                <w:rFonts w:asciiTheme="majorHAnsi" w:hAnsiTheme="majorHAnsi" w:cstheme="majorHAnsi"/>
                <w:sz w:val="18"/>
                <w:szCs w:val="18"/>
              </w:rPr>
            </w:pPr>
            <w:r w:rsidRPr="00962762">
              <w:rPr>
                <w:rFonts w:asciiTheme="majorHAnsi" w:hAnsiTheme="majorHAnsi" w:cstheme="majorHAnsi"/>
                <w:bCs/>
                <w:sz w:val="18"/>
                <w:szCs w:val="18"/>
              </w:rPr>
              <w:t>Powiat Nidzicki</w:t>
            </w:r>
          </w:p>
        </w:tc>
      </w:tr>
      <w:tr w:rsidR="00EA2B5F" w:rsidRPr="00F25EBD" w14:paraId="76542BF0" w14:textId="77777777" w:rsidTr="00962762">
        <w:tc>
          <w:tcPr>
            <w:tcW w:w="2410" w:type="dxa"/>
            <w:tcBorders>
              <w:top w:val="nil"/>
              <w:left w:val="nil"/>
              <w:bottom w:val="single" w:sz="4" w:space="0" w:color="808080" w:themeColor="background1" w:themeShade="80"/>
              <w:right w:val="nil"/>
            </w:tcBorders>
            <w:vAlign w:val="center"/>
          </w:tcPr>
          <w:p w14:paraId="4F8FE143" w14:textId="77777777" w:rsidR="00EA2B5F" w:rsidRPr="00F25EBD" w:rsidRDefault="00EA2B5F" w:rsidP="00BB5769">
            <w:pPr>
              <w:jc w:val="center"/>
              <w:rPr>
                <w:rFonts w:asciiTheme="majorHAnsi" w:hAnsiTheme="majorHAnsi" w:cstheme="majorHAnsi"/>
                <w:sz w:val="18"/>
                <w:szCs w:val="18"/>
              </w:rPr>
            </w:pPr>
            <w:r w:rsidRPr="00F25EBD">
              <w:rPr>
                <w:rFonts w:asciiTheme="majorHAnsi" w:hAnsiTheme="majorHAnsi" w:cstheme="majorHAnsi"/>
                <w:sz w:val="18"/>
                <w:szCs w:val="18"/>
              </w:rPr>
              <w:t>Strona internetowa</w:t>
            </w:r>
          </w:p>
        </w:tc>
        <w:tc>
          <w:tcPr>
            <w:tcW w:w="5958" w:type="dxa"/>
            <w:tcBorders>
              <w:top w:val="nil"/>
              <w:left w:val="nil"/>
              <w:bottom w:val="single" w:sz="4" w:space="0" w:color="808080" w:themeColor="background1" w:themeShade="80"/>
              <w:right w:val="nil"/>
            </w:tcBorders>
            <w:vAlign w:val="center"/>
          </w:tcPr>
          <w:p w14:paraId="5DC1B94E" w14:textId="77777777" w:rsidR="00EA2B5F" w:rsidRPr="00F25EBD" w:rsidRDefault="00EA2B5F" w:rsidP="00BB5769">
            <w:pPr>
              <w:rPr>
                <w:rFonts w:asciiTheme="majorHAnsi" w:hAnsiTheme="majorHAnsi" w:cstheme="majorHAnsi"/>
                <w:sz w:val="18"/>
                <w:szCs w:val="18"/>
              </w:rPr>
            </w:pPr>
            <w:r w:rsidRPr="00F25EBD">
              <w:rPr>
                <w:rFonts w:asciiTheme="majorHAnsi" w:hAnsiTheme="majorHAnsi" w:cstheme="majorHAnsi"/>
                <w:sz w:val="18"/>
                <w:szCs w:val="18"/>
              </w:rPr>
              <w:t>Informacja o inicjatywie PM, ze szczególnym uwzględnieniem najważniejszych działań i prezentacją celów Partnerstwa PM</w:t>
            </w:r>
          </w:p>
        </w:tc>
        <w:tc>
          <w:tcPr>
            <w:tcW w:w="1565" w:type="dxa"/>
            <w:tcBorders>
              <w:top w:val="nil"/>
              <w:left w:val="nil"/>
              <w:bottom w:val="single" w:sz="4" w:space="0" w:color="808080" w:themeColor="background1" w:themeShade="80"/>
              <w:right w:val="nil"/>
            </w:tcBorders>
            <w:vAlign w:val="center"/>
          </w:tcPr>
          <w:p w14:paraId="6BEEC9BD" w14:textId="77777777" w:rsidR="00EA2B5F" w:rsidRPr="00F25EBD" w:rsidRDefault="00EA2B5F" w:rsidP="00BB5769">
            <w:pPr>
              <w:jc w:val="center"/>
              <w:rPr>
                <w:rFonts w:asciiTheme="majorHAnsi" w:hAnsiTheme="majorHAnsi" w:cstheme="majorHAnsi"/>
                <w:sz w:val="18"/>
                <w:szCs w:val="18"/>
              </w:rPr>
            </w:pPr>
            <w:r w:rsidRPr="00F25EBD">
              <w:rPr>
                <w:rFonts w:asciiTheme="majorHAnsi" w:hAnsiTheme="majorHAnsi" w:cstheme="majorHAnsi"/>
                <w:sz w:val="18"/>
                <w:szCs w:val="18"/>
              </w:rPr>
              <w:t>nie</w:t>
            </w:r>
          </w:p>
        </w:tc>
        <w:tc>
          <w:tcPr>
            <w:tcW w:w="2258" w:type="dxa"/>
            <w:tcBorders>
              <w:top w:val="nil"/>
              <w:left w:val="nil"/>
              <w:bottom w:val="single" w:sz="4" w:space="0" w:color="808080" w:themeColor="background1" w:themeShade="80"/>
              <w:right w:val="nil"/>
            </w:tcBorders>
            <w:vAlign w:val="center"/>
          </w:tcPr>
          <w:p w14:paraId="42BE40C9" w14:textId="77777777" w:rsidR="00EA2B5F" w:rsidRPr="00F25EBD" w:rsidRDefault="00EA2B5F" w:rsidP="00BB5769">
            <w:pPr>
              <w:jc w:val="center"/>
              <w:rPr>
                <w:rFonts w:asciiTheme="majorHAnsi" w:hAnsiTheme="majorHAnsi" w:cstheme="majorHAnsi"/>
                <w:sz w:val="18"/>
                <w:szCs w:val="18"/>
              </w:rPr>
            </w:pPr>
            <w:r w:rsidRPr="00F25EBD">
              <w:rPr>
                <w:rFonts w:asciiTheme="majorHAnsi" w:hAnsiTheme="majorHAnsi" w:cstheme="majorHAnsi"/>
                <w:sz w:val="18"/>
                <w:szCs w:val="18"/>
              </w:rPr>
              <w:t>Powiat Nidzicki</w:t>
            </w:r>
          </w:p>
        </w:tc>
        <w:tc>
          <w:tcPr>
            <w:tcW w:w="1984" w:type="dxa"/>
            <w:tcBorders>
              <w:top w:val="nil"/>
              <w:left w:val="nil"/>
              <w:bottom w:val="single" w:sz="4" w:space="0" w:color="808080" w:themeColor="background1" w:themeShade="80"/>
              <w:right w:val="nil"/>
            </w:tcBorders>
            <w:vAlign w:val="center"/>
          </w:tcPr>
          <w:p w14:paraId="17C832DE" w14:textId="77777777" w:rsidR="00EA2B5F" w:rsidRPr="00F25EBD" w:rsidRDefault="00EA2B5F" w:rsidP="00BB5769">
            <w:pPr>
              <w:jc w:val="center"/>
              <w:rPr>
                <w:rFonts w:asciiTheme="majorHAnsi" w:hAnsiTheme="majorHAnsi" w:cstheme="majorHAnsi"/>
                <w:sz w:val="18"/>
                <w:szCs w:val="18"/>
              </w:rPr>
            </w:pPr>
            <w:r w:rsidRPr="00F25EBD">
              <w:rPr>
                <w:rFonts w:asciiTheme="majorHAnsi" w:hAnsiTheme="majorHAnsi" w:cstheme="majorHAnsi"/>
                <w:sz w:val="18"/>
                <w:szCs w:val="18"/>
              </w:rPr>
              <w:t>Powiat Nidzicki</w:t>
            </w:r>
          </w:p>
        </w:tc>
      </w:tr>
      <w:tr w:rsidR="00EA2B5F" w:rsidRPr="00F25EBD" w14:paraId="52A388F9" w14:textId="77777777" w:rsidTr="00962762">
        <w:tc>
          <w:tcPr>
            <w:tcW w:w="2410" w:type="dxa"/>
            <w:tcBorders>
              <w:top w:val="single" w:sz="4" w:space="0" w:color="808080" w:themeColor="background1" w:themeShade="80"/>
              <w:left w:val="nil"/>
              <w:bottom w:val="single" w:sz="4" w:space="0" w:color="808080" w:themeColor="background1" w:themeShade="80"/>
              <w:right w:val="nil"/>
            </w:tcBorders>
            <w:vAlign w:val="center"/>
          </w:tcPr>
          <w:p w14:paraId="1626865C" w14:textId="77777777" w:rsidR="00EA2B5F" w:rsidRPr="00F25EBD" w:rsidRDefault="00EA2B5F" w:rsidP="00BB5769">
            <w:pPr>
              <w:jc w:val="center"/>
              <w:rPr>
                <w:rFonts w:asciiTheme="majorHAnsi" w:hAnsiTheme="majorHAnsi" w:cstheme="majorHAnsi"/>
                <w:sz w:val="18"/>
                <w:szCs w:val="18"/>
              </w:rPr>
            </w:pPr>
            <w:r w:rsidRPr="00F25EBD">
              <w:rPr>
                <w:rFonts w:asciiTheme="majorHAnsi" w:hAnsiTheme="majorHAnsi" w:cstheme="majorHAnsi"/>
                <w:sz w:val="18"/>
                <w:szCs w:val="18"/>
              </w:rPr>
              <w:t>Gazeta lokalna</w:t>
            </w:r>
          </w:p>
        </w:tc>
        <w:tc>
          <w:tcPr>
            <w:tcW w:w="5958" w:type="dxa"/>
            <w:tcBorders>
              <w:top w:val="single" w:sz="4" w:space="0" w:color="808080" w:themeColor="background1" w:themeShade="80"/>
              <w:left w:val="nil"/>
              <w:bottom w:val="single" w:sz="4" w:space="0" w:color="808080" w:themeColor="background1" w:themeShade="80"/>
              <w:right w:val="nil"/>
            </w:tcBorders>
            <w:vAlign w:val="center"/>
          </w:tcPr>
          <w:p w14:paraId="5EFD27C0" w14:textId="77777777" w:rsidR="00EA2B5F" w:rsidRPr="00F25EBD" w:rsidRDefault="00EA2B5F" w:rsidP="00BB5769">
            <w:pPr>
              <w:rPr>
                <w:rFonts w:asciiTheme="majorHAnsi" w:hAnsiTheme="majorHAnsi" w:cstheme="majorHAnsi"/>
                <w:sz w:val="18"/>
                <w:szCs w:val="18"/>
              </w:rPr>
            </w:pPr>
            <w:r w:rsidRPr="00F25EBD">
              <w:rPr>
                <w:rFonts w:asciiTheme="majorHAnsi" w:hAnsiTheme="majorHAnsi" w:cstheme="majorHAnsi"/>
                <w:sz w:val="18"/>
                <w:szCs w:val="18"/>
              </w:rPr>
              <w:t>Opis działań podejmowanych w ramach partnerstwa PM</w:t>
            </w:r>
          </w:p>
        </w:tc>
        <w:tc>
          <w:tcPr>
            <w:tcW w:w="1565" w:type="dxa"/>
            <w:tcBorders>
              <w:top w:val="single" w:sz="4" w:space="0" w:color="808080" w:themeColor="background1" w:themeShade="80"/>
              <w:left w:val="nil"/>
              <w:bottom w:val="single" w:sz="4" w:space="0" w:color="808080" w:themeColor="background1" w:themeShade="80"/>
              <w:right w:val="nil"/>
            </w:tcBorders>
            <w:vAlign w:val="center"/>
          </w:tcPr>
          <w:p w14:paraId="30EAD0A9" w14:textId="77777777" w:rsidR="00EA2B5F" w:rsidRPr="00F25EBD" w:rsidRDefault="00EA2B5F" w:rsidP="00BB5769">
            <w:pPr>
              <w:jc w:val="center"/>
              <w:rPr>
                <w:rFonts w:asciiTheme="majorHAnsi" w:hAnsiTheme="majorHAnsi" w:cstheme="majorHAnsi"/>
                <w:sz w:val="18"/>
                <w:szCs w:val="18"/>
              </w:rPr>
            </w:pPr>
            <w:r w:rsidRPr="00F25EBD">
              <w:rPr>
                <w:rFonts w:asciiTheme="majorHAnsi" w:hAnsiTheme="majorHAnsi" w:cstheme="majorHAnsi"/>
                <w:sz w:val="18"/>
                <w:szCs w:val="18"/>
              </w:rPr>
              <w:t>nie</w:t>
            </w:r>
          </w:p>
        </w:tc>
        <w:tc>
          <w:tcPr>
            <w:tcW w:w="2258" w:type="dxa"/>
            <w:tcBorders>
              <w:top w:val="single" w:sz="4" w:space="0" w:color="808080" w:themeColor="background1" w:themeShade="80"/>
              <w:left w:val="nil"/>
              <w:bottom w:val="single" w:sz="4" w:space="0" w:color="808080" w:themeColor="background1" w:themeShade="80"/>
              <w:right w:val="nil"/>
            </w:tcBorders>
            <w:vAlign w:val="center"/>
          </w:tcPr>
          <w:p w14:paraId="3B53AA0D" w14:textId="77777777" w:rsidR="00EA2B5F" w:rsidRPr="00F25EBD" w:rsidRDefault="00EA2B5F" w:rsidP="00BB5769">
            <w:pPr>
              <w:jc w:val="center"/>
              <w:rPr>
                <w:rFonts w:asciiTheme="majorHAnsi" w:hAnsiTheme="majorHAnsi" w:cstheme="majorHAnsi"/>
                <w:sz w:val="18"/>
                <w:szCs w:val="18"/>
              </w:rPr>
            </w:pPr>
            <w:r w:rsidRPr="00F25EBD">
              <w:rPr>
                <w:rFonts w:asciiTheme="majorHAnsi" w:hAnsiTheme="majorHAnsi" w:cstheme="majorHAnsi"/>
                <w:sz w:val="18"/>
                <w:szCs w:val="18"/>
              </w:rPr>
              <w:t>Powiat Nidzicki</w:t>
            </w:r>
          </w:p>
        </w:tc>
        <w:tc>
          <w:tcPr>
            <w:tcW w:w="1984" w:type="dxa"/>
            <w:tcBorders>
              <w:top w:val="single" w:sz="4" w:space="0" w:color="808080" w:themeColor="background1" w:themeShade="80"/>
              <w:left w:val="nil"/>
              <w:bottom w:val="single" w:sz="4" w:space="0" w:color="808080" w:themeColor="background1" w:themeShade="80"/>
              <w:right w:val="nil"/>
            </w:tcBorders>
            <w:vAlign w:val="center"/>
          </w:tcPr>
          <w:p w14:paraId="13AF9994" w14:textId="77777777" w:rsidR="00EA2B5F" w:rsidRPr="00F25EBD" w:rsidRDefault="00EA2B5F" w:rsidP="00BB5769">
            <w:pPr>
              <w:jc w:val="center"/>
              <w:rPr>
                <w:rFonts w:asciiTheme="majorHAnsi" w:hAnsiTheme="majorHAnsi" w:cstheme="majorHAnsi"/>
                <w:sz w:val="18"/>
                <w:szCs w:val="18"/>
              </w:rPr>
            </w:pPr>
            <w:r w:rsidRPr="00F25EBD">
              <w:rPr>
                <w:rFonts w:asciiTheme="majorHAnsi" w:hAnsiTheme="majorHAnsi" w:cstheme="majorHAnsi"/>
                <w:sz w:val="18"/>
                <w:szCs w:val="18"/>
              </w:rPr>
              <w:t>Powiat Nidzicki</w:t>
            </w:r>
          </w:p>
        </w:tc>
      </w:tr>
      <w:tr w:rsidR="00EA2B5F" w:rsidRPr="00F25EBD" w14:paraId="16559AEB" w14:textId="77777777" w:rsidTr="00962762">
        <w:tc>
          <w:tcPr>
            <w:tcW w:w="2410" w:type="dxa"/>
            <w:tcBorders>
              <w:top w:val="single" w:sz="4" w:space="0" w:color="808080" w:themeColor="background1" w:themeShade="80"/>
              <w:left w:val="nil"/>
              <w:bottom w:val="single" w:sz="4" w:space="0" w:color="FFFFFF" w:themeColor="background1"/>
              <w:right w:val="nil"/>
            </w:tcBorders>
            <w:vAlign w:val="center"/>
          </w:tcPr>
          <w:p w14:paraId="66CA99DD" w14:textId="77777777" w:rsidR="00EA2B5F" w:rsidRPr="00F25EBD" w:rsidRDefault="00EA2B5F" w:rsidP="00BB5769">
            <w:pPr>
              <w:jc w:val="center"/>
              <w:rPr>
                <w:rFonts w:asciiTheme="majorHAnsi" w:hAnsiTheme="majorHAnsi" w:cstheme="majorHAnsi"/>
                <w:sz w:val="18"/>
                <w:szCs w:val="18"/>
              </w:rPr>
            </w:pPr>
            <w:r w:rsidRPr="00F25EBD">
              <w:rPr>
                <w:rFonts w:asciiTheme="majorHAnsi" w:hAnsiTheme="majorHAnsi" w:cstheme="majorHAnsi"/>
                <w:sz w:val="18"/>
                <w:szCs w:val="18"/>
              </w:rPr>
              <w:t>Facebook</w:t>
            </w:r>
          </w:p>
        </w:tc>
        <w:tc>
          <w:tcPr>
            <w:tcW w:w="5958" w:type="dxa"/>
            <w:tcBorders>
              <w:top w:val="single" w:sz="4" w:space="0" w:color="808080" w:themeColor="background1" w:themeShade="80"/>
              <w:left w:val="nil"/>
              <w:bottom w:val="single" w:sz="4" w:space="0" w:color="FFFFFF" w:themeColor="background1"/>
              <w:right w:val="nil"/>
            </w:tcBorders>
            <w:vAlign w:val="center"/>
          </w:tcPr>
          <w:p w14:paraId="057D9239" w14:textId="77777777" w:rsidR="00EA2B5F" w:rsidRPr="00F25EBD" w:rsidRDefault="00EA2B5F" w:rsidP="00BB5769">
            <w:pPr>
              <w:rPr>
                <w:rFonts w:asciiTheme="majorHAnsi" w:hAnsiTheme="majorHAnsi" w:cstheme="majorHAnsi"/>
                <w:sz w:val="18"/>
                <w:szCs w:val="18"/>
              </w:rPr>
            </w:pPr>
            <w:r w:rsidRPr="00F25EBD">
              <w:rPr>
                <w:rFonts w:asciiTheme="majorHAnsi" w:hAnsiTheme="majorHAnsi" w:cstheme="majorHAnsi"/>
                <w:sz w:val="18"/>
                <w:szCs w:val="18"/>
              </w:rPr>
              <w:t>Opis działań podejmowanych w ramach partnerstwa PM</w:t>
            </w:r>
          </w:p>
        </w:tc>
        <w:tc>
          <w:tcPr>
            <w:tcW w:w="1565" w:type="dxa"/>
            <w:tcBorders>
              <w:top w:val="single" w:sz="4" w:space="0" w:color="808080" w:themeColor="background1" w:themeShade="80"/>
              <w:left w:val="nil"/>
              <w:bottom w:val="single" w:sz="4" w:space="0" w:color="FFFFFF" w:themeColor="background1"/>
              <w:right w:val="nil"/>
            </w:tcBorders>
            <w:vAlign w:val="center"/>
          </w:tcPr>
          <w:p w14:paraId="3D5F4D81" w14:textId="77777777" w:rsidR="00EA2B5F" w:rsidRPr="00F25EBD" w:rsidRDefault="00EA2B5F" w:rsidP="00BB5769">
            <w:pPr>
              <w:jc w:val="center"/>
              <w:rPr>
                <w:rFonts w:asciiTheme="majorHAnsi" w:hAnsiTheme="majorHAnsi" w:cstheme="majorHAnsi"/>
                <w:sz w:val="18"/>
                <w:szCs w:val="18"/>
              </w:rPr>
            </w:pPr>
            <w:r w:rsidRPr="00F25EBD">
              <w:rPr>
                <w:rFonts w:asciiTheme="majorHAnsi" w:hAnsiTheme="majorHAnsi" w:cstheme="majorHAnsi"/>
                <w:sz w:val="18"/>
                <w:szCs w:val="18"/>
              </w:rPr>
              <w:t>nie</w:t>
            </w:r>
          </w:p>
        </w:tc>
        <w:tc>
          <w:tcPr>
            <w:tcW w:w="2258" w:type="dxa"/>
            <w:tcBorders>
              <w:top w:val="single" w:sz="4" w:space="0" w:color="808080" w:themeColor="background1" w:themeShade="80"/>
              <w:left w:val="nil"/>
              <w:bottom w:val="single" w:sz="4" w:space="0" w:color="FFFFFF" w:themeColor="background1"/>
              <w:right w:val="nil"/>
            </w:tcBorders>
            <w:vAlign w:val="center"/>
          </w:tcPr>
          <w:p w14:paraId="0C2D1B91" w14:textId="77777777" w:rsidR="00EA2B5F" w:rsidRPr="00F25EBD" w:rsidRDefault="00EA2B5F" w:rsidP="00BB5769">
            <w:pPr>
              <w:jc w:val="center"/>
              <w:rPr>
                <w:rFonts w:asciiTheme="majorHAnsi" w:hAnsiTheme="majorHAnsi" w:cstheme="majorHAnsi"/>
                <w:sz w:val="18"/>
                <w:szCs w:val="18"/>
              </w:rPr>
            </w:pPr>
            <w:r w:rsidRPr="00F25EBD">
              <w:rPr>
                <w:rFonts w:asciiTheme="majorHAnsi" w:hAnsiTheme="majorHAnsi" w:cstheme="majorHAnsi"/>
                <w:sz w:val="18"/>
                <w:szCs w:val="18"/>
              </w:rPr>
              <w:t>Powiat nidzicki</w:t>
            </w:r>
          </w:p>
        </w:tc>
        <w:tc>
          <w:tcPr>
            <w:tcW w:w="1984" w:type="dxa"/>
            <w:tcBorders>
              <w:top w:val="single" w:sz="4" w:space="0" w:color="808080" w:themeColor="background1" w:themeShade="80"/>
              <w:left w:val="nil"/>
              <w:bottom w:val="single" w:sz="4" w:space="0" w:color="FFFFFF" w:themeColor="background1"/>
              <w:right w:val="nil"/>
            </w:tcBorders>
            <w:vAlign w:val="center"/>
          </w:tcPr>
          <w:p w14:paraId="39874B04" w14:textId="77777777" w:rsidR="00EA2B5F" w:rsidRPr="00F25EBD" w:rsidRDefault="00EA2B5F" w:rsidP="00BB5769">
            <w:pPr>
              <w:jc w:val="center"/>
              <w:rPr>
                <w:rFonts w:asciiTheme="majorHAnsi" w:hAnsiTheme="majorHAnsi" w:cstheme="majorHAnsi"/>
                <w:sz w:val="18"/>
                <w:szCs w:val="18"/>
              </w:rPr>
            </w:pPr>
            <w:r w:rsidRPr="00F25EBD">
              <w:rPr>
                <w:rFonts w:asciiTheme="majorHAnsi" w:hAnsiTheme="majorHAnsi" w:cstheme="majorHAnsi"/>
                <w:sz w:val="18"/>
                <w:szCs w:val="18"/>
              </w:rPr>
              <w:t>Powiat Nidzicki</w:t>
            </w:r>
          </w:p>
        </w:tc>
      </w:tr>
      <w:tr w:rsidR="00EA2B5F" w:rsidRPr="00962762" w14:paraId="3AE2DAE0" w14:textId="77777777" w:rsidTr="00962762">
        <w:tc>
          <w:tcPr>
            <w:tcW w:w="14175"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EEAF6" w:themeFill="accent1" w:themeFillTint="33"/>
            <w:vAlign w:val="center"/>
          </w:tcPr>
          <w:p w14:paraId="6D24E144" w14:textId="77777777" w:rsidR="00EA2B5F" w:rsidRPr="00962762" w:rsidRDefault="00EA2B5F" w:rsidP="00BB5769">
            <w:pPr>
              <w:rPr>
                <w:rFonts w:asciiTheme="majorHAnsi" w:hAnsiTheme="majorHAnsi" w:cstheme="majorHAnsi"/>
                <w:sz w:val="18"/>
                <w:szCs w:val="18"/>
              </w:rPr>
            </w:pPr>
            <w:r w:rsidRPr="00962762">
              <w:rPr>
                <w:rFonts w:asciiTheme="majorHAnsi" w:hAnsiTheme="majorHAnsi" w:cstheme="majorHAnsi"/>
                <w:bCs/>
                <w:sz w:val="18"/>
                <w:szCs w:val="18"/>
              </w:rPr>
              <w:t>Powiat Piski</w:t>
            </w:r>
          </w:p>
        </w:tc>
      </w:tr>
      <w:tr w:rsidR="00EA2B5F" w:rsidRPr="00F25EBD" w14:paraId="3279FDCD" w14:textId="77777777" w:rsidTr="00962762">
        <w:tc>
          <w:tcPr>
            <w:tcW w:w="2410" w:type="dxa"/>
            <w:tcBorders>
              <w:top w:val="single" w:sz="4" w:space="0" w:color="FFFFFF" w:themeColor="background1"/>
              <w:left w:val="nil"/>
              <w:bottom w:val="single" w:sz="4" w:space="0" w:color="808080" w:themeColor="background1" w:themeShade="80"/>
              <w:right w:val="nil"/>
            </w:tcBorders>
            <w:vAlign w:val="center"/>
          </w:tcPr>
          <w:p w14:paraId="2BF38FE1" w14:textId="77777777" w:rsidR="00EA2B5F" w:rsidRPr="00F25EBD" w:rsidRDefault="00EA2B5F" w:rsidP="00BB5769">
            <w:pPr>
              <w:jc w:val="center"/>
              <w:rPr>
                <w:rFonts w:asciiTheme="majorHAnsi" w:hAnsiTheme="majorHAnsi" w:cstheme="majorHAnsi"/>
                <w:sz w:val="18"/>
                <w:szCs w:val="18"/>
              </w:rPr>
            </w:pPr>
            <w:r w:rsidRPr="00F25EBD">
              <w:rPr>
                <w:rFonts w:asciiTheme="majorHAnsi" w:hAnsiTheme="majorHAnsi" w:cstheme="majorHAnsi"/>
                <w:sz w:val="18"/>
                <w:szCs w:val="18"/>
              </w:rPr>
              <w:t xml:space="preserve">Promocja powiatu </w:t>
            </w:r>
            <w:proofErr w:type="spellStart"/>
            <w:r w:rsidRPr="00F25EBD">
              <w:rPr>
                <w:rFonts w:asciiTheme="majorHAnsi" w:hAnsiTheme="majorHAnsi" w:cstheme="majorHAnsi"/>
                <w:sz w:val="18"/>
                <w:szCs w:val="18"/>
              </w:rPr>
              <w:t>piskiego</w:t>
            </w:r>
            <w:proofErr w:type="spellEnd"/>
          </w:p>
        </w:tc>
        <w:tc>
          <w:tcPr>
            <w:tcW w:w="5958" w:type="dxa"/>
            <w:tcBorders>
              <w:top w:val="single" w:sz="4" w:space="0" w:color="FFFFFF" w:themeColor="background1"/>
              <w:left w:val="nil"/>
              <w:bottom w:val="single" w:sz="4" w:space="0" w:color="808080" w:themeColor="background1" w:themeShade="80"/>
              <w:right w:val="nil"/>
            </w:tcBorders>
            <w:vAlign w:val="center"/>
          </w:tcPr>
          <w:p w14:paraId="39E36FAC" w14:textId="77777777" w:rsidR="00EA2B5F" w:rsidRPr="00F25EBD" w:rsidRDefault="00EA2B5F" w:rsidP="00BB5769">
            <w:pPr>
              <w:rPr>
                <w:rFonts w:asciiTheme="majorHAnsi" w:hAnsiTheme="majorHAnsi" w:cstheme="majorHAnsi"/>
                <w:sz w:val="18"/>
                <w:szCs w:val="18"/>
              </w:rPr>
            </w:pPr>
            <w:r w:rsidRPr="00F25EBD">
              <w:rPr>
                <w:rFonts w:asciiTheme="majorHAnsi" w:hAnsiTheme="majorHAnsi" w:cstheme="majorHAnsi"/>
                <w:sz w:val="18"/>
                <w:szCs w:val="18"/>
              </w:rPr>
              <w:t>Informacje nt. bieżących działań zamieszczane są:</w:t>
            </w:r>
          </w:p>
          <w:p w14:paraId="653FF784" w14:textId="77777777" w:rsidR="00EA2B5F" w:rsidRPr="00F25EBD" w:rsidRDefault="00EA2B5F" w:rsidP="00BB5769">
            <w:pPr>
              <w:rPr>
                <w:rFonts w:asciiTheme="majorHAnsi" w:hAnsiTheme="majorHAnsi" w:cstheme="majorHAnsi"/>
                <w:sz w:val="18"/>
                <w:szCs w:val="18"/>
              </w:rPr>
            </w:pPr>
            <w:r w:rsidRPr="00F25EBD">
              <w:rPr>
                <w:rFonts w:asciiTheme="majorHAnsi" w:hAnsiTheme="majorHAnsi" w:cstheme="majorHAnsi"/>
                <w:sz w:val="18"/>
                <w:szCs w:val="18"/>
              </w:rPr>
              <w:t>- na stronie internetowej www.powiat.pisz.pl</w:t>
            </w:r>
          </w:p>
          <w:p w14:paraId="62078195" w14:textId="77777777" w:rsidR="00EA2B5F" w:rsidRPr="00F25EBD" w:rsidRDefault="00EA2B5F" w:rsidP="00BB5769">
            <w:pPr>
              <w:rPr>
                <w:rFonts w:asciiTheme="majorHAnsi" w:hAnsiTheme="majorHAnsi" w:cstheme="majorHAnsi"/>
                <w:sz w:val="18"/>
                <w:szCs w:val="18"/>
              </w:rPr>
            </w:pPr>
            <w:r w:rsidRPr="00F25EBD">
              <w:rPr>
                <w:rFonts w:asciiTheme="majorHAnsi" w:hAnsiTheme="majorHAnsi" w:cstheme="majorHAnsi"/>
                <w:sz w:val="18"/>
                <w:szCs w:val="18"/>
              </w:rPr>
              <w:t xml:space="preserve">- na profilu społecznościowym Powiatu </w:t>
            </w:r>
            <w:proofErr w:type="spellStart"/>
            <w:r w:rsidRPr="00F25EBD">
              <w:rPr>
                <w:rFonts w:asciiTheme="majorHAnsi" w:hAnsiTheme="majorHAnsi" w:cstheme="majorHAnsi"/>
                <w:sz w:val="18"/>
                <w:szCs w:val="18"/>
              </w:rPr>
              <w:t>Piskiego</w:t>
            </w:r>
            <w:proofErr w:type="spellEnd"/>
          </w:p>
          <w:p w14:paraId="550309EB" w14:textId="77777777" w:rsidR="00EA2B5F" w:rsidRPr="00F25EBD" w:rsidRDefault="00EA2B5F" w:rsidP="00BB5769">
            <w:pPr>
              <w:rPr>
                <w:rFonts w:asciiTheme="majorHAnsi" w:hAnsiTheme="majorHAnsi" w:cstheme="majorHAnsi"/>
                <w:sz w:val="18"/>
                <w:szCs w:val="18"/>
              </w:rPr>
            </w:pPr>
            <w:r w:rsidRPr="00F25EBD">
              <w:rPr>
                <w:rFonts w:asciiTheme="majorHAnsi" w:hAnsiTheme="majorHAnsi" w:cstheme="majorHAnsi"/>
                <w:sz w:val="18"/>
                <w:szCs w:val="18"/>
              </w:rPr>
              <w:t xml:space="preserve">- w biuletynie informacyjnym powiatu </w:t>
            </w:r>
            <w:proofErr w:type="spellStart"/>
            <w:r w:rsidRPr="00F25EBD">
              <w:rPr>
                <w:rFonts w:asciiTheme="majorHAnsi" w:hAnsiTheme="majorHAnsi" w:cstheme="majorHAnsi"/>
                <w:sz w:val="18"/>
                <w:szCs w:val="18"/>
              </w:rPr>
              <w:t>piskiego</w:t>
            </w:r>
            <w:proofErr w:type="spellEnd"/>
            <w:r w:rsidRPr="00F25EBD">
              <w:rPr>
                <w:rFonts w:asciiTheme="majorHAnsi" w:hAnsiTheme="majorHAnsi" w:cstheme="majorHAnsi"/>
                <w:sz w:val="18"/>
                <w:szCs w:val="18"/>
              </w:rPr>
              <w:t xml:space="preserve"> ukazującym się regularnie (2 razy w m-</w:t>
            </w:r>
            <w:proofErr w:type="spellStart"/>
            <w:r w:rsidRPr="00F25EBD">
              <w:rPr>
                <w:rFonts w:asciiTheme="majorHAnsi" w:hAnsiTheme="majorHAnsi" w:cstheme="majorHAnsi"/>
                <w:sz w:val="18"/>
                <w:szCs w:val="18"/>
              </w:rPr>
              <w:t>cu</w:t>
            </w:r>
            <w:proofErr w:type="spellEnd"/>
            <w:r w:rsidRPr="00F25EBD">
              <w:rPr>
                <w:rFonts w:asciiTheme="majorHAnsi" w:hAnsiTheme="majorHAnsi" w:cstheme="majorHAnsi"/>
                <w:sz w:val="18"/>
                <w:szCs w:val="18"/>
              </w:rPr>
              <w:t xml:space="preserve">) w „Gazecie </w:t>
            </w:r>
            <w:proofErr w:type="spellStart"/>
            <w:r w:rsidRPr="00F25EBD">
              <w:rPr>
                <w:rFonts w:asciiTheme="majorHAnsi" w:hAnsiTheme="majorHAnsi" w:cstheme="majorHAnsi"/>
                <w:sz w:val="18"/>
                <w:szCs w:val="18"/>
              </w:rPr>
              <w:t>Piskiej</w:t>
            </w:r>
            <w:proofErr w:type="spellEnd"/>
            <w:r w:rsidRPr="00F25EBD">
              <w:rPr>
                <w:rFonts w:asciiTheme="majorHAnsi" w:hAnsiTheme="majorHAnsi" w:cstheme="majorHAnsi"/>
                <w:sz w:val="18"/>
                <w:szCs w:val="18"/>
              </w:rPr>
              <w:t>” (lokalnym dodatku do Gazety Olsztyńskiej)</w:t>
            </w:r>
          </w:p>
          <w:p w14:paraId="70A05F93" w14:textId="77777777" w:rsidR="00EA2B5F" w:rsidRPr="00F25EBD" w:rsidRDefault="00EA2B5F" w:rsidP="00BB5769">
            <w:pPr>
              <w:rPr>
                <w:rFonts w:asciiTheme="majorHAnsi" w:hAnsiTheme="majorHAnsi" w:cstheme="majorHAnsi"/>
                <w:sz w:val="18"/>
                <w:szCs w:val="18"/>
              </w:rPr>
            </w:pPr>
            <w:r w:rsidRPr="00F25EBD">
              <w:rPr>
                <w:rFonts w:asciiTheme="majorHAnsi" w:hAnsiTheme="majorHAnsi" w:cstheme="majorHAnsi"/>
                <w:sz w:val="18"/>
                <w:szCs w:val="18"/>
              </w:rPr>
              <w:t xml:space="preserve">- w biuletynie informacyjnym powiatu </w:t>
            </w:r>
            <w:proofErr w:type="spellStart"/>
            <w:r w:rsidRPr="00F25EBD">
              <w:rPr>
                <w:rFonts w:asciiTheme="majorHAnsi" w:hAnsiTheme="majorHAnsi" w:cstheme="majorHAnsi"/>
                <w:sz w:val="18"/>
                <w:szCs w:val="18"/>
              </w:rPr>
              <w:t>piskiego</w:t>
            </w:r>
            <w:proofErr w:type="spellEnd"/>
            <w:r w:rsidRPr="00F25EBD">
              <w:rPr>
                <w:rFonts w:asciiTheme="majorHAnsi" w:hAnsiTheme="majorHAnsi" w:cstheme="majorHAnsi"/>
                <w:sz w:val="18"/>
                <w:szCs w:val="18"/>
              </w:rPr>
              <w:t xml:space="preserve"> publikowanym na portalu www.tygodnikpiski.pl</w:t>
            </w:r>
          </w:p>
        </w:tc>
        <w:tc>
          <w:tcPr>
            <w:tcW w:w="1565" w:type="dxa"/>
            <w:tcBorders>
              <w:top w:val="single" w:sz="4" w:space="0" w:color="FFFFFF" w:themeColor="background1"/>
              <w:left w:val="nil"/>
              <w:bottom w:val="single" w:sz="4" w:space="0" w:color="808080" w:themeColor="background1" w:themeShade="80"/>
              <w:right w:val="nil"/>
            </w:tcBorders>
            <w:vAlign w:val="center"/>
          </w:tcPr>
          <w:p w14:paraId="537F771F" w14:textId="77777777" w:rsidR="00EA2B5F" w:rsidRPr="00F25EBD" w:rsidRDefault="00EA2B5F" w:rsidP="00BB5769">
            <w:pPr>
              <w:jc w:val="center"/>
              <w:rPr>
                <w:rFonts w:asciiTheme="majorHAnsi" w:hAnsiTheme="majorHAnsi" w:cstheme="majorHAnsi"/>
                <w:sz w:val="18"/>
                <w:szCs w:val="18"/>
              </w:rPr>
            </w:pPr>
            <w:r w:rsidRPr="00F25EBD">
              <w:rPr>
                <w:rFonts w:asciiTheme="majorHAnsi" w:hAnsiTheme="majorHAnsi" w:cstheme="majorHAnsi"/>
                <w:sz w:val="18"/>
                <w:szCs w:val="18"/>
              </w:rPr>
              <w:t>Działanie stałe, prowadzone przez cały rok</w:t>
            </w:r>
          </w:p>
        </w:tc>
        <w:tc>
          <w:tcPr>
            <w:tcW w:w="2258" w:type="dxa"/>
            <w:tcBorders>
              <w:top w:val="single" w:sz="4" w:space="0" w:color="FFFFFF" w:themeColor="background1"/>
              <w:left w:val="nil"/>
              <w:bottom w:val="single" w:sz="4" w:space="0" w:color="808080" w:themeColor="background1" w:themeShade="80"/>
              <w:right w:val="nil"/>
            </w:tcBorders>
            <w:vAlign w:val="center"/>
          </w:tcPr>
          <w:p w14:paraId="5C09CFAE" w14:textId="77777777" w:rsidR="00EA2B5F" w:rsidRPr="00F25EBD" w:rsidRDefault="00EA2B5F" w:rsidP="00BB5769">
            <w:pPr>
              <w:jc w:val="center"/>
              <w:rPr>
                <w:rFonts w:asciiTheme="majorHAnsi" w:hAnsiTheme="majorHAnsi" w:cstheme="majorHAnsi"/>
                <w:sz w:val="18"/>
                <w:szCs w:val="18"/>
              </w:rPr>
            </w:pPr>
            <w:r w:rsidRPr="00F25EBD">
              <w:rPr>
                <w:rFonts w:asciiTheme="majorHAnsi" w:hAnsiTheme="majorHAnsi" w:cstheme="majorHAnsi"/>
                <w:sz w:val="18"/>
                <w:szCs w:val="18"/>
              </w:rPr>
              <w:t>Powiat Piski</w:t>
            </w:r>
          </w:p>
        </w:tc>
        <w:tc>
          <w:tcPr>
            <w:tcW w:w="1984" w:type="dxa"/>
            <w:tcBorders>
              <w:top w:val="single" w:sz="4" w:space="0" w:color="FFFFFF" w:themeColor="background1"/>
              <w:left w:val="nil"/>
              <w:bottom w:val="single" w:sz="4" w:space="0" w:color="808080" w:themeColor="background1" w:themeShade="80"/>
              <w:right w:val="nil"/>
            </w:tcBorders>
            <w:vAlign w:val="center"/>
          </w:tcPr>
          <w:p w14:paraId="7F7123DE" w14:textId="77777777" w:rsidR="00EA2B5F" w:rsidRPr="00F25EBD" w:rsidRDefault="00EA2B5F" w:rsidP="00BB5769">
            <w:pPr>
              <w:jc w:val="center"/>
              <w:rPr>
                <w:rFonts w:asciiTheme="majorHAnsi" w:hAnsiTheme="majorHAnsi" w:cstheme="majorHAnsi"/>
                <w:sz w:val="18"/>
                <w:szCs w:val="18"/>
              </w:rPr>
            </w:pPr>
            <w:r w:rsidRPr="00F25EBD">
              <w:rPr>
                <w:rFonts w:asciiTheme="majorHAnsi" w:hAnsiTheme="majorHAnsi" w:cstheme="majorHAnsi"/>
                <w:sz w:val="18"/>
                <w:szCs w:val="18"/>
              </w:rPr>
              <w:t>Budżet powiatu</w:t>
            </w:r>
            <w:r w:rsidR="00336D76" w:rsidRPr="00F25EBD">
              <w:rPr>
                <w:rFonts w:asciiTheme="majorHAnsi" w:hAnsiTheme="majorHAnsi" w:cstheme="majorHAnsi"/>
                <w:sz w:val="18"/>
                <w:szCs w:val="18"/>
              </w:rPr>
              <w:t xml:space="preserve"> - </w:t>
            </w:r>
            <w:r w:rsidRPr="00F25EBD">
              <w:rPr>
                <w:rFonts w:asciiTheme="majorHAnsi" w:hAnsiTheme="majorHAnsi" w:cstheme="majorHAnsi"/>
                <w:sz w:val="18"/>
                <w:szCs w:val="18"/>
              </w:rPr>
              <w:t>środki w ramach działań promocyjnych</w:t>
            </w:r>
          </w:p>
        </w:tc>
      </w:tr>
      <w:tr w:rsidR="00EA2B5F" w:rsidRPr="00F25EBD" w14:paraId="0F218789" w14:textId="77777777" w:rsidTr="00962762">
        <w:tc>
          <w:tcPr>
            <w:tcW w:w="2410" w:type="dxa"/>
            <w:tcBorders>
              <w:top w:val="single" w:sz="4" w:space="0" w:color="808080" w:themeColor="background1" w:themeShade="80"/>
              <w:left w:val="nil"/>
              <w:bottom w:val="single" w:sz="4" w:space="0" w:color="808080" w:themeColor="background1" w:themeShade="80"/>
              <w:right w:val="nil"/>
            </w:tcBorders>
            <w:vAlign w:val="center"/>
          </w:tcPr>
          <w:p w14:paraId="0D0A6895" w14:textId="77777777" w:rsidR="00EA2B5F" w:rsidRPr="00F25EBD" w:rsidRDefault="00EA2B5F" w:rsidP="00BB5769">
            <w:pPr>
              <w:jc w:val="center"/>
              <w:rPr>
                <w:rFonts w:asciiTheme="majorHAnsi" w:hAnsiTheme="majorHAnsi" w:cstheme="majorHAnsi"/>
                <w:sz w:val="18"/>
                <w:szCs w:val="18"/>
              </w:rPr>
            </w:pPr>
            <w:r w:rsidRPr="00F25EBD">
              <w:rPr>
                <w:rFonts w:asciiTheme="majorHAnsi" w:hAnsiTheme="majorHAnsi" w:cstheme="majorHAnsi"/>
                <w:sz w:val="18"/>
                <w:szCs w:val="18"/>
              </w:rPr>
              <w:t>Bieżące informacje nt. aktualnych działań w ramach OF PM</w:t>
            </w:r>
          </w:p>
        </w:tc>
        <w:tc>
          <w:tcPr>
            <w:tcW w:w="5958" w:type="dxa"/>
            <w:tcBorders>
              <w:top w:val="single" w:sz="4" w:space="0" w:color="808080" w:themeColor="background1" w:themeShade="80"/>
              <w:left w:val="nil"/>
              <w:bottom w:val="single" w:sz="4" w:space="0" w:color="808080" w:themeColor="background1" w:themeShade="80"/>
              <w:right w:val="nil"/>
            </w:tcBorders>
            <w:vAlign w:val="center"/>
          </w:tcPr>
          <w:p w14:paraId="635ADE10" w14:textId="77777777" w:rsidR="00EA2B5F" w:rsidRPr="00F25EBD" w:rsidRDefault="00EA2B5F" w:rsidP="00BB5769">
            <w:pPr>
              <w:rPr>
                <w:rFonts w:asciiTheme="majorHAnsi" w:hAnsiTheme="majorHAnsi" w:cstheme="majorHAnsi"/>
                <w:sz w:val="18"/>
                <w:szCs w:val="18"/>
              </w:rPr>
            </w:pPr>
            <w:r w:rsidRPr="00F25EBD">
              <w:rPr>
                <w:rFonts w:asciiTheme="majorHAnsi" w:hAnsiTheme="majorHAnsi" w:cstheme="majorHAnsi"/>
                <w:sz w:val="18"/>
                <w:szCs w:val="18"/>
              </w:rPr>
              <w:t xml:space="preserve">Informacje o aktualnych wydarzeniach związanych z postępami prac w ramach OF PM zamieszczane są na bieżąco na stronie internetowej Starostwa Powiatowego www.powiat.pisz.pl, w biuletynie informacyjnym powiatu </w:t>
            </w:r>
            <w:proofErr w:type="spellStart"/>
            <w:r w:rsidRPr="00F25EBD">
              <w:rPr>
                <w:rFonts w:asciiTheme="majorHAnsi" w:hAnsiTheme="majorHAnsi" w:cstheme="majorHAnsi"/>
                <w:sz w:val="18"/>
                <w:szCs w:val="18"/>
              </w:rPr>
              <w:t>piskiego</w:t>
            </w:r>
            <w:proofErr w:type="spellEnd"/>
            <w:r w:rsidRPr="00F25EBD">
              <w:rPr>
                <w:rFonts w:asciiTheme="majorHAnsi" w:hAnsiTheme="majorHAnsi" w:cstheme="majorHAnsi"/>
                <w:sz w:val="18"/>
                <w:szCs w:val="18"/>
              </w:rPr>
              <w:t xml:space="preserve"> ukazującym się w „Gazecie </w:t>
            </w:r>
            <w:proofErr w:type="spellStart"/>
            <w:r w:rsidRPr="00F25EBD">
              <w:rPr>
                <w:rFonts w:asciiTheme="majorHAnsi" w:hAnsiTheme="majorHAnsi" w:cstheme="majorHAnsi"/>
                <w:sz w:val="18"/>
                <w:szCs w:val="18"/>
              </w:rPr>
              <w:t>Piskiej</w:t>
            </w:r>
            <w:proofErr w:type="spellEnd"/>
            <w:r w:rsidRPr="00F25EBD">
              <w:rPr>
                <w:rFonts w:asciiTheme="majorHAnsi" w:hAnsiTheme="majorHAnsi" w:cstheme="majorHAnsi"/>
                <w:sz w:val="18"/>
                <w:szCs w:val="18"/>
              </w:rPr>
              <w:t xml:space="preserve">” (lokalnym dodatku do Gazety Olsztyńskiej) oraz w biuletynie informacyjnym powiatu </w:t>
            </w:r>
            <w:proofErr w:type="spellStart"/>
            <w:r w:rsidRPr="00F25EBD">
              <w:rPr>
                <w:rFonts w:asciiTheme="majorHAnsi" w:hAnsiTheme="majorHAnsi" w:cstheme="majorHAnsi"/>
                <w:sz w:val="18"/>
                <w:szCs w:val="18"/>
              </w:rPr>
              <w:t>piskiego</w:t>
            </w:r>
            <w:proofErr w:type="spellEnd"/>
            <w:r w:rsidRPr="00F25EBD">
              <w:rPr>
                <w:rFonts w:asciiTheme="majorHAnsi" w:hAnsiTheme="majorHAnsi" w:cstheme="majorHAnsi"/>
                <w:sz w:val="18"/>
                <w:szCs w:val="18"/>
              </w:rPr>
              <w:t xml:space="preserve"> publikowanym na portalu www.tygodnikpiski.pl</w:t>
            </w:r>
          </w:p>
        </w:tc>
        <w:tc>
          <w:tcPr>
            <w:tcW w:w="1565" w:type="dxa"/>
            <w:tcBorders>
              <w:top w:val="single" w:sz="4" w:space="0" w:color="808080" w:themeColor="background1" w:themeShade="80"/>
              <w:left w:val="nil"/>
              <w:bottom w:val="single" w:sz="4" w:space="0" w:color="808080" w:themeColor="background1" w:themeShade="80"/>
              <w:right w:val="nil"/>
            </w:tcBorders>
            <w:vAlign w:val="center"/>
          </w:tcPr>
          <w:p w14:paraId="30060606" w14:textId="77777777" w:rsidR="00EA2B5F" w:rsidRPr="00F25EBD" w:rsidRDefault="00EA2B5F" w:rsidP="00BB5769">
            <w:pPr>
              <w:jc w:val="center"/>
              <w:rPr>
                <w:rFonts w:asciiTheme="majorHAnsi" w:hAnsiTheme="majorHAnsi" w:cstheme="majorHAnsi"/>
                <w:sz w:val="18"/>
                <w:szCs w:val="18"/>
              </w:rPr>
            </w:pPr>
            <w:r w:rsidRPr="00F25EBD">
              <w:rPr>
                <w:rFonts w:asciiTheme="majorHAnsi" w:hAnsiTheme="majorHAnsi" w:cstheme="majorHAnsi"/>
                <w:sz w:val="18"/>
                <w:szCs w:val="18"/>
              </w:rPr>
              <w:t>Informacje zamieszczane regularnie, w miarę pojawiania się aktualności</w:t>
            </w:r>
          </w:p>
        </w:tc>
        <w:tc>
          <w:tcPr>
            <w:tcW w:w="2258" w:type="dxa"/>
            <w:tcBorders>
              <w:top w:val="single" w:sz="4" w:space="0" w:color="808080" w:themeColor="background1" w:themeShade="80"/>
              <w:left w:val="nil"/>
              <w:bottom w:val="single" w:sz="4" w:space="0" w:color="808080" w:themeColor="background1" w:themeShade="80"/>
              <w:right w:val="nil"/>
            </w:tcBorders>
            <w:vAlign w:val="center"/>
          </w:tcPr>
          <w:p w14:paraId="7221D178" w14:textId="77777777" w:rsidR="00EA2B5F" w:rsidRPr="00F25EBD" w:rsidRDefault="00EA2B5F" w:rsidP="00BB5769">
            <w:pPr>
              <w:jc w:val="center"/>
              <w:rPr>
                <w:rFonts w:asciiTheme="majorHAnsi" w:hAnsiTheme="majorHAnsi" w:cstheme="majorHAnsi"/>
                <w:sz w:val="18"/>
                <w:szCs w:val="18"/>
              </w:rPr>
            </w:pPr>
            <w:r w:rsidRPr="00F25EBD">
              <w:rPr>
                <w:rFonts w:asciiTheme="majorHAnsi" w:hAnsiTheme="majorHAnsi" w:cstheme="majorHAnsi"/>
                <w:sz w:val="18"/>
                <w:szCs w:val="18"/>
              </w:rPr>
              <w:t>Starostwo Powiatowe w Piszu</w:t>
            </w:r>
          </w:p>
        </w:tc>
        <w:tc>
          <w:tcPr>
            <w:tcW w:w="1984" w:type="dxa"/>
            <w:tcBorders>
              <w:top w:val="single" w:sz="4" w:space="0" w:color="808080" w:themeColor="background1" w:themeShade="80"/>
              <w:left w:val="nil"/>
              <w:bottom w:val="single" w:sz="4" w:space="0" w:color="808080" w:themeColor="background1" w:themeShade="80"/>
              <w:right w:val="nil"/>
            </w:tcBorders>
            <w:vAlign w:val="center"/>
          </w:tcPr>
          <w:p w14:paraId="166DD8C4" w14:textId="77777777" w:rsidR="00EA2B5F" w:rsidRPr="00F25EBD" w:rsidRDefault="00EA2B5F" w:rsidP="00BB5769">
            <w:pPr>
              <w:jc w:val="center"/>
              <w:rPr>
                <w:rFonts w:asciiTheme="majorHAnsi" w:hAnsiTheme="majorHAnsi" w:cstheme="majorHAnsi"/>
                <w:sz w:val="18"/>
                <w:szCs w:val="18"/>
              </w:rPr>
            </w:pPr>
          </w:p>
        </w:tc>
      </w:tr>
      <w:tr w:rsidR="00EA2B5F" w:rsidRPr="00F25EBD" w14:paraId="69C56CC0" w14:textId="77777777" w:rsidTr="00962762">
        <w:tc>
          <w:tcPr>
            <w:tcW w:w="2410" w:type="dxa"/>
            <w:tcBorders>
              <w:top w:val="single" w:sz="4" w:space="0" w:color="808080" w:themeColor="background1" w:themeShade="80"/>
              <w:left w:val="nil"/>
              <w:bottom w:val="single" w:sz="4" w:space="0" w:color="FFFFFF" w:themeColor="background1"/>
              <w:right w:val="nil"/>
            </w:tcBorders>
            <w:vAlign w:val="center"/>
          </w:tcPr>
          <w:p w14:paraId="14594C51" w14:textId="77777777" w:rsidR="00EA2B5F" w:rsidRPr="00F25EBD" w:rsidRDefault="00EA2B5F" w:rsidP="00BB5769">
            <w:pPr>
              <w:jc w:val="center"/>
              <w:rPr>
                <w:rFonts w:asciiTheme="majorHAnsi" w:hAnsiTheme="majorHAnsi" w:cstheme="majorHAnsi"/>
                <w:sz w:val="18"/>
                <w:szCs w:val="18"/>
              </w:rPr>
            </w:pPr>
            <w:r w:rsidRPr="00F25EBD">
              <w:rPr>
                <w:rFonts w:asciiTheme="majorHAnsi" w:hAnsiTheme="majorHAnsi" w:cstheme="majorHAnsi"/>
                <w:sz w:val="18"/>
                <w:szCs w:val="18"/>
              </w:rPr>
              <w:t>Promocja OF PM</w:t>
            </w:r>
          </w:p>
        </w:tc>
        <w:tc>
          <w:tcPr>
            <w:tcW w:w="5958" w:type="dxa"/>
            <w:tcBorders>
              <w:top w:val="single" w:sz="4" w:space="0" w:color="808080" w:themeColor="background1" w:themeShade="80"/>
              <w:left w:val="nil"/>
              <w:bottom w:val="single" w:sz="4" w:space="0" w:color="FFFFFF" w:themeColor="background1"/>
              <w:right w:val="nil"/>
            </w:tcBorders>
            <w:vAlign w:val="center"/>
          </w:tcPr>
          <w:p w14:paraId="40D18615" w14:textId="77777777" w:rsidR="00EA2B5F" w:rsidRPr="00F25EBD" w:rsidRDefault="00EA2B5F" w:rsidP="00BB5769">
            <w:pPr>
              <w:rPr>
                <w:rFonts w:asciiTheme="majorHAnsi" w:hAnsiTheme="majorHAnsi" w:cstheme="majorHAnsi"/>
                <w:sz w:val="18"/>
                <w:szCs w:val="18"/>
              </w:rPr>
            </w:pPr>
            <w:r w:rsidRPr="00F25EBD">
              <w:rPr>
                <w:rFonts w:asciiTheme="majorHAnsi" w:hAnsiTheme="majorHAnsi" w:cstheme="majorHAnsi"/>
                <w:sz w:val="18"/>
                <w:szCs w:val="18"/>
              </w:rPr>
              <w:t>Koncepcja wspólnego działania powiatów jest w trakcie opracowywania i uzgadniania przez wszystkie cztery powiaty</w:t>
            </w:r>
          </w:p>
        </w:tc>
        <w:tc>
          <w:tcPr>
            <w:tcW w:w="1565" w:type="dxa"/>
            <w:tcBorders>
              <w:top w:val="single" w:sz="4" w:space="0" w:color="808080" w:themeColor="background1" w:themeShade="80"/>
              <w:left w:val="nil"/>
              <w:bottom w:val="single" w:sz="4" w:space="0" w:color="FFFFFF" w:themeColor="background1"/>
              <w:right w:val="nil"/>
            </w:tcBorders>
            <w:vAlign w:val="center"/>
          </w:tcPr>
          <w:p w14:paraId="4111B87C" w14:textId="77777777" w:rsidR="00EA2B5F" w:rsidRPr="00F25EBD" w:rsidRDefault="00EA2B5F" w:rsidP="00BB5769">
            <w:pPr>
              <w:jc w:val="center"/>
              <w:rPr>
                <w:rFonts w:asciiTheme="majorHAnsi" w:hAnsiTheme="majorHAnsi" w:cstheme="majorHAnsi"/>
                <w:sz w:val="18"/>
                <w:szCs w:val="18"/>
              </w:rPr>
            </w:pPr>
          </w:p>
        </w:tc>
        <w:tc>
          <w:tcPr>
            <w:tcW w:w="2258" w:type="dxa"/>
            <w:tcBorders>
              <w:top w:val="single" w:sz="4" w:space="0" w:color="808080" w:themeColor="background1" w:themeShade="80"/>
              <w:left w:val="nil"/>
              <w:bottom w:val="single" w:sz="4" w:space="0" w:color="FFFFFF" w:themeColor="background1"/>
              <w:right w:val="nil"/>
            </w:tcBorders>
            <w:vAlign w:val="center"/>
          </w:tcPr>
          <w:p w14:paraId="5FDF3341" w14:textId="77777777" w:rsidR="00EA2B5F" w:rsidRPr="00F25EBD" w:rsidRDefault="00EA2B5F" w:rsidP="00BB5769">
            <w:pPr>
              <w:jc w:val="center"/>
              <w:rPr>
                <w:rFonts w:asciiTheme="majorHAnsi" w:hAnsiTheme="majorHAnsi" w:cstheme="majorHAnsi"/>
                <w:sz w:val="18"/>
                <w:szCs w:val="18"/>
              </w:rPr>
            </w:pPr>
          </w:p>
        </w:tc>
        <w:tc>
          <w:tcPr>
            <w:tcW w:w="1984" w:type="dxa"/>
            <w:tcBorders>
              <w:top w:val="single" w:sz="4" w:space="0" w:color="808080" w:themeColor="background1" w:themeShade="80"/>
              <w:left w:val="nil"/>
              <w:bottom w:val="single" w:sz="4" w:space="0" w:color="FFFFFF" w:themeColor="background1"/>
              <w:right w:val="nil"/>
            </w:tcBorders>
            <w:vAlign w:val="center"/>
          </w:tcPr>
          <w:p w14:paraId="10BE2606" w14:textId="77777777" w:rsidR="00EA2B5F" w:rsidRPr="00F25EBD" w:rsidRDefault="00EA2B5F" w:rsidP="00BB5769">
            <w:pPr>
              <w:jc w:val="center"/>
              <w:rPr>
                <w:rFonts w:asciiTheme="majorHAnsi" w:hAnsiTheme="majorHAnsi" w:cstheme="majorHAnsi"/>
                <w:sz w:val="18"/>
                <w:szCs w:val="18"/>
              </w:rPr>
            </w:pPr>
          </w:p>
        </w:tc>
      </w:tr>
      <w:tr w:rsidR="00EA2B5F" w:rsidRPr="00962762" w14:paraId="08661859" w14:textId="77777777" w:rsidTr="00962762">
        <w:tc>
          <w:tcPr>
            <w:tcW w:w="14175"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EEAF6" w:themeFill="accent1" w:themeFillTint="33"/>
            <w:vAlign w:val="center"/>
          </w:tcPr>
          <w:p w14:paraId="55E9E0E8" w14:textId="77777777" w:rsidR="00EA2B5F" w:rsidRPr="00962762" w:rsidRDefault="00EA2B5F" w:rsidP="00BB5769">
            <w:pPr>
              <w:rPr>
                <w:rFonts w:asciiTheme="majorHAnsi" w:hAnsiTheme="majorHAnsi" w:cstheme="majorHAnsi"/>
                <w:sz w:val="18"/>
                <w:szCs w:val="18"/>
              </w:rPr>
            </w:pPr>
            <w:r w:rsidRPr="00962762">
              <w:rPr>
                <w:rFonts w:asciiTheme="majorHAnsi" w:hAnsiTheme="majorHAnsi" w:cstheme="majorHAnsi"/>
                <w:bCs/>
                <w:sz w:val="18"/>
                <w:szCs w:val="18"/>
              </w:rPr>
              <w:t>Powiat Szczycieński</w:t>
            </w:r>
          </w:p>
        </w:tc>
      </w:tr>
      <w:tr w:rsidR="00EA2B5F" w:rsidRPr="00F25EBD" w14:paraId="5CBBBF55" w14:textId="77777777" w:rsidTr="00962762">
        <w:tc>
          <w:tcPr>
            <w:tcW w:w="2410" w:type="dxa"/>
            <w:tcBorders>
              <w:top w:val="single" w:sz="4" w:space="0" w:color="FFFFFF" w:themeColor="background1"/>
              <w:left w:val="nil"/>
              <w:bottom w:val="single" w:sz="4" w:space="0" w:color="808080" w:themeColor="background1" w:themeShade="80"/>
              <w:right w:val="nil"/>
            </w:tcBorders>
            <w:vAlign w:val="center"/>
          </w:tcPr>
          <w:p w14:paraId="4FC0CFAB" w14:textId="77777777" w:rsidR="00EA2B5F" w:rsidRPr="00F25EBD" w:rsidRDefault="00EA2B5F" w:rsidP="00BB5769">
            <w:pPr>
              <w:jc w:val="center"/>
              <w:rPr>
                <w:rFonts w:asciiTheme="majorHAnsi" w:hAnsiTheme="majorHAnsi" w:cstheme="majorHAnsi"/>
                <w:sz w:val="18"/>
                <w:szCs w:val="18"/>
              </w:rPr>
            </w:pPr>
            <w:proofErr w:type="spellStart"/>
            <w:r w:rsidRPr="00F25EBD">
              <w:rPr>
                <w:rFonts w:asciiTheme="majorHAnsi" w:hAnsiTheme="majorHAnsi" w:cstheme="majorHAnsi"/>
                <w:sz w:val="18"/>
                <w:szCs w:val="18"/>
              </w:rPr>
              <w:t>Senioriada</w:t>
            </w:r>
            <w:proofErr w:type="spellEnd"/>
            <w:r w:rsidR="00336D76" w:rsidRPr="00F25EBD">
              <w:rPr>
                <w:rFonts w:asciiTheme="majorHAnsi" w:hAnsiTheme="majorHAnsi" w:cstheme="majorHAnsi"/>
                <w:sz w:val="18"/>
                <w:szCs w:val="18"/>
              </w:rPr>
              <w:t xml:space="preserve"> - </w:t>
            </w:r>
            <w:r w:rsidRPr="00F25EBD">
              <w:rPr>
                <w:rFonts w:asciiTheme="majorHAnsi" w:hAnsiTheme="majorHAnsi" w:cstheme="majorHAnsi"/>
                <w:sz w:val="18"/>
                <w:szCs w:val="18"/>
              </w:rPr>
              <w:t>przegląd twórczości seniorów</w:t>
            </w:r>
          </w:p>
        </w:tc>
        <w:tc>
          <w:tcPr>
            <w:tcW w:w="5958" w:type="dxa"/>
            <w:tcBorders>
              <w:top w:val="single" w:sz="4" w:space="0" w:color="FFFFFF" w:themeColor="background1"/>
              <w:left w:val="nil"/>
              <w:bottom w:val="single" w:sz="4" w:space="0" w:color="808080" w:themeColor="background1" w:themeShade="80"/>
              <w:right w:val="nil"/>
            </w:tcBorders>
            <w:vAlign w:val="center"/>
          </w:tcPr>
          <w:p w14:paraId="32EBBBF2" w14:textId="77777777" w:rsidR="00EA2B5F" w:rsidRPr="00F25EBD" w:rsidRDefault="00EA2B5F" w:rsidP="00BB5769">
            <w:pPr>
              <w:rPr>
                <w:rFonts w:asciiTheme="majorHAnsi" w:hAnsiTheme="majorHAnsi" w:cstheme="majorHAnsi"/>
                <w:sz w:val="18"/>
                <w:szCs w:val="18"/>
              </w:rPr>
            </w:pPr>
            <w:r w:rsidRPr="00F25EBD">
              <w:rPr>
                <w:rFonts w:asciiTheme="majorHAnsi" w:hAnsiTheme="majorHAnsi" w:cstheme="majorHAnsi"/>
                <w:sz w:val="18"/>
                <w:szCs w:val="18"/>
              </w:rPr>
              <w:t>Wydarzenie, w którym biorą udział mieszkańcy Powiatu Szczycieńskiego w wieku 60+. W trakcie wydarzenia występują lokalne zespoły grup seniorskich wykonujące utwory ludowe. Celem spotkania jest stworzenie seniorom okazji do integracji i aktywizacji grup seniorskich</w:t>
            </w:r>
          </w:p>
        </w:tc>
        <w:tc>
          <w:tcPr>
            <w:tcW w:w="1565" w:type="dxa"/>
            <w:tcBorders>
              <w:top w:val="single" w:sz="4" w:space="0" w:color="FFFFFF" w:themeColor="background1"/>
              <w:left w:val="nil"/>
              <w:bottom w:val="single" w:sz="4" w:space="0" w:color="808080" w:themeColor="background1" w:themeShade="80"/>
              <w:right w:val="nil"/>
            </w:tcBorders>
            <w:vAlign w:val="center"/>
          </w:tcPr>
          <w:p w14:paraId="1896112D" w14:textId="77777777" w:rsidR="00EA2B5F" w:rsidRPr="00F25EBD" w:rsidRDefault="00EA2B5F" w:rsidP="00BB5769">
            <w:pPr>
              <w:jc w:val="center"/>
              <w:rPr>
                <w:rFonts w:asciiTheme="majorHAnsi" w:hAnsiTheme="majorHAnsi" w:cstheme="majorHAnsi"/>
                <w:sz w:val="18"/>
                <w:szCs w:val="18"/>
              </w:rPr>
            </w:pPr>
            <w:r w:rsidRPr="00F25EBD">
              <w:rPr>
                <w:rFonts w:asciiTheme="majorHAnsi" w:hAnsiTheme="majorHAnsi" w:cstheme="majorHAnsi"/>
                <w:sz w:val="18"/>
                <w:szCs w:val="18"/>
              </w:rPr>
              <w:t>Działanie cykliczne</w:t>
            </w:r>
            <w:r w:rsidR="00336D76" w:rsidRPr="00F25EBD">
              <w:rPr>
                <w:rFonts w:asciiTheme="majorHAnsi" w:hAnsiTheme="majorHAnsi" w:cstheme="majorHAnsi"/>
                <w:sz w:val="18"/>
                <w:szCs w:val="18"/>
              </w:rPr>
              <w:t xml:space="preserve"> - </w:t>
            </w:r>
            <w:r w:rsidRPr="00F25EBD">
              <w:rPr>
                <w:rFonts w:asciiTheme="majorHAnsi" w:hAnsiTheme="majorHAnsi" w:cstheme="majorHAnsi"/>
                <w:sz w:val="18"/>
                <w:szCs w:val="18"/>
              </w:rPr>
              <w:t>czerwiec-wrzesień</w:t>
            </w:r>
          </w:p>
        </w:tc>
        <w:tc>
          <w:tcPr>
            <w:tcW w:w="2258" w:type="dxa"/>
            <w:tcBorders>
              <w:top w:val="single" w:sz="4" w:space="0" w:color="FFFFFF" w:themeColor="background1"/>
              <w:left w:val="nil"/>
              <w:bottom w:val="single" w:sz="4" w:space="0" w:color="808080" w:themeColor="background1" w:themeShade="80"/>
              <w:right w:val="nil"/>
            </w:tcBorders>
            <w:vAlign w:val="center"/>
          </w:tcPr>
          <w:p w14:paraId="501DB227" w14:textId="77777777" w:rsidR="00EA2B5F" w:rsidRPr="00F25EBD" w:rsidRDefault="00EA2B5F" w:rsidP="00BB5769">
            <w:pPr>
              <w:jc w:val="center"/>
              <w:rPr>
                <w:rFonts w:asciiTheme="majorHAnsi" w:hAnsiTheme="majorHAnsi" w:cstheme="majorHAnsi"/>
                <w:sz w:val="18"/>
                <w:szCs w:val="18"/>
              </w:rPr>
            </w:pPr>
            <w:r w:rsidRPr="00F25EBD">
              <w:rPr>
                <w:rFonts w:asciiTheme="majorHAnsi" w:hAnsiTheme="majorHAnsi" w:cstheme="majorHAnsi"/>
                <w:sz w:val="18"/>
                <w:szCs w:val="18"/>
              </w:rPr>
              <w:t xml:space="preserve">Inicjator: Powiat Szczycieński </w:t>
            </w:r>
            <w:r w:rsidRPr="00F25EBD">
              <w:rPr>
                <w:rFonts w:asciiTheme="majorHAnsi" w:hAnsiTheme="majorHAnsi" w:cstheme="majorHAnsi"/>
                <w:sz w:val="18"/>
                <w:szCs w:val="18"/>
              </w:rPr>
              <w:br/>
              <w:t xml:space="preserve">Partnerzy: Fundacja </w:t>
            </w:r>
            <w:proofErr w:type="spellStart"/>
            <w:r w:rsidRPr="00F25EBD">
              <w:rPr>
                <w:rFonts w:asciiTheme="majorHAnsi" w:hAnsiTheme="majorHAnsi" w:cstheme="majorHAnsi"/>
                <w:sz w:val="18"/>
                <w:szCs w:val="18"/>
              </w:rPr>
              <w:t>Kreolia</w:t>
            </w:r>
            <w:proofErr w:type="spellEnd"/>
            <w:r w:rsidRPr="00F25EBD">
              <w:rPr>
                <w:rFonts w:asciiTheme="majorHAnsi" w:hAnsiTheme="majorHAnsi" w:cstheme="majorHAnsi"/>
                <w:sz w:val="18"/>
                <w:szCs w:val="18"/>
              </w:rPr>
              <w:t xml:space="preserve"> Kraina Kreatywności</w:t>
            </w:r>
          </w:p>
        </w:tc>
        <w:tc>
          <w:tcPr>
            <w:tcW w:w="1984" w:type="dxa"/>
            <w:tcBorders>
              <w:top w:val="single" w:sz="4" w:space="0" w:color="FFFFFF" w:themeColor="background1"/>
              <w:left w:val="nil"/>
              <w:bottom w:val="single" w:sz="4" w:space="0" w:color="808080" w:themeColor="background1" w:themeShade="80"/>
              <w:right w:val="nil"/>
            </w:tcBorders>
            <w:vAlign w:val="center"/>
          </w:tcPr>
          <w:p w14:paraId="1E4874F6" w14:textId="77777777" w:rsidR="00EA2B5F" w:rsidRPr="00F25EBD" w:rsidRDefault="00EA2B5F" w:rsidP="00BB5769">
            <w:pPr>
              <w:jc w:val="center"/>
              <w:rPr>
                <w:rFonts w:asciiTheme="majorHAnsi" w:hAnsiTheme="majorHAnsi" w:cstheme="majorHAnsi"/>
                <w:sz w:val="18"/>
                <w:szCs w:val="18"/>
              </w:rPr>
            </w:pPr>
            <w:r w:rsidRPr="00F25EBD">
              <w:rPr>
                <w:rFonts w:asciiTheme="majorHAnsi" w:hAnsiTheme="majorHAnsi" w:cstheme="majorHAnsi"/>
                <w:sz w:val="18"/>
                <w:szCs w:val="18"/>
              </w:rPr>
              <w:t>Środki własne Powiatu Szczycieńskiego</w:t>
            </w:r>
          </w:p>
        </w:tc>
      </w:tr>
      <w:tr w:rsidR="00EA2B5F" w:rsidRPr="00F25EBD" w14:paraId="20A846F7" w14:textId="77777777" w:rsidTr="00962762">
        <w:tc>
          <w:tcPr>
            <w:tcW w:w="2410" w:type="dxa"/>
            <w:tcBorders>
              <w:top w:val="single" w:sz="4" w:space="0" w:color="808080" w:themeColor="background1" w:themeShade="80"/>
              <w:left w:val="nil"/>
              <w:bottom w:val="single" w:sz="4" w:space="0" w:color="808080" w:themeColor="background1" w:themeShade="80"/>
              <w:right w:val="nil"/>
            </w:tcBorders>
            <w:vAlign w:val="center"/>
          </w:tcPr>
          <w:p w14:paraId="29A80209" w14:textId="77777777" w:rsidR="00EA2B5F" w:rsidRPr="00F25EBD" w:rsidRDefault="00EA2B5F" w:rsidP="00BB5769">
            <w:pPr>
              <w:jc w:val="center"/>
              <w:rPr>
                <w:rFonts w:asciiTheme="majorHAnsi" w:hAnsiTheme="majorHAnsi" w:cstheme="majorHAnsi"/>
                <w:sz w:val="18"/>
                <w:szCs w:val="18"/>
              </w:rPr>
            </w:pPr>
            <w:r w:rsidRPr="00F25EBD">
              <w:rPr>
                <w:rFonts w:asciiTheme="majorHAnsi" w:hAnsiTheme="majorHAnsi" w:cstheme="majorHAnsi"/>
                <w:sz w:val="18"/>
                <w:szCs w:val="18"/>
              </w:rPr>
              <w:t>Konkurs „</w:t>
            </w:r>
            <w:proofErr w:type="spellStart"/>
            <w:r w:rsidRPr="00F25EBD">
              <w:rPr>
                <w:rFonts w:asciiTheme="majorHAnsi" w:hAnsiTheme="majorHAnsi" w:cstheme="majorHAnsi"/>
                <w:sz w:val="18"/>
                <w:szCs w:val="18"/>
              </w:rPr>
              <w:t>Supersołtys</w:t>
            </w:r>
            <w:proofErr w:type="spellEnd"/>
            <w:r w:rsidRPr="00F25EBD">
              <w:rPr>
                <w:rFonts w:asciiTheme="majorHAnsi" w:hAnsiTheme="majorHAnsi" w:cstheme="majorHAnsi"/>
                <w:sz w:val="18"/>
                <w:szCs w:val="18"/>
              </w:rPr>
              <w:t>”</w:t>
            </w:r>
          </w:p>
        </w:tc>
        <w:tc>
          <w:tcPr>
            <w:tcW w:w="5958" w:type="dxa"/>
            <w:tcBorders>
              <w:top w:val="single" w:sz="4" w:space="0" w:color="808080" w:themeColor="background1" w:themeShade="80"/>
              <w:left w:val="nil"/>
              <w:bottom w:val="single" w:sz="4" w:space="0" w:color="808080" w:themeColor="background1" w:themeShade="80"/>
              <w:right w:val="nil"/>
            </w:tcBorders>
            <w:vAlign w:val="center"/>
          </w:tcPr>
          <w:p w14:paraId="2D62EB29" w14:textId="77777777" w:rsidR="00EA2B5F" w:rsidRPr="00F25EBD" w:rsidRDefault="00EA2B5F" w:rsidP="00BB5769">
            <w:pPr>
              <w:rPr>
                <w:rFonts w:asciiTheme="majorHAnsi" w:hAnsiTheme="majorHAnsi" w:cstheme="majorHAnsi"/>
                <w:sz w:val="18"/>
                <w:szCs w:val="18"/>
              </w:rPr>
            </w:pPr>
            <w:r w:rsidRPr="00F25EBD">
              <w:rPr>
                <w:rFonts w:asciiTheme="majorHAnsi" w:hAnsiTheme="majorHAnsi" w:cstheme="majorHAnsi"/>
                <w:sz w:val="18"/>
                <w:szCs w:val="18"/>
              </w:rPr>
              <w:t>Konkurs organizowany przez Powiat Szczycieński i gazetę „Kurek Mazurski”, w którym głosami mieszkańców Powiatu wybierany jest najlepszy sołtys w powiecie. Konkurs wieńczy uroczyste spotkanie i wręczenie nagród</w:t>
            </w:r>
          </w:p>
        </w:tc>
        <w:tc>
          <w:tcPr>
            <w:tcW w:w="1565" w:type="dxa"/>
            <w:tcBorders>
              <w:top w:val="single" w:sz="4" w:space="0" w:color="808080" w:themeColor="background1" w:themeShade="80"/>
              <w:left w:val="nil"/>
              <w:bottom w:val="single" w:sz="4" w:space="0" w:color="808080" w:themeColor="background1" w:themeShade="80"/>
              <w:right w:val="nil"/>
            </w:tcBorders>
            <w:vAlign w:val="center"/>
          </w:tcPr>
          <w:p w14:paraId="46E46035" w14:textId="77777777" w:rsidR="00EA2B5F" w:rsidRPr="00F25EBD" w:rsidRDefault="00EA2B5F" w:rsidP="00BB5769">
            <w:pPr>
              <w:jc w:val="center"/>
              <w:rPr>
                <w:rFonts w:asciiTheme="majorHAnsi" w:hAnsiTheme="majorHAnsi" w:cstheme="majorHAnsi"/>
                <w:sz w:val="18"/>
                <w:szCs w:val="18"/>
              </w:rPr>
            </w:pPr>
            <w:r w:rsidRPr="00F25EBD">
              <w:rPr>
                <w:rFonts w:asciiTheme="majorHAnsi" w:hAnsiTheme="majorHAnsi" w:cstheme="majorHAnsi"/>
                <w:sz w:val="18"/>
                <w:szCs w:val="18"/>
              </w:rPr>
              <w:t>Działanie cykliczne, czerwiec-lipiec</w:t>
            </w:r>
          </w:p>
        </w:tc>
        <w:tc>
          <w:tcPr>
            <w:tcW w:w="2258" w:type="dxa"/>
            <w:tcBorders>
              <w:top w:val="single" w:sz="4" w:space="0" w:color="808080" w:themeColor="background1" w:themeShade="80"/>
              <w:left w:val="nil"/>
              <w:bottom w:val="single" w:sz="4" w:space="0" w:color="808080" w:themeColor="background1" w:themeShade="80"/>
              <w:right w:val="nil"/>
            </w:tcBorders>
            <w:vAlign w:val="center"/>
          </w:tcPr>
          <w:p w14:paraId="424BA2B3" w14:textId="77777777" w:rsidR="00EA2B5F" w:rsidRPr="00F25EBD" w:rsidRDefault="00EA2B5F" w:rsidP="00BB5769">
            <w:pPr>
              <w:jc w:val="center"/>
              <w:rPr>
                <w:rFonts w:asciiTheme="majorHAnsi" w:hAnsiTheme="majorHAnsi" w:cstheme="majorHAnsi"/>
                <w:sz w:val="18"/>
                <w:szCs w:val="18"/>
              </w:rPr>
            </w:pPr>
            <w:r w:rsidRPr="00F25EBD">
              <w:rPr>
                <w:rFonts w:asciiTheme="majorHAnsi" w:hAnsiTheme="majorHAnsi" w:cstheme="majorHAnsi"/>
                <w:sz w:val="18"/>
                <w:szCs w:val="18"/>
              </w:rPr>
              <w:t>Inicjator: Powiat Szczycieński wraz z gazetą „Kurek Mazurski”</w:t>
            </w:r>
          </w:p>
        </w:tc>
        <w:tc>
          <w:tcPr>
            <w:tcW w:w="1984" w:type="dxa"/>
            <w:tcBorders>
              <w:top w:val="single" w:sz="4" w:space="0" w:color="808080" w:themeColor="background1" w:themeShade="80"/>
              <w:left w:val="nil"/>
              <w:bottom w:val="single" w:sz="4" w:space="0" w:color="808080" w:themeColor="background1" w:themeShade="80"/>
              <w:right w:val="nil"/>
            </w:tcBorders>
            <w:vAlign w:val="center"/>
          </w:tcPr>
          <w:p w14:paraId="6AAD97DF" w14:textId="471373AA" w:rsidR="00EA2B5F" w:rsidRPr="00F25EBD" w:rsidRDefault="00EA2B5F" w:rsidP="00BB5769">
            <w:pPr>
              <w:jc w:val="center"/>
              <w:rPr>
                <w:rFonts w:asciiTheme="majorHAnsi" w:hAnsiTheme="majorHAnsi" w:cstheme="majorHAnsi"/>
                <w:sz w:val="18"/>
                <w:szCs w:val="18"/>
              </w:rPr>
            </w:pPr>
            <w:r w:rsidRPr="00F25EBD">
              <w:rPr>
                <w:rFonts w:asciiTheme="majorHAnsi" w:hAnsiTheme="majorHAnsi" w:cstheme="majorHAnsi"/>
                <w:sz w:val="18"/>
                <w:szCs w:val="18"/>
              </w:rPr>
              <w:t>Środki własne Powiatu Szczycieńskiego,</w:t>
            </w:r>
            <w:r w:rsidR="007B04A7">
              <w:rPr>
                <w:rFonts w:asciiTheme="majorHAnsi" w:hAnsiTheme="majorHAnsi" w:cstheme="majorHAnsi"/>
                <w:sz w:val="18"/>
                <w:szCs w:val="18"/>
              </w:rPr>
              <w:t xml:space="preserve"> </w:t>
            </w:r>
            <w:r w:rsidRPr="00F25EBD">
              <w:rPr>
                <w:rFonts w:asciiTheme="majorHAnsi" w:hAnsiTheme="majorHAnsi" w:cstheme="majorHAnsi"/>
                <w:sz w:val="18"/>
                <w:szCs w:val="18"/>
              </w:rPr>
              <w:t>środki własne gazety „Kurek Mazurski”</w:t>
            </w:r>
          </w:p>
        </w:tc>
      </w:tr>
      <w:tr w:rsidR="00EA2B5F" w:rsidRPr="00F25EBD" w14:paraId="47E46945" w14:textId="77777777" w:rsidTr="00962762">
        <w:tc>
          <w:tcPr>
            <w:tcW w:w="2410" w:type="dxa"/>
            <w:tcBorders>
              <w:top w:val="single" w:sz="4" w:space="0" w:color="808080" w:themeColor="background1" w:themeShade="80"/>
              <w:left w:val="nil"/>
              <w:bottom w:val="single" w:sz="4" w:space="0" w:color="808080" w:themeColor="background1" w:themeShade="80"/>
              <w:right w:val="nil"/>
            </w:tcBorders>
            <w:vAlign w:val="center"/>
          </w:tcPr>
          <w:p w14:paraId="72B73C5B" w14:textId="77777777" w:rsidR="00EA2B5F" w:rsidRPr="00F25EBD" w:rsidRDefault="00EA2B5F" w:rsidP="00BB5769">
            <w:pPr>
              <w:jc w:val="center"/>
              <w:rPr>
                <w:rFonts w:asciiTheme="majorHAnsi" w:hAnsiTheme="majorHAnsi" w:cstheme="majorHAnsi"/>
                <w:sz w:val="18"/>
                <w:szCs w:val="18"/>
              </w:rPr>
            </w:pPr>
            <w:r w:rsidRPr="00F25EBD">
              <w:rPr>
                <w:rFonts w:asciiTheme="majorHAnsi" w:hAnsiTheme="majorHAnsi" w:cstheme="majorHAnsi"/>
                <w:sz w:val="18"/>
                <w:szCs w:val="18"/>
              </w:rPr>
              <w:t>Akcja „Oklaski za Odblaski”</w:t>
            </w:r>
          </w:p>
        </w:tc>
        <w:tc>
          <w:tcPr>
            <w:tcW w:w="5958" w:type="dxa"/>
            <w:tcBorders>
              <w:top w:val="single" w:sz="4" w:space="0" w:color="808080" w:themeColor="background1" w:themeShade="80"/>
              <w:left w:val="nil"/>
              <w:bottom w:val="single" w:sz="4" w:space="0" w:color="808080" w:themeColor="background1" w:themeShade="80"/>
              <w:right w:val="nil"/>
            </w:tcBorders>
            <w:vAlign w:val="center"/>
          </w:tcPr>
          <w:p w14:paraId="7A936BF6" w14:textId="21D5B701" w:rsidR="00EA2B5F" w:rsidRPr="00F25EBD" w:rsidRDefault="00EA2B5F" w:rsidP="00BB5769">
            <w:pPr>
              <w:rPr>
                <w:rFonts w:asciiTheme="majorHAnsi" w:hAnsiTheme="majorHAnsi" w:cstheme="majorHAnsi"/>
                <w:sz w:val="18"/>
                <w:szCs w:val="18"/>
              </w:rPr>
            </w:pPr>
            <w:r w:rsidRPr="00F25EBD">
              <w:rPr>
                <w:rFonts w:asciiTheme="majorHAnsi" w:hAnsiTheme="majorHAnsi" w:cstheme="majorHAnsi"/>
                <w:sz w:val="18"/>
                <w:szCs w:val="18"/>
              </w:rPr>
              <w:t>Celem akcji było zwiększenie świadomości uczniów szkół z terenu Powiatu Szczycieńskiego</w:t>
            </w:r>
            <w:r w:rsidR="007B04A7">
              <w:rPr>
                <w:rFonts w:asciiTheme="majorHAnsi" w:hAnsiTheme="majorHAnsi" w:cstheme="majorHAnsi"/>
                <w:sz w:val="18"/>
                <w:szCs w:val="18"/>
              </w:rPr>
              <w:t xml:space="preserve"> </w:t>
            </w:r>
            <w:r w:rsidRPr="00F25EBD">
              <w:rPr>
                <w:rFonts w:asciiTheme="majorHAnsi" w:hAnsiTheme="majorHAnsi" w:cstheme="majorHAnsi"/>
                <w:sz w:val="18"/>
                <w:szCs w:val="18"/>
              </w:rPr>
              <w:t>z zakresu bezpieczeństwa na drodze. Szkoły odwiedzane były przez pracowników Starostwa Powiatowego w Szczytnie i funkcjonariusza Komendy Powiatowej Policji w Szczytnie, w trakcie spotkań miały miejsce pogadanki o bezpieczeństwie zaś uczniowie otrzymywali opaski odblaskowe. W ramach akcji przeprowadzono dwa konkursy plastyczne, których zwycięzcy otrzymali gadżety promocyjne.</w:t>
            </w:r>
          </w:p>
        </w:tc>
        <w:tc>
          <w:tcPr>
            <w:tcW w:w="1565" w:type="dxa"/>
            <w:tcBorders>
              <w:top w:val="single" w:sz="4" w:space="0" w:color="808080" w:themeColor="background1" w:themeShade="80"/>
              <w:left w:val="nil"/>
              <w:bottom w:val="single" w:sz="4" w:space="0" w:color="808080" w:themeColor="background1" w:themeShade="80"/>
              <w:right w:val="nil"/>
            </w:tcBorders>
            <w:vAlign w:val="center"/>
          </w:tcPr>
          <w:p w14:paraId="04A1B4C8" w14:textId="05033B0A" w:rsidR="00EA2B5F" w:rsidRPr="00F25EBD" w:rsidRDefault="00EA2B5F" w:rsidP="00BB5769">
            <w:pPr>
              <w:jc w:val="center"/>
              <w:rPr>
                <w:rFonts w:asciiTheme="majorHAnsi" w:hAnsiTheme="majorHAnsi" w:cstheme="majorHAnsi"/>
                <w:sz w:val="18"/>
                <w:szCs w:val="18"/>
              </w:rPr>
            </w:pPr>
            <w:r w:rsidRPr="00F25EBD">
              <w:rPr>
                <w:rFonts w:asciiTheme="majorHAnsi" w:hAnsiTheme="majorHAnsi" w:cstheme="majorHAnsi"/>
                <w:sz w:val="18"/>
                <w:szCs w:val="18"/>
              </w:rPr>
              <w:t>Działanie jednorazowe (2019</w:t>
            </w:r>
            <w:r w:rsidR="00F7062F">
              <w:rPr>
                <w:rFonts w:asciiTheme="majorHAnsi" w:hAnsiTheme="majorHAnsi" w:cstheme="majorHAnsi"/>
                <w:sz w:val="18"/>
                <w:szCs w:val="18"/>
              </w:rPr>
              <w:t>r.</w:t>
            </w:r>
            <w:r w:rsidRPr="00F25EBD">
              <w:rPr>
                <w:rFonts w:asciiTheme="majorHAnsi" w:hAnsiTheme="majorHAnsi" w:cstheme="majorHAnsi"/>
                <w:sz w:val="18"/>
                <w:szCs w:val="18"/>
              </w:rPr>
              <w:t>), akcja całoroczna</w:t>
            </w:r>
          </w:p>
          <w:p w14:paraId="4AA10C3C" w14:textId="77777777" w:rsidR="00EA2B5F" w:rsidRPr="00F25EBD" w:rsidRDefault="00EA2B5F" w:rsidP="00BB5769">
            <w:pPr>
              <w:jc w:val="center"/>
              <w:rPr>
                <w:rFonts w:asciiTheme="majorHAnsi" w:hAnsiTheme="majorHAnsi" w:cstheme="majorHAnsi"/>
                <w:sz w:val="18"/>
                <w:szCs w:val="18"/>
              </w:rPr>
            </w:pPr>
            <w:r w:rsidRPr="00F25EBD">
              <w:rPr>
                <w:rFonts w:asciiTheme="majorHAnsi" w:hAnsiTheme="majorHAnsi" w:cstheme="majorHAnsi"/>
                <w:sz w:val="18"/>
                <w:szCs w:val="18"/>
              </w:rPr>
              <w:t>Planowane kolejne edycje w przyszłości</w:t>
            </w:r>
          </w:p>
        </w:tc>
        <w:tc>
          <w:tcPr>
            <w:tcW w:w="2258" w:type="dxa"/>
            <w:tcBorders>
              <w:top w:val="single" w:sz="4" w:space="0" w:color="808080" w:themeColor="background1" w:themeShade="80"/>
              <w:left w:val="nil"/>
              <w:bottom w:val="single" w:sz="4" w:space="0" w:color="808080" w:themeColor="background1" w:themeShade="80"/>
              <w:right w:val="nil"/>
            </w:tcBorders>
            <w:vAlign w:val="center"/>
          </w:tcPr>
          <w:p w14:paraId="1F5F40C0" w14:textId="77777777" w:rsidR="00EA2B5F" w:rsidRPr="00F25EBD" w:rsidRDefault="00EA2B5F" w:rsidP="00BB5769">
            <w:pPr>
              <w:jc w:val="center"/>
              <w:rPr>
                <w:rFonts w:asciiTheme="majorHAnsi" w:hAnsiTheme="majorHAnsi" w:cstheme="majorHAnsi"/>
                <w:sz w:val="18"/>
                <w:szCs w:val="18"/>
              </w:rPr>
            </w:pPr>
            <w:r w:rsidRPr="00F25EBD">
              <w:rPr>
                <w:rFonts w:asciiTheme="majorHAnsi" w:hAnsiTheme="majorHAnsi" w:cstheme="majorHAnsi"/>
                <w:sz w:val="18"/>
                <w:szCs w:val="18"/>
              </w:rPr>
              <w:t>Inicjator: Powiat Szczycieński i Komenda Powiatowa Policji w Szczytnie</w:t>
            </w:r>
          </w:p>
          <w:p w14:paraId="2443CF42" w14:textId="77777777" w:rsidR="00EA2B5F" w:rsidRPr="00F25EBD" w:rsidRDefault="00EA2B5F" w:rsidP="00BB5769">
            <w:pPr>
              <w:jc w:val="center"/>
              <w:rPr>
                <w:rFonts w:asciiTheme="majorHAnsi" w:hAnsiTheme="majorHAnsi" w:cstheme="majorHAnsi"/>
                <w:sz w:val="18"/>
                <w:szCs w:val="18"/>
              </w:rPr>
            </w:pPr>
            <w:r w:rsidRPr="00F25EBD">
              <w:rPr>
                <w:rFonts w:asciiTheme="majorHAnsi" w:hAnsiTheme="majorHAnsi" w:cstheme="majorHAnsi"/>
                <w:sz w:val="18"/>
                <w:szCs w:val="18"/>
              </w:rPr>
              <w:t>Partnerzy: Przedsiębiorcy z terenu Powiatu Szczycieńskiego</w:t>
            </w:r>
          </w:p>
        </w:tc>
        <w:tc>
          <w:tcPr>
            <w:tcW w:w="1984" w:type="dxa"/>
            <w:tcBorders>
              <w:top w:val="single" w:sz="4" w:space="0" w:color="808080" w:themeColor="background1" w:themeShade="80"/>
              <w:left w:val="nil"/>
              <w:bottom w:val="single" w:sz="4" w:space="0" w:color="808080" w:themeColor="background1" w:themeShade="80"/>
              <w:right w:val="nil"/>
            </w:tcBorders>
            <w:vAlign w:val="center"/>
          </w:tcPr>
          <w:p w14:paraId="5872D1B8" w14:textId="77777777" w:rsidR="00EA2B5F" w:rsidRPr="00F25EBD" w:rsidRDefault="00EA2B5F" w:rsidP="00BB5769">
            <w:pPr>
              <w:jc w:val="center"/>
              <w:rPr>
                <w:rFonts w:asciiTheme="majorHAnsi" w:hAnsiTheme="majorHAnsi" w:cstheme="majorHAnsi"/>
                <w:sz w:val="18"/>
                <w:szCs w:val="18"/>
              </w:rPr>
            </w:pPr>
            <w:r w:rsidRPr="00F25EBD">
              <w:rPr>
                <w:rFonts w:asciiTheme="majorHAnsi" w:hAnsiTheme="majorHAnsi" w:cstheme="majorHAnsi"/>
                <w:sz w:val="18"/>
                <w:szCs w:val="18"/>
              </w:rPr>
              <w:t>Źródło finansowania: Środki własne Powiatu Szczycieńskiego, zakupy gadżetów przez lokalnych sponsorów.</w:t>
            </w:r>
          </w:p>
        </w:tc>
      </w:tr>
      <w:tr w:rsidR="00EA2B5F" w:rsidRPr="00F25EBD" w14:paraId="00DB73A9" w14:textId="77777777" w:rsidTr="00962762">
        <w:tc>
          <w:tcPr>
            <w:tcW w:w="2410" w:type="dxa"/>
            <w:tcBorders>
              <w:top w:val="single" w:sz="4" w:space="0" w:color="808080" w:themeColor="background1" w:themeShade="80"/>
              <w:left w:val="nil"/>
              <w:bottom w:val="single" w:sz="4" w:space="0" w:color="808080" w:themeColor="background1" w:themeShade="80"/>
              <w:right w:val="nil"/>
            </w:tcBorders>
            <w:vAlign w:val="center"/>
          </w:tcPr>
          <w:p w14:paraId="20A74559" w14:textId="77777777" w:rsidR="00EA2B5F" w:rsidRPr="00F25EBD" w:rsidRDefault="00EA2B5F" w:rsidP="00BB5769">
            <w:pPr>
              <w:jc w:val="center"/>
              <w:rPr>
                <w:rFonts w:asciiTheme="majorHAnsi" w:hAnsiTheme="majorHAnsi" w:cstheme="majorHAnsi"/>
                <w:sz w:val="18"/>
                <w:szCs w:val="18"/>
              </w:rPr>
            </w:pPr>
            <w:r w:rsidRPr="00F25EBD">
              <w:rPr>
                <w:rFonts w:asciiTheme="majorHAnsi" w:hAnsiTheme="majorHAnsi" w:cstheme="majorHAnsi"/>
                <w:sz w:val="18"/>
                <w:szCs w:val="18"/>
              </w:rPr>
              <w:t>Karta seniora 60+</w:t>
            </w:r>
          </w:p>
        </w:tc>
        <w:tc>
          <w:tcPr>
            <w:tcW w:w="5958" w:type="dxa"/>
            <w:tcBorders>
              <w:top w:val="single" w:sz="4" w:space="0" w:color="808080" w:themeColor="background1" w:themeShade="80"/>
              <w:left w:val="nil"/>
              <w:bottom w:val="single" w:sz="4" w:space="0" w:color="808080" w:themeColor="background1" w:themeShade="80"/>
              <w:right w:val="nil"/>
            </w:tcBorders>
            <w:vAlign w:val="center"/>
          </w:tcPr>
          <w:p w14:paraId="4C1C3389" w14:textId="77777777" w:rsidR="00EA2B5F" w:rsidRPr="00F25EBD" w:rsidRDefault="00EA2B5F" w:rsidP="00BB5769">
            <w:pPr>
              <w:rPr>
                <w:rFonts w:asciiTheme="majorHAnsi" w:hAnsiTheme="majorHAnsi" w:cstheme="majorHAnsi"/>
                <w:sz w:val="18"/>
                <w:szCs w:val="18"/>
              </w:rPr>
            </w:pPr>
            <w:r w:rsidRPr="00F25EBD">
              <w:rPr>
                <w:rFonts w:asciiTheme="majorHAnsi" w:hAnsiTheme="majorHAnsi" w:cstheme="majorHAnsi"/>
                <w:sz w:val="18"/>
                <w:szCs w:val="18"/>
              </w:rPr>
              <w:t>Program Karta Seniora 60+ polega na zaoferowaniu mieszkańcom Powiatu Szczycieńskiego promocji na produkty i usługi lokalnych firm. Karta Seniora wydawana jest każdej osobie zamieszkującej Powiat, która ukończyła 60 rok życia. Obecnie zniżki na usługi oferuje ponad 30 firm, zaś beneficjentami Karty zostało ponad 4700 seniorów.</w:t>
            </w:r>
          </w:p>
        </w:tc>
        <w:tc>
          <w:tcPr>
            <w:tcW w:w="1565" w:type="dxa"/>
            <w:tcBorders>
              <w:top w:val="single" w:sz="4" w:space="0" w:color="808080" w:themeColor="background1" w:themeShade="80"/>
              <w:left w:val="nil"/>
              <w:bottom w:val="single" w:sz="4" w:space="0" w:color="808080" w:themeColor="background1" w:themeShade="80"/>
              <w:right w:val="nil"/>
            </w:tcBorders>
            <w:vAlign w:val="center"/>
          </w:tcPr>
          <w:p w14:paraId="70F1DE31" w14:textId="77777777" w:rsidR="00EA2B5F" w:rsidRPr="00F25EBD" w:rsidRDefault="00EA2B5F" w:rsidP="00BB5769">
            <w:pPr>
              <w:jc w:val="center"/>
              <w:rPr>
                <w:rFonts w:asciiTheme="majorHAnsi" w:hAnsiTheme="majorHAnsi" w:cstheme="majorHAnsi"/>
                <w:sz w:val="18"/>
                <w:szCs w:val="18"/>
              </w:rPr>
            </w:pPr>
            <w:r w:rsidRPr="00F25EBD">
              <w:rPr>
                <w:rFonts w:asciiTheme="majorHAnsi" w:hAnsiTheme="majorHAnsi" w:cstheme="majorHAnsi"/>
                <w:sz w:val="18"/>
                <w:szCs w:val="18"/>
              </w:rPr>
              <w:t>Działanie wieloletnie od roku 2016.</w:t>
            </w:r>
          </w:p>
        </w:tc>
        <w:tc>
          <w:tcPr>
            <w:tcW w:w="2258" w:type="dxa"/>
            <w:tcBorders>
              <w:top w:val="single" w:sz="4" w:space="0" w:color="808080" w:themeColor="background1" w:themeShade="80"/>
              <w:left w:val="nil"/>
              <w:bottom w:val="single" w:sz="4" w:space="0" w:color="808080" w:themeColor="background1" w:themeShade="80"/>
              <w:right w:val="nil"/>
            </w:tcBorders>
            <w:vAlign w:val="center"/>
          </w:tcPr>
          <w:p w14:paraId="09E5EC53" w14:textId="77777777" w:rsidR="00EA2B5F" w:rsidRPr="00F25EBD" w:rsidRDefault="00EA2B5F" w:rsidP="00BB5769">
            <w:pPr>
              <w:jc w:val="center"/>
              <w:rPr>
                <w:rFonts w:asciiTheme="majorHAnsi" w:hAnsiTheme="majorHAnsi" w:cstheme="majorHAnsi"/>
                <w:sz w:val="18"/>
                <w:szCs w:val="18"/>
              </w:rPr>
            </w:pPr>
            <w:r w:rsidRPr="00F25EBD">
              <w:rPr>
                <w:rFonts w:asciiTheme="majorHAnsi" w:hAnsiTheme="majorHAnsi" w:cstheme="majorHAnsi"/>
                <w:sz w:val="18"/>
                <w:szCs w:val="18"/>
              </w:rPr>
              <w:t>Inicjator: Powiat Szczycieński</w:t>
            </w:r>
          </w:p>
          <w:p w14:paraId="54A7DCA1" w14:textId="77777777" w:rsidR="00EA2B5F" w:rsidRPr="00F25EBD" w:rsidRDefault="00EA2B5F" w:rsidP="00BB5769">
            <w:pPr>
              <w:jc w:val="center"/>
              <w:rPr>
                <w:rFonts w:asciiTheme="majorHAnsi" w:hAnsiTheme="majorHAnsi" w:cstheme="majorHAnsi"/>
                <w:sz w:val="18"/>
                <w:szCs w:val="18"/>
              </w:rPr>
            </w:pPr>
            <w:r w:rsidRPr="00F25EBD">
              <w:rPr>
                <w:rFonts w:asciiTheme="majorHAnsi" w:hAnsiTheme="majorHAnsi" w:cstheme="majorHAnsi"/>
                <w:sz w:val="18"/>
                <w:szCs w:val="18"/>
              </w:rPr>
              <w:t>Partnerzy: lokalne firmy.</w:t>
            </w:r>
          </w:p>
        </w:tc>
        <w:tc>
          <w:tcPr>
            <w:tcW w:w="1984" w:type="dxa"/>
            <w:tcBorders>
              <w:top w:val="single" w:sz="4" w:space="0" w:color="808080" w:themeColor="background1" w:themeShade="80"/>
              <w:left w:val="nil"/>
              <w:bottom w:val="single" w:sz="4" w:space="0" w:color="808080" w:themeColor="background1" w:themeShade="80"/>
              <w:right w:val="nil"/>
            </w:tcBorders>
            <w:vAlign w:val="center"/>
          </w:tcPr>
          <w:p w14:paraId="46C7FA55" w14:textId="77777777" w:rsidR="00EA2B5F" w:rsidRPr="00F25EBD" w:rsidRDefault="00EA2B5F" w:rsidP="00BB5769">
            <w:pPr>
              <w:jc w:val="center"/>
              <w:rPr>
                <w:rFonts w:asciiTheme="majorHAnsi" w:hAnsiTheme="majorHAnsi" w:cstheme="majorHAnsi"/>
                <w:sz w:val="18"/>
                <w:szCs w:val="18"/>
              </w:rPr>
            </w:pPr>
            <w:r w:rsidRPr="00F25EBD">
              <w:rPr>
                <w:rFonts w:asciiTheme="majorHAnsi" w:hAnsiTheme="majorHAnsi" w:cstheme="majorHAnsi"/>
                <w:sz w:val="18"/>
                <w:szCs w:val="18"/>
              </w:rPr>
              <w:t>Źródło finansowania: Środki własne Powiatu Szczycieńskiego</w:t>
            </w:r>
          </w:p>
        </w:tc>
      </w:tr>
      <w:tr w:rsidR="00EA2B5F" w:rsidRPr="00F25EBD" w14:paraId="3EF7E832" w14:textId="77777777" w:rsidTr="00962762">
        <w:tc>
          <w:tcPr>
            <w:tcW w:w="2410" w:type="dxa"/>
            <w:tcBorders>
              <w:top w:val="single" w:sz="4" w:space="0" w:color="808080" w:themeColor="background1" w:themeShade="80"/>
              <w:left w:val="nil"/>
              <w:bottom w:val="single" w:sz="4" w:space="0" w:color="808080" w:themeColor="background1" w:themeShade="80"/>
              <w:right w:val="nil"/>
            </w:tcBorders>
            <w:vAlign w:val="center"/>
          </w:tcPr>
          <w:p w14:paraId="7DF0D9A1" w14:textId="77777777" w:rsidR="00EA2B5F" w:rsidRPr="00F25EBD" w:rsidRDefault="00EA2B5F" w:rsidP="00BB5769">
            <w:pPr>
              <w:jc w:val="center"/>
              <w:rPr>
                <w:rFonts w:asciiTheme="majorHAnsi" w:hAnsiTheme="majorHAnsi" w:cstheme="majorHAnsi"/>
                <w:sz w:val="18"/>
                <w:szCs w:val="18"/>
              </w:rPr>
            </w:pPr>
            <w:r w:rsidRPr="00F25EBD">
              <w:rPr>
                <w:rFonts w:asciiTheme="majorHAnsi" w:hAnsiTheme="majorHAnsi" w:cstheme="majorHAnsi"/>
                <w:sz w:val="18"/>
                <w:szCs w:val="18"/>
              </w:rPr>
              <w:t>Wręczenie statuetek i wyróżnień „</w:t>
            </w:r>
            <w:proofErr w:type="spellStart"/>
            <w:r w:rsidRPr="00F25EBD">
              <w:rPr>
                <w:rFonts w:asciiTheme="majorHAnsi" w:hAnsiTheme="majorHAnsi" w:cstheme="majorHAnsi"/>
                <w:sz w:val="18"/>
                <w:szCs w:val="18"/>
              </w:rPr>
              <w:t>Jurandy</w:t>
            </w:r>
            <w:proofErr w:type="spellEnd"/>
            <w:r w:rsidRPr="00F25EBD">
              <w:rPr>
                <w:rFonts w:asciiTheme="majorHAnsi" w:hAnsiTheme="majorHAnsi" w:cstheme="majorHAnsi"/>
                <w:sz w:val="18"/>
                <w:szCs w:val="18"/>
              </w:rPr>
              <w:t>”</w:t>
            </w:r>
          </w:p>
        </w:tc>
        <w:tc>
          <w:tcPr>
            <w:tcW w:w="5958" w:type="dxa"/>
            <w:tcBorders>
              <w:top w:val="single" w:sz="4" w:space="0" w:color="808080" w:themeColor="background1" w:themeShade="80"/>
              <w:left w:val="nil"/>
              <w:bottom w:val="single" w:sz="4" w:space="0" w:color="808080" w:themeColor="background1" w:themeShade="80"/>
              <w:right w:val="nil"/>
            </w:tcBorders>
            <w:vAlign w:val="center"/>
          </w:tcPr>
          <w:p w14:paraId="1BDA0162" w14:textId="77777777" w:rsidR="00EA2B5F" w:rsidRPr="00F25EBD" w:rsidRDefault="00EA2B5F" w:rsidP="00BB5769">
            <w:pPr>
              <w:rPr>
                <w:rFonts w:asciiTheme="majorHAnsi" w:hAnsiTheme="majorHAnsi" w:cstheme="majorHAnsi"/>
                <w:sz w:val="18"/>
                <w:szCs w:val="18"/>
              </w:rPr>
            </w:pPr>
            <w:r w:rsidRPr="00F25EBD">
              <w:rPr>
                <w:rFonts w:asciiTheme="majorHAnsi" w:hAnsiTheme="majorHAnsi" w:cstheme="majorHAnsi"/>
                <w:sz w:val="18"/>
                <w:szCs w:val="18"/>
              </w:rPr>
              <w:t>„</w:t>
            </w:r>
            <w:proofErr w:type="spellStart"/>
            <w:r w:rsidRPr="00F25EBD">
              <w:rPr>
                <w:rFonts w:asciiTheme="majorHAnsi" w:hAnsiTheme="majorHAnsi" w:cstheme="majorHAnsi"/>
                <w:sz w:val="18"/>
                <w:szCs w:val="18"/>
              </w:rPr>
              <w:t>Jurandy</w:t>
            </w:r>
            <w:proofErr w:type="spellEnd"/>
            <w:r w:rsidRPr="00F25EBD">
              <w:rPr>
                <w:rFonts w:asciiTheme="majorHAnsi" w:hAnsiTheme="majorHAnsi" w:cstheme="majorHAnsi"/>
                <w:sz w:val="18"/>
                <w:szCs w:val="18"/>
              </w:rPr>
              <w:t>” to prestiżowa gala, której celem jest przyznanie nagród i wyróżnień dla zasłużonych dla Powiatu Szczycieńskiego w następujących kategoriach: przedsiębiorczość, kultura, sport, działalność społeczna oraz edukacja</w:t>
            </w:r>
          </w:p>
        </w:tc>
        <w:tc>
          <w:tcPr>
            <w:tcW w:w="1565" w:type="dxa"/>
            <w:tcBorders>
              <w:top w:val="single" w:sz="4" w:space="0" w:color="808080" w:themeColor="background1" w:themeShade="80"/>
              <w:left w:val="nil"/>
              <w:bottom w:val="single" w:sz="4" w:space="0" w:color="808080" w:themeColor="background1" w:themeShade="80"/>
              <w:right w:val="nil"/>
            </w:tcBorders>
            <w:vAlign w:val="center"/>
          </w:tcPr>
          <w:p w14:paraId="1573D06A" w14:textId="77777777" w:rsidR="00EA2B5F" w:rsidRPr="00F25EBD" w:rsidRDefault="00EA2B5F" w:rsidP="00BB5769">
            <w:pPr>
              <w:jc w:val="center"/>
              <w:rPr>
                <w:rFonts w:asciiTheme="majorHAnsi" w:hAnsiTheme="majorHAnsi" w:cstheme="majorHAnsi"/>
                <w:sz w:val="18"/>
                <w:szCs w:val="18"/>
              </w:rPr>
            </w:pPr>
            <w:r w:rsidRPr="00F25EBD">
              <w:rPr>
                <w:rFonts w:asciiTheme="majorHAnsi" w:hAnsiTheme="majorHAnsi" w:cstheme="majorHAnsi"/>
                <w:sz w:val="18"/>
                <w:szCs w:val="18"/>
              </w:rPr>
              <w:t>Działanie Cykliczne (marzec-kwiecień)</w:t>
            </w:r>
          </w:p>
        </w:tc>
        <w:tc>
          <w:tcPr>
            <w:tcW w:w="2258" w:type="dxa"/>
            <w:tcBorders>
              <w:top w:val="single" w:sz="4" w:space="0" w:color="808080" w:themeColor="background1" w:themeShade="80"/>
              <w:left w:val="nil"/>
              <w:bottom w:val="single" w:sz="4" w:space="0" w:color="808080" w:themeColor="background1" w:themeShade="80"/>
              <w:right w:val="nil"/>
            </w:tcBorders>
            <w:vAlign w:val="center"/>
          </w:tcPr>
          <w:p w14:paraId="170F34BF" w14:textId="77777777" w:rsidR="00EA2B5F" w:rsidRPr="00F25EBD" w:rsidRDefault="00EA2B5F" w:rsidP="00BB5769">
            <w:pPr>
              <w:jc w:val="center"/>
              <w:rPr>
                <w:rFonts w:asciiTheme="majorHAnsi" w:hAnsiTheme="majorHAnsi" w:cstheme="majorHAnsi"/>
                <w:sz w:val="18"/>
                <w:szCs w:val="18"/>
              </w:rPr>
            </w:pPr>
            <w:r w:rsidRPr="00F25EBD">
              <w:rPr>
                <w:rFonts w:asciiTheme="majorHAnsi" w:hAnsiTheme="majorHAnsi" w:cstheme="majorHAnsi"/>
                <w:sz w:val="18"/>
                <w:szCs w:val="18"/>
              </w:rPr>
              <w:t>Inicjator: Powiat Szczycieński</w:t>
            </w:r>
          </w:p>
        </w:tc>
        <w:tc>
          <w:tcPr>
            <w:tcW w:w="1984" w:type="dxa"/>
            <w:tcBorders>
              <w:top w:val="single" w:sz="4" w:space="0" w:color="808080" w:themeColor="background1" w:themeShade="80"/>
              <w:left w:val="nil"/>
              <w:bottom w:val="single" w:sz="4" w:space="0" w:color="808080" w:themeColor="background1" w:themeShade="80"/>
              <w:right w:val="nil"/>
            </w:tcBorders>
            <w:vAlign w:val="center"/>
          </w:tcPr>
          <w:p w14:paraId="3D674CBE" w14:textId="77777777" w:rsidR="00EA2B5F" w:rsidRPr="00F25EBD" w:rsidRDefault="00EA2B5F" w:rsidP="00BB5769">
            <w:pPr>
              <w:jc w:val="center"/>
              <w:rPr>
                <w:rFonts w:asciiTheme="majorHAnsi" w:hAnsiTheme="majorHAnsi" w:cstheme="majorHAnsi"/>
                <w:sz w:val="18"/>
                <w:szCs w:val="18"/>
              </w:rPr>
            </w:pPr>
            <w:r w:rsidRPr="00F25EBD">
              <w:rPr>
                <w:rFonts w:asciiTheme="majorHAnsi" w:hAnsiTheme="majorHAnsi" w:cstheme="majorHAnsi"/>
                <w:sz w:val="18"/>
                <w:szCs w:val="18"/>
              </w:rPr>
              <w:t>Źródło finansowania: Środki własne Powiatu Szczycieńskiego</w:t>
            </w:r>
          </w:p>
        </w:tc>
      </w:tr>
      <w:tr w:rsidR="00EA2B5F" w:rsidRPr="00F25EBD" w14:paraId="32299661" w14:textId="77777777" w:rsidTr="00962762">
        <w:tc>
          <w:tcPr>
            <w:tcW w:w="2410" w:type="dxa"/>
            <w:tcBorders>
              <w:top w:val="single" w:sz="4" w:space="0" w:color="808080" w:themeColor="background1" w:themeShade="80"/>
              <w:left w:val="nil"/>
              <w:bottom w:val="single" w:sz="4" w:space="0" w:color="808080" w:themeColor="background1" w:themeShade="80"/>
              <w:right w:val="nil"/>
            </w:tcBorders>
            <w:vAlign w:val="center"/>
          </w:tcPr>
          <w:p w14:paraId="47939178" w14:textId="77777777" w:rsidR="00EA2B5F" w:rsidRPr="00F25EBD" w:rsidRDefault="00EA2B5F" w:rsidP="00BB5769">
            <w:pPr>
              <w:jc w:val="center"/>
              <w:rPr>
                <w:rFonts w:asciiTheme="majorHAnsi" w:hAnsiTheme="majorHAnsi" w:cstheme="majorHAnsi"/>
                <w:sz w:val="18"/>
                <w:szCs w:val="18"/>
              </w:rPr>
            </w:pPr>
            <w:r w:rsidRPr="00F25EBD">
              <w:rPr>
                <w:rFonts w:asciiTheme="majorHAnsi" w:hAnsiTheme="majorHAnsi" w:cstheme="majorHAnsi"/>
                <w:sz w:val="18"/>
                <w:szCs w:val="18"/>
              </w:rPr>
              <w:t>Wydanie mapy Ścieżek Rowerowych Powiatu Szczycieńskiego</w:t>
            </w:r>
          </w:p>
        </w:tc>
        <w:tc>
          <w:tcPr>
            <w:tcW w:w="5958" w:type="dxa"/>
            <w:tcBorders>
              <w:top w:val="single" w:sz="4" w:space="0" w:color="808080" w:themeColor="background1" w:themeShade="80"/>
              <w:left w:val="nil"/>
              <w:bottom w:val="single" w:sz="4" w:space="0" w:color="808080" w:themeColor="background1" w:themeShade="80"/>
              <w:right w:val="nil"/>
            </w:tcBorders>
            <w:vAlign w:val="center"/>
          </w:tcPr>
          <w:p w14:paraId="03407121" w14:textId="77777777" w:rsidR="00EA2B5F" w:rsidRPr="00F25EBD" w:rsidRDefault="00EA2B5F" w:rsidP="00BB5769">
            <w:pPr>
              <w:rPr>
                <w:rFonts w:asciiTheme="majorHAnsi" w:hAnsiTheme="majorHAnsi" w:cstheme="majorHAnsi"/>
                <w:sz w:val="18"/>
                <w:szCs w:val="18"/>
              </w:rPr>
            </w:pPr>
            <w:r w:rsidRPr="00F25EBD">
              <w:rPr>
                <w:rFonts w:asciiTheme="majorHAnsi" w:hAnsiTheme="majorHAnsi" w:cstheme="majorHAnsi"/>
                <w:sz w:val="18"/>
                <w:szCs w:val="18"/>
              </w:rPr>
              <w:t>W wyniku wzrostu zainteresowania wypoczynkiem aktywnym, Powiat wyszedł naprzeciw oczekiwaniom turystów i mieszkańców by stworzyć mapę Ścieżek Rowerowych Powiatu Szczycieńskiego. Na mapie wytyczone zostały szlaki rowerowe prowadzące rowerzystów przez tereny Powiatu Szczycieńskiego. Mapy wydano w ilości 15 tys. egzemplarzy, które rozdawany były turystom w wydziale Promocji i Współpracy Starostwa Powiatowego w Szczytnie</w:t>
            </w:r>
          </w:p>
        </w:tc>
        <w:tc>
          <w:tcPr>
            <w:tcW w:w="1565" w:type="dxa"/>
            <w:tcBorders>
              <w:top w:val="single" w:sz="4" w:space="0" w:color="808080" w:themeColor="background1" w:themeShade="80"/>
              <w:left w:val="nil"/>
              <w:bottom w:val="single" w:sz="4" w:space="0" w:color="808080" w:themeColor="background1" w:themeShade="80"/>
              <w:right w:val="nil"/>
            </w:tcBorders>
            <w:vAlign w:val="center"/>
          </w:tcPr>
          <w:p w14:paraId="5A40ABDE" w14:textId="64A9DDE6" w:rsidR="00EA2B5F" w:rsidRPr="00F25EBD" w:rsidRDefault="00EA2B5F" w:rsidP="00BB5769">
            <w:pPr>
              <w:jc w:val="center"/>
              <w:rPr>
                <w:rFonts w:asciiTheme="majorHAnsi" w:hAnsiTheme="majorHAnsi" w:cstheme="majorHAnsi"/>
                <w:sz w:val="18"/>
                <w:szCs w:val="18"/>
              </w:rPr>
            </w:pPr>
            <w:r w:rsidRPr="00F25EBD">
              <w:rPr>
                <w:rFonts w:asciiTheme="majorHAnsi" w:hAnsiTheme="majorHAnsi" w:cstheme="majorHAnsi"/>
                <w:sz w:val="18"/>
                <w:szCs w:val="18"/>
              </w:rPr>
              <w:t>Działanie jednorazowe (2017</w:t>
            </w:r>
            <w:r w:rsidR="00F7062F">
              <w:rPr>
                <w:rFonts w:asciiTheme="majorHAnsi" w:hAnsiTheme="majorHAnsi" w:cstheme="majorHAnsi"/>
                <w:sz w:val="18"/>
                <w:szCs w:val="18"/>
              </w:rPr>
              <w:t>r.</w:t>
            </w:r>
            <w:r w:rsidRPr="00F25EBD">
              <w:rPr>
                <w:rFonts w:asciiTheme="majorHAnsi" w:hAnsiTheme="majorHAnsi" w:cstheme="majorHAnsi"/>
                <w:sz w:val="18"/>
                <w:szCs w:val="18"/>
              </w:rPr>
              <w:t>), planowany dodruk w przyszłości.</w:t>
            </w:r>
          </w:p>
        </w:tc>
        <w:tc>
          <w:tcPr>
            <w:tcW w:w="2258" w:type="dxa"/>
            <w:tcBorders>
              <w:top w:val="single" w:sz="4" w:space="0" w:color="808080" w:themeColor="background1" w:themeShade="80"/>
              <w:left w:val="nil"/>
              <w:bottom w:val="single" w:sz="4" w:space="0" w:color="808080" w:themeColor="background1" w:themeShade="80"/>
              <w:right w:val="nil"/>
            </w:tcBorders>
            <w:vAlign w:val="center"/>
          </w:tcPr>
          <w:p w14:paraId="7E0E5C48" w14:textId="77777777" w:rsidR="00EA2B5F" w:rsidRPr="00F25EBD" w:rsidRDefault="00EA2B5F" w:rsidP="00BB5769">
            <w:pPr>
              <w:jc w:val="center"/>
              <w:rPr>
                <w:rFonts w:asciiTheme="majorHAnsi" w:hAnsiTheme="majorHAnsi" w:cstheme="majorHAnsi"/>
                <w:sz w:val="18"/>
                <w:szCs w:val="18"/>
              </w:rPr>
            </w:pPr>
            <w:r w:rsidRPr="00F25EBD">
              <w:rPr>
                <w:rFonts w:asciiTheme="majorHAnsi" w:hAnsiTheme="majorHAnsi" w:cstheme="majorHAnsi"/>
                <w:sz w:val="18"/>
                <w:szCs w:val="18"/>
              </w:rPr>
              <w:t>Inicjator: Powiat Szczycieński</w:t>
            </w:r>
          </w:p>
        </w:tc>
        <w:tc>
          <w:tcPr>
            <w:tcW w:w="1984" w:type="dxa"/>
            <w:tcBorders>
              <w:top w:val="single" w:sz="4" w:space="0" w:color="808080" w:themeColor="background1" w:themeShade="80"/>
              <w:left w:val="nil"/>
              <w:bottom w:val="single" w:sz="4" w:space="0" w:color="808080" w:themeColor="background1" w:themeShade="80"/>
              <w:right w:val="nil"/>
            </w:tcBorders>
            <w:vAlign w:val="center"/>
          </w:tcPr>
          <w:p w14:paraId="07F737F0" w14:textId="77777777" w:rsidR="00EA2B5F" w:rsidRPr="00F25EBD" w:rsidRDefault="00EA2B5F" w:rsidP="00BB5769">
            <w:pPr>
              <w:jc w:val="center"/>
              <w:rPr>
                <w:rFonts w:asciiTheme="majorHAnsi" w:hAnsiTheme="majorHAnsi" w:cstheme="majorHAnsi"/>
                <w:sz w:val="18"/>
                <w:szCs w:val="18"/>
              </w:rPr>
            </w:pPr>
            <w:r w:rsidRPr="00F25EBD">
              <w:rPr>
                <w:rFonts w:asciiTheme="majorHAnsi" w:hAnsiTheme="majorHAnsi" w:cstheme="majorHAnsi"/>
                <w:sz w:val="18"/>
                <w:szCs w:val="18"/>
              </w:rPr>
              <w:t>Źródło finansowania: Środki własne Powiatu Szczycieńskiego</w:t>
            </w:r>
          </w:p>
        </w:tc>
      </w:tr>
      <w:tr w:rsidR="00EA2B5F" w:rsidRPr="00F25EBD" w14:paraId="759C33E5" w14:textId="77777777" w:rsidTr="00962762">
        <w:tc>
          <w:tcPr>
            <w:tcW w:w="2410" w:type="dxa"/>
            <w:tcBorders>
              <w:top w:val="single" w:sz="4" w:space="0" w:color="808080" w:themeColor="background1" w:themeShade="80"/>
              <w:left w:val="nil"/>
              <w:bottom w:val="single" w:sz="4" w:space="0" w:color="808080" w:themeColor="background1" w:themeShade="80"/>
              <w:right w:val="nil"/>
            </w:tcBorders>
            <w:vAlign w:val="center"/>
          </w:tcPr>
          <w:p w14:paraId="007AD6D1" w14:textId="77777777" w:rsidR="00EA2B5F" w:rsidRPr="00F25EBD" w:rsidRDefault="00EA2B5F" w:rsidP="00BB5769">
            <w:pPr>
              <w:jc w:val="center"/>
              <w:rPr>
                <w:rFonts w:asciiTheme="majorHAnsi" w:hAnsiTheme="majorHAnsi" w:cstheme="majorHAnsi"/>
                <w:sz w:val="18"/>
                <w:szCs w:val="18"/>
              </w:rPr>
            </w:pPr>
            <w:r w:rsidRPr="00F25EBD">
              <w:rPr>
                <w:rFonts w:asciiTheme="majorHAnsi" w:hAnsiTheme="majorHAnsi" w:cstheme="majorHAnsi"/>
                <w:sz w:val="18"/>
                <w:szCs w:val="18"/>
              </w:rPr>
              <w:t>Wydanie Słownika mowy mazurskiej</w:t>
            </w:r>
          </w:p>
        </w:tc>
        <w:tc>
          <w:tcPr>
            <w:tcW w:w="5958" w:type="dxa"/>
            <w:tcBorders>
              <w:top w:val="single" w:sz="4" w:space="0" w:color="808080" w:themeColor="background1" w:themeShade="80"/>
              <w:left w:val="nil"/>
              <w:bottom w:val="single" w:sz="4" w:space="0" w:color="808080" w:themeColor="background1" w:themeShade="80"/>
              <w:right w:val="nil"/>
            </w:tcBorders>
            <w:vAlign w:val="center"/>
          </w:tcPr>
          <w:p w14:paraId="038FBFA9" w14:textId="77777777" w:rsidR="00EA2B5F" w:rsidRPr="00F25EBD" w:rsidRDefault="00EA2B5F" w:rsidP="00BB5769">
            <w:pPr>
              <w:rPr>
                <w:rFonts w:asciiTheme="majorHAnsi" w:hAnsiTheme="majorHAnsi" w:cstheme="majorHAnsi"/>
                <w:sz w:val="18"/>
                <w:szCs w:val="18"/>
              </w:rPr>
            </w:pPr>
            <w:r w:rsidRPr="00F25EBD">
              <w:rPr>
                <w:rFonts w:asciiTheme="majorHAnsi" w:hAnsiTheme="majorHAnsi" w:cstheme="majorHAnsi"/>
                <w:sz w:val="18"/>
                <w:szCs w:val="18"/>
              </w:rPr>
              <w:t>Wydanie Słownika było poparte zachętami lokalnych historyków i działaczy społecznych, którzy w ten sposób chcieli naświetlić bogatą historię kulturową regionu. Zainteresowanie publikacją sprawiło, że twórcy słownika otrzymali okazję do prezentacji dzieła m.in. w programie Dzień Dobry TVN, Radiu Olsztyn czy TVP Olsztyn. Słownik wydrukowano w nakładzie 1500 egzemplarzy, które trafiły do lokalnych bibliotek, turystów a także wysyłane były pocztą do zainteresowanych</w:t>
            </w:r>
          </w:p>
        </w:tc>
        <w:tc>
          <w:tcPr>
            <w:tcW w:w="1565" w:type="dxa"/>
            <w:tcBorders>
              <w:top w:val="single" w:sz="4" w:space="0" w:color="808080" w:themeColor="background1" w:themeShade="80"/>
              <w:left w:val="nil"/>
              <w:bottom w:val="single" w:sz="4" w:space="0" w:color="808080" w:themeColor="background1" w:themeShade="80"/>
              <w:right w:val="nil"/>
            </w:tcBorders>
            <w:vAlign w:val="center"/>
          </w:tcPr>
          <w:p w14:paraId="3CB85E8F" w14:textId="5877A83B" w:rsidR="00EA2B5F" w:rsidRPr="00F25EBD" w:rsidRDefault="00EA2B5F" w:rsidP="00BB5769">
            <w:pPr>
              <w:jc w:val="center"/>
              <w:rPr>
                <w:rFonts w:asciiTheme="majorHAnsi" w:hAnsiTheme="majorHAnsi" w:cstheme="majorHAnsi"/>
                <w:sz w:val="18"/>
                <w:szCs w:val="18"/>
              </w:rPr>
            </w:pPr>
            <w:r w:rsidRPr="00F25EBD">
              <w:rPr>
                <w:rFonts w:asciiTheme="majorHAnsi" w:hAnsiTheme="majorHAnsi" w:cstheme="majorHAnsi"/>
                <w:sz w:val="18"/>
                <w:szCs w:val="18"/>
              </w:rPr>
              <w:t>Działanie jednorazowe (2019</w:t>
            </w:r>
            <w:r w:rsidR="00F7062F">
              <w:rPr>
                <w:rFonts w:asciiTheme="majorHAnsi" w:hAnsiTheme="majorHAnsi" w:cstheme="majorHAnsi"/>
                <w:sz w:val="18"/>
                <w:szCs w:val="18"/>
              </w:rPr>
              <w:t>r.</w:t>
            </w:r>
            <w:r w:rsidRPr="00F25EBD">
              <w:rPr>
                <w:rFonts w:asciiTheme="majorHAnsi" w:hAnsiTheme="majorHAnsi" w:cstheme="majorHAnsi"/>
                <w:sz w:val="18"/>
                <w:szCs w:val="18"/>
              </w:rPr>
              <w:t>)</w:t>
            </w:r>
          </w:p>
        </w:tc>
        <w:tc>
          <w:tcPr>
            <w:tcW w:w="2258" w:type="dxa"/>
            <w:tcBorders>
              <w:top w:val="single" w:sz="4" w:space="0" w:color="808080" w:themeColor="background1" w:themeShade="80"/>
              <w:left w:val="nil"/>
              <w:bottom w:val="single" w:sz="4" w:space="0" w:color="808080" w:themeColor="background1" w:themeShade="80"/>
              <w:right w:val="nil"/>
            </w:tcBorders>
            <w:vAlign w:val="center"/>
          </w:tcPr>
          <w:p w14:paraId="081060B6" w14:textId="77777777" w:rsidR="00EA2B5F" w:rsidRPr="00F25EBD" w:rsidRDefault="00EA2B5F" w:rsidP="00BB5769">
            <w:pPr>
              <w:jc w:val="center"/>
              <w:rPr>
                <w:rFonts w:asciiTheme="majorHAnsi" w:hAnsiTheme="majorHAnsi" w:cstheme="majorHAnsi"/>
                <w:sz w:val="18"/>
                <w:szCs w:val="18"/>
              </w:rPr>
            </w:pPr>
            <w:r w:rsidRPr="00F25EBD">
              <w:rPr>
                <w:rFonts w:asciiTheme="majorHAnsi" w:hAnsiTheme="majorHAnsi" w:cstheme="majorHAnsi"/>
                <w:sz w:val="18"/>
                <w:szCs w:val="18"/>
              </w:rPr>
              <w:t>Inicjator: Powiat Szczycieński i Stowarzyszenie „Wszystko dla Szczytna”</w:t>
            </w:r>
            <w:r w:rsidRPr="00F25EBD">
              <w:rPr>
                <w:rFonts w:asciiTheme="majorHAnsi" w:hAnsiTheme="majorHAnsi" w:cstheme="majorHAnsi"/>
                <w:sz w:val="18"/>
                <w:szCs w:val="18"/>
              </w:rPr>
              <w:br/>
              <w:t>Partnerzy: Lokalna Organizacja Turystyczna Powiatu Szczycieńskiego, Stowarzyszenie Związek Mazurski, Wytwórnia Podłoża Zastępczego sp. z o.o. Kołodziejowi Grąd</w:t>
            </w:r>
          </w:p>
        </w:tc>
        <w:tc>
          <w:tcPr>
            <w:tcW w:w="1984" w:type="dxa"/>
            <w:tcBorders>
              <w:top w:val="single" w:sz="4" w:space="0" w:color="808080" w:themeColor="background1" w:themeShade="80"/>
              <w:left w:val="nil"/>
              <w:bottom w:val="single" w:sz="4" w:space="0" w:color="808080" w:themeColor="background1" w:themeShade="80"/>
              <w:right w:val="nil"/>
            </w:tcBorders>
            <w:vAlign w:val="center"/>
          </w:tcPr>
          <w:p w14:paraId="775AE8A7" w14:textId="77777777" w:rsidR="00EA2B5F" w:rsidRPr="00F25EBD" w:rsidRDefault="00EA2B5F" w:rsidP="00BB5769">
            <w:pPr>
              <w:jc w:val="center"/>
              <w:rPr>
                <w:rFonts w:asciiTheme="majorHAnsi" w:hAnsiTheme="majorHAnsi" w:cstheme="majorHAnsi"/>
                <w:sz w:val="18"/>
                <w:szCs w:val="18"/>
              </w:rPr>
            </w:pPr>
            <w:r w:rsidRPr="00F25EBD">
              <w:rPr>
                <w:rFonts w:asciiTheme="majorHAnsi" w:hAnsiTheme="majorHAnsi" w:cstheme="majorHAnsi"/>
                <w:sz w:val="18"/>
                <w:szCs w:val="18"/>
              </w:rPr>
              <w:t>Źródło finansowania: Środki własne Powiatu Szczycieńskiego, Środki własne LOT, sponsorzy</w:t>
            </w:r>
          </w:p>
        </w:tc>
      </w:tr>
      <w:tr w:rsidR="00EA2B5F" w:rsidRPr="00F25EBD" w14:paraId="19C119A9" w14:textId="77777777" w:rsidTr="00962762">
        <w:tc>
          <w:tcPr>
            <w:tcW w:w="2410" w:type="dxa"/>
            <w:tcBorders>
              <w:top w:val="single" w:sz="4" w:space="0" w:color="808080" w:themeColor="background1" w:themeShade="80"/>
              <w:left w:val="nil"/>
              <w:bottom w:val="single" w:sz="4" w:space="0" w:color="808080" w:themeColor="background1" w:themeShade="80"/>
              <w:right w:val="nil"/>
            </w:tcBorders>
            <w:vAlign w:val="center"/>
          </w:tcPr>
          <w:p w14:paraId="047FC152" w14:textId="77777777" w:rsidR="00EA2B5F" w:rsidRPr="00F25EBD" w:rsidRDefault="00EA2B5F" w:rsidP="00BB5769">
            <w:pPr>
              <w:jc w:val="center"/>
              <w:rPr>
                <w:rFonts w:asciiTheme="majorHAnsi" w:hAnsiTheme="majorHAnsi" w:cstheme="majorHAnsi"/>
                <w:sz w:val="18"/>
                <w:szCs w:val="18"/>
              </w:rPr>
            </w:pPr>
            <w:r w:rsidRPr="00F25EBD">
              <w:rPr>
                <w:rFonts w:asciiTheme="majorHAnsi" w:hAnsiTheme="majorHAnsi" w:cstheme="majorHAnsi"/>
                <w:sz w:val="18"/>
                <w:szCs w:val="18"/>
              </w:rPr>
              <w:t>Akcja charytatywna „Gramy dla..”</w:t>
            </w:r>
          </w:p>
        </w:tc>
        <w:tc>
          <w:tcPr>
            <w:tcW w:w="5958" w:type="dxa"/>
            <w:tcBorders>
              <w:top w:val="single" w:sz="4" w:space="0" w:color="808080" w:themeColor="background1" w:themeShade="80"/>
              <w:left w:val="nil"/>
              <w:bottom w:val="single" w:sz="4" w:space="0" w:color="808080" w:themeColor="background1" w:themeShade="80"/>
              <w:right w:val="nil"/>
            </w:tcBorders>
            <w:vAlign w:val="center"/>
          </w:tcPr>
          <w:p w14:paraId="34281446" w14:textId="77777777" w:rsidR="00EA2B5F" w:rsidRPr="00F25EBD" w:rsidRDefault="00EA2B5F" w:rsidP="00BB5769">
            <w:pPr>
              <w:rPr>
                <w:rFonts w:asciiTheme="majorHAnsi" w:hAnsiTheme="majorHAnsi" w:cstheme="majorHAnsi"/>
                <w:sz w:val="18"/>
                <w:szCs w:val="18"/>
              </w:rPr>
            </w:pPr>
            <w:r w:rsidRPr="00F25EBD">
              <w:rPr>
                <w:rFonts w:asciiTheme="majorHAnsi" w:hAnsiTheme="majorHAnsi" w:cstheme="majorHAnsi"/>
                <w:sz w:val="18"/>
                <w:szCs w:val="18"/>
              </w:rPr>
              <w:t xml:space="preserve">Akcja charytatywna „Gramy dla…” jest corocznym działaniem, w trakcie którego prowadzona jest zbiórka pieniędzy dla mieszkańców Powiatu Szczycieńskiego, dotkniętych problemami zdrowotnymi, a którzy nie są w stanie samodzielnie podjąć leczenia lub rehabilitacji. Akcję wieńczy mecz piłkarski pomiędzy Drużyną Gwiazd a Mieszkańcami Szczytna. Grali z nami m.in. Reprezentacja Artystów Polskich, Drużyna Gwiazd TVP czy Tomasz </w:t>
            </w:r>
            <w:proofErr w:type="spellStart"/>
            <w:r w:rsidRPr="00F25EBD">
              <w:rPr>
                <w:rFonts w:asciiTheme="majorHAnsi" w:hAnsiTheme="majorHAnsi" w:cstheme="majorHAnsi"/>
                <w:sz w:val="18"/>
                <w:szCs w:val="18"/>
              </w:rPr>
              <w:t>Oświeciński</w:t>
            </w:r>
            <w:proofErr w:type="spellEnd"/>
          </w:p>
        </w:tc>
        <w:tc>
          <w:tcPr>
            <w:tcW w:w="1565" w:type="dxa"/>
            <w:tcBorders>
              <w:top w:val="single" w:sz="4" w:space="0" w:color="808080" w:themeColor="background1" w:themeShade="80"/>
              <w:left w:val="nil"/>
              <w:bottom w:val="single" w:sz="4" w:space="0" w:color="808080" w:themeColor="background1" w:themeShade="80"/>
              <w:right w:val="nil"/>
            </w:tcBorders>
            <w:vAlign w:val="center"/>
          </w:tcPr>
          <w:p w14:paraId="009E7EBA" w14:textId="77777777" w:rsidR="00EA2B5F" w:rsidRPr="00F25EBD" w:rsidRDefault="00EA2B5F" w:rsidP="00BB5769">
            <w:pPr>
              <w:jc w:val="center"/>
              <w:rPr>
                <w:rFonts w:asciiTheme="majorHAnsi" w:hAnsiTheme="majorHAnsi" w:cstheme="majorHAnsi"/>
                <w:sz w:val="18"/>
                <w:szCs w:val="18"/>
              </w:rPr>
            </w:pPr>
            <w:r w:rsidRPr="00F25EBD">
              <w:rPr>
                <w:rFonts w:asciiTheme="majorHAnsi" w:hAnsiTheme="majorHAnsi" w:cstheme="majorHAnsi"/>
                <w:sz w:val="18"/>
                <w:szCs w:val="18"/>
              </w:rPr>
              <w:t>Działanie cykliczne (2018,2019,2020)</w:t>
            </w:r>
          </w:p>
        </w:tc>
        <w:tc>
          <w:tcPr>
            <w:tcW w:w="2258" w:type="dxa"/>
            <w:tcBorders>
              <w:top w:val="single" w:sz="4" w:space="0" w:color="808080" w:themeColor="background1" w:themeShade="80"/>
              <w:left w:val="nil"/>
              <w:bottom w:val="single" w:sz="4" w:space="0" w:color="808080" w:themeColor="background1" w:themeShade="80"/>
              <w:right w:val="nil"/>
            </w:tcBorders>
            <w:vAlign w:val="center"/>
          </w:tcPr>
          <w:p w14:paraId="5B704903" w14:textId="77777777" w:rsidR="00EA2B5F" w:rsidRPr="00F25EBD" w:rsidRDefault="00EA2B5F" w:rsidP="00BB5769">
            <w:pPr>
              <w:jc w:val="center"/>
              <w:rPr>
                <w:rFonts w:asciiTheme="majorHAnsi" w:hAnsiTheme="majorHAnsi" w:cstheme="majorHAnsi"/>
                <w:sz w:val="18"/>
                <w:szCs w:val="18"/>
              </w:rPr>
            </w:pPr>
            <w:r w:rsidRPr="00F25EBD">
              <w:rPr>
                <w:rFonts w:asciiTheme="majorHAnsi" w:hAnsiTheme="majorHAnsi" w:cstheme="majorHAnsi"/>
                <w:sz w:val="18"/>
                <w:szCs w:val="18"/>
              </w:rPr>
              <w:t>Inicjator: Powiat Szczycieński</w:t>
            </w:r>
          </w:p>
          <w:p w14:paraId="7DADCEB4" w14:textId="3A00E1C0" w:rsidR="00EA2B5F" w:rsidRPr="00F25EBD" w:rsidRDefault="00EA2B5F" w:rsidP="00BB5769">
            <w:pPr>
              <w:jc w:val="center"/>
              <w:rPr>
                <w:rFonts w:asciiTheme="majorHAnsi" w:hAnsiTheme="majorHAnsi" w:cstheme="majorHAnsi"/>
                <w:sz w:val="18"/>
                <w:szCs w:val="18"/>
              </w:rPr>
            </w:pPr>
            <w:r w:rsidRPr="00F25EBD">
              <w:rPr>
                <w:rFonts w:asciiTheme="majorHAnsi" w:hAnsiTheme="majorHAnsi" w:cstheme="majorHAnsi"/>
                <w:sz w:val="18"/>
                <w:szCs w:val="18"/>
              </w:rPr>
              <w:t>Partnerzy: TVP, Miasto Szczytno, 8 Batalion Radiotechniczny w Lipowcu, Jednostki OSP z terenu Powiatu Szczycieńskiego, Stowarzyszenia z terenu Powiatu Szczycieńskiego, PZPN, LOTOS,</w:t>
            </w:r>
            <w:r w:rsidR="007B04A7">
              <w:rPr>
                <w:rFonts w:asciiTheme="majorHAnsi" w:hAnsiTheme="majorHAnsi" w:cstheme="majorHAnsi"/>
                <w:sz w:val="18"/>
                <w:szCs w:val="18"/>
              </w:rPr>
              <w:t xml:space="preserve"> </w:t>
            </w:r>
            <w:r w:rsidRPr="00F25EBD">
              <w:rPr>
                <w:rFonts w:asciiTheme="majorHAnsi" w:hAnsiTheme="majorHAnsi" w:cstheme="majorHAnsi"/>
                <w:sz w:val="18"/>
                <w:szCs w:val="18"/>
              </w:rPr>
              <w:t>US ARMY</w:t>
            </w:r>
          </w:p>
        </w:tc>
        <w:tc>
          <w:tcPr>
            <w:tcW w:w="1984" w:type="dxa"/>
            <w:tcBorders>
              <w:top w:val="single" w:sz="4" w:space="0" w:color="808080" w:themeColor="background1" w:themeShade="80"/>
              <w:left w:val="nil"/>
              <w:bottom w:val="single" w:sz="4" w:space="0" w:color="808080" w:themeColor="background1" w:themeShade="80"/>
              <w:right w:val="nil"/>
            </w:tcBorders>
            <w:vAlign w:val="center"/>
          </w:tcPr>
          <w:p w14:paraId="0FDFDA29" w14:textId="77777777" w:rsidR="00EA2B5F" w:rsidRPr="00F25EBD" w:rsidRDefault="00EA2B5F" w:rsidP="00BB5769">
            <w:pPr>
              <w:jc w:val="center"/>
              <w:rPr>
                <w:rFonts w:asciiTheme="majorHAnsi" w:hAnsiTheme="majorHAnsi" w:cstheme="majorHAnsi"/>
                <w:sz w:val="18"/>
                <w:szCs w:val="18"/>
              </w:rPr>
            </w:pPr>
            <w:r w:rsidRPr="00F25EBD">
              <w:rPr>
                <w:rFonts w:asciiTheme="majorHAnsi" w:hAnsiTheme="majorHAnsi" w:cstheme="majorHAnsi"/>
                <w:sz w:val="18"/>
                <w:szCs w:val="18"/>
              </w:rPr>
              <w:t>Źródło finansowania: Środki własne Powiatu Szczycieńskiego, przedmioty wystawione na licytację charytatywną przekazane przez sponsorów i partnerów</w:t>
            </w:r>
          </w:p>
        </w:tc>
      </w:tr>
      <w:tr w:rsidR="00EA2B5F" w:rsidRPr="00F25EBD" w14:paraId="3FFCE441" w14:textId="77777777" w:rsidTr="00962762">
        <w:tc>
          <w:tcPr>
            <w:tcW w:w="2410" w:type="dxa"/>
            <w:tcBorders>
              <w:top w:val="single" w:sz="4" w:space="0" w:color="808080" w:themeColor="background1" w:themeShade="80"/>
              <w:left w:val="nil"/>
              <w:bottom w:val="single" w:sz="4" w:space="0" w:color="808080" w:themeColor="background1" w:themeShade="80"/>
              <w:right w:val="nil"/>
            </w:tcBorders>
            <w:vAlign w:val="center"/>
          </w:tcPr>
          <w:p w14:paraId="200215CE" w14:textId="77777777" w:rsidR="00EA2B5F" w:rsidRPr="00F25EBD" w:rsidRDefault="00EA2B5F" w:rsidP="00BB5769">
            <w:pPr>
              <w:jc w:val="center"/>
              <w:rPr>
                <w:rFonts w:asciiTheme="majorHAnsi" w:hAnsiTheme="majorHAnsi" w:cstheme="majorHAnsi"/>
                <w:sz w:val="18"/>
                <w:szCs w:val="18"/>
              </w:rPr>
            </w:pPr>
            <w:r w:rsidRPr="00F25EBD">
              <w:rPr>
                <w:rFonts w:asciiTheme="majorHAnsi" w:hAnsiTheme="majorHAnsi" w:cstheme="majorHAnsi"/>
                <w:sz w:val="18"/>
                <w:szCs w:val="18"/>
              </w:rPr>
              <w:t>Projekt „Niepodległa Łączy”</w:t>
            </w:r>
            <w:r w:rsidR="00336D76" w:rsidRPr="00F25EBD">
              <w:rPr>
                <w:rFonts w:asciiTheme="majorHAnsi" w:hAnsiTheme="majorHAnsi" w:cstheme="majorHAnsi"/>
                <w:sz w:val="18"/>
                <w:szCs w:val="18"/>
              </w:rPr>
              <w:t xml:space="preserve"> - </w:t>
            </w:r>
            <w:r w:rsidRPr="00F25EBD">
              <w:rPr>
                <w:rFonts w:asciiTheme="majorHAnsi" w:hAnsiTheme="majorHAnsi" w:cstheme="majorHAnsi"/>
                <w:sz w:val="18"/>
                <w:szCs w:val="18"/>
              </w:rPr>
              <w:t>100 wydarzeń na 100-lecie Niepodległości Polski</w:t>
            </w:r>
          </w:p>
        </w:tc>
        <w:tc>
          <w:tcPr>
            <w:tcW w:w="5958" w:type="dxa"/>
            <w:tcBorders>
              <w:top w:val="single" w:sz="4" w:space="0" w:color="808080" w:themeColor="background1" w:themeShade="80"/>
              <w:left w:val="nil"/>
              <w:bottom w:val="single" w:sz="4" w:space="0" w:color="808080" w:themeColor="background1" w:themeShade="80"/>
              <w:right w:val="nil"/>
            </w:tcBorders>
            <w:vAlign w:val="center"/>
          </w:tcPr>
          <w:p w14:paraId="0B0B362A" w14:textId="77777777" w:rsidR="00EA2B5F" w:rsidRPr="00F25EBD" w:rsidRDefault="00EA2B5F" w:rsidP="00BB5769">
            <w:pPr>
              <w:rPr>
                <w:rFonts w:asciiTheme="majorHAnsi" w:hAnsiTheme="majorHAnsi" w:cstheme="majorHAnsi"/>
                <w:sz w:val="18"/>
                <w:szCs w:val="18"/>
              </w:rPr>
            </w:pPr>
            <w:r w:rsidRPr="00F25EBD">
              <w:rPr>
                <w:rFonts w:asciiTheme="majorHAnsi" w:hAnsiTheme="majorHAnsi" w:cstheme="majorHAnsi"/>
                <w:sz w:val="18"/>
                <w:szCs w:val="18"/>
              </w:rPr>
              <w:t xml:space="preserve">Celem projekt „Niepodległa Łączy” było uczczenie setnej rocznicy odzyskania niepodległości przez Polskę. Aby upamiętnić tą rocznicę, każdy chętny podmiot lub osoba, mogła włączyć się w akcję poprzez zorganizowanie swojego wydarzenia. W ramach akcji wykonano m.in.: 100 flag w barwach narodowych, użytych później w uroczystym pochodzie; prace plastyczne dzieci, przedstawienia w szkołach, prace lokalnych artystów, działania stowarzyszeń. Wydarzenia były prezentowane na stronie internetowej Powiatu oraz na </w:t>
            </w:r>
            <w:proofErr w:type="spellStart"/>
            <w:r w:rsidRPr="00F25EBD">
              <w:rPr>
                <w:rFonts w:asciiTheme="majorHAnsi" w:hAnsiTheme="majorHAnsi" w:cstheme="majorHAnsi"/>
                <w:sz w:val="18"/>
                <w:szCs w:val="18"/>
              </w:rPr>
              <w:t>facebooku</w:t>
            </w:r>
            <w:proofErr w:type="spellEnd"/>
          </w:p>
        </w:tc>
        <w:tc>
          <w:tcPr>
            <w:tcW w:w="1565" w:type="dxa"/>
            <w:tcBorders>
              <w:top w:val="single" w:sz="4" w:space="0" w:color="808080" w:themeColor="background1" w:themeShade="80"/>
              <w:left w:val="nil"/>
              <w:bottom w:val="single" w:sz="4" w:space="0" w:color="808080" w:themeColor="background1" w:themeShade="80"/>
              <w:right w:val="nil"/>
            </w:tcBorders>
            <w:vAlign w:val="center"/>
          </w:tcPr>
          <w:p w14:paraId="482990D2" w14:textId="4EFD26D1" w:rsidR="00EA2B5F" w:rsidRPr="00F25EBD" w:rsidRDefault="00EA2B5F" w:rsidP="00BB5769">
            <w:pPr>
              <w:jc w:val="center"/>
              <w:rPr>
                <w:rFonts w:asciiTheme="majorHAnsi" w:hAnsiTheme="majorHAnsi" w:cstheme="majorHAnsi"/>
                <w:sz w:val="18"/>
                <w:szCs w:val="18"/>
              </w:rPr>
            </w:pPr>
            <w:r w:rsidRPr="00F25EBD">
              <w:rPr>
                <w:rFonts w:asciiTheme="majorHAnsi" w:hAnsiTheme="majorHAnsi" w:cstheme="majorHAnsi"/>
                <w:sz w:val="18"/>
                <w:szCs w:val="18"/>
              </w:rPr>
              <w:t>Działanie jednorazowe (2018</w:t>
            </w:r>
            <w:r w:rsidR="00F7062F">
              <w:rPr>
                <w:rFonts w:asciiTheme="majorHAnsi" w:hAnsiTheme="majorHAnsi" w:cstheme="majorHAnsi"/>
                <w:sz w:val="18"/>
                <w:szCs w:val="18"/>
              </w:rPr>
              <w:t>r.</w:t>
            </w:r>
            <w:r w:rsidRPr="00F25EBD">
              <w:rPr>
                <w:rFonts w:asciiTheme="majorHAnsi" w:hAnsiTheme="majorHAnsi" w:cstheme="majorHAnsi"/>
                <w:sz w:val="18"/>
                <w:szCs w:val="18"/>
              </w:rPr>
              <w:t>)</w:t>
            </w:r>
          </w:p>
        </w:tc>
        <w:tc>
          <w:tcPr>
            <w:tcW w:w="2258" w:type="dxa"/>
            <w:tcBorders>
              <w:top w:val="single" w:sz="4" w:space="0" w:color="808080" w:themeColor="background1" w:themeShade="80"/>
              <w:left w:val="nil"/>
              <w:bottom w:val="single" w:sz="4" w:space="0" w:color="808080" w:themeColor="background1" w:themeShade="80"/>
              <w:right w:val="nil"/>
            </w:tcBorders>
            <w:vAlign w:val="center"/>
          </w:tcPr>
          <w:p w14:paraId="7DA59E87" w14:textId="77777777" w:rsidR="00EA2B5F" w:rsidRPr="00F25EBD" w:rsidRDefault="00EA2B5F" w:rsidP="00BB5769">
            <w:pPr>
              <w:jc w:val="center"/>
              <w:rPr>
                <w:rFonts w:asciiTheme="majorHAnsi" w:hAnsiTheme="majorHAnsi" w:cstheme="majorHAnsi"/>
                <w:sz w:val="18"/>
                <w:szCs w:val="18"/>
              </w:rPr>
            </w:pPr>
            <w:r w:rsidRPr="00F25EBD">
              <w:rPr>
                <w:rFonts w:asciiTheme="majorHAnsi" w:hAnsiTheme="majorHAnsi" w:cstheme="majorHAnsi"/>
                <w:sz w:val="18"/>
                <w:szCs w:val="18"/>
              </w:rPr>
              <w:t>Inicjator: Powiat Szczycieński</w:t>
            </w:r>
          </w:p>
          <w:p w14:paraId="55BFA3DE" w14:textId="77777777" w:rsidR="00EA2B5F" w:rsidRPr="00F25EBD" w:rsidRDefault="00EA2B5F" w:rsidP="00BB5769">
            <w:pPr>
              <w:jc w:val="center"/>
              <w:rPr>
                <w:rFonts w:asciiTheme="majorHAnsi" w:hAnsiTheme="majorHAnsi" w:cstheme="majorHAnsi"/>
                <w:sz w:val="18"/>
                <w:szCs w:val="18"/>
              </w:rPr>
            </w:pPr>
            <w:r w:rsidRPr="00F25EBD">
              <w:rPr>
                <w:rFonts w:asciiTheme="majorHAnsi" w:hAnsiTheme="majorHAnsi" w:cstheme="majorHAnsi"/>
                <w:sz w:val="18"/>
                <w:szCs w:val="18"/>
              </w:rPr>
              <w:t>Partnerzy: Miasta i Gminy z terenu Powiatu Szczycieńskiego, Stowarzyszenia, szkoły, osoby fizyczne.</w:t>
            </w:r>
          </w:p>
        </w:tc>
        <w:tc>
          <w:tcPr>
            <w:tcW w:w="1984" w:type="dxa"/>
            <w:tcBorders>
              <w:top w:val="single" w:sz="4" w:space="0" w:color="808080" w:themeColor="background1" w:themeShade="80"/>
              <w:left w:val="nil"/>
              <w:bottom w:val="single" w:sz="4" w:space="0" w:color="808080" w:themeColor="background1" w:themeShade="80"/>
              <w:right w:val="nil"/>
            </w:tcBorders>
            <w:vAlign w:val="center"/>
          </w:tcPr>
          <w:p w14:paraId="33FE5B2F" w14:textId="77777777" w:rsidR="00EA2B5F" w:rsidRPr="00F25EBD" w:rsidRDefault="00EA2B5F" w:rsidP="00BB5769">
            <w:pPr>
              <w:jc w:val="center"/>
              <w:rPr>
                <w:rFonts w:asciiTheme="majorHAnsi" w:hAnsiTheme="majorHAnsi" w:cstheme="majorHAnsi"/>
                <w:sz w:val="18"/>
                <w:szCs w:val="18"/>
              </w:rPr>
            </w:pPr>
            <w:r w:rsidRPr="00F25EBD">
              <w:rPr>
                <w:rFonts w:asciiTheme="majorHAnsi" w:hAnsiTheme="majorHAnsi" w:cstheme="majorHAnsi"/>
                <w:sz w:val="18"/>
                <w:szCs w:val="18"/>
              </w:rPr>
              <w:t>Źródło finansowania: Środki własne Powiatu Szczycieńskiego.</w:t>
            </w:r>
          </w:p>
        </w:tc>
      </w:tr>
      <w:tr w:rsidR="00EA2B5F" w:rsidRPr="00F25EBD" w14:paraId="502938AC" w14:textId="77777777" w:rsidTr="00962762">
        <w:tc>
          <w:tcPr>
            <w:tcW w:w="2410" w:type="dxa"/>
            <w:tcBorders>
              <w:top w:val="single" w:sz="4" w:space="0" w:color="808080" w:themeColor="background1" w:themeShade="80"/>
              <w:left w:val="nil"/>
              <w:bottom w:val="single" w:sz="4" w:space="0" w:color="808080" w:themeColor="background1" w:themeShade="80"/>
              <w:right w:val="nil"/>
            </w:tcBorders>
            <w:vAlign w:val="center"/>
          </w:tcPr>
          <w:p w14:paraId="63CD64B5" w14:textId="77777777" w:rsidR="00EA2B5F" w:rsidRPr="00F25EBD" w:rsidRDefault="00EA2B5F" w:rsidP="00BB5769">
            <w:pPr>
              <w:jc w:val="center"/>
              <w:rPr>
                <w:rFonts w:asciiTheme="majorHAnsi" w:hAnsiTheme="majorHAnsi" w:cstheme="majorHAnsi"/>
                <w:sz w:val="18"/>
                <w:szCs w:val="18"/>
              </w:rPr>
            </w:pPr>
            <w:r w:rsidRPr="00F25EBD">
              <w:rPr>
                <w:rFonts w:asciiTheme="majorHAnsi" w:hAnsiTheme="majorHAnsi" w:cstheme="majorHAnsi"/>
                <w:sz w:val="18"/>
                <w:szCs w:val="18"/>
              </w:rPr>
              <w:t>Powiatowy Rajd Rowerowy</w:t>
            </w:r>
          </w:p>
        </w:tc>
        <w:tc>
          <w:tcPr>
            <w:tcW w:w="5958" w:type="dxa"/>
            <w:tcBorders>
              <w:top w:val="single" w:sz="4" w:space="0" w:color="808080" w:themeColor="background1" w:themeShade="80"/>
              <w:left w:val="nil"/>
              <w:bottom w:val="single" w:sz="4" w:space="0" w:color="808080" w:themeColor="background1" w:themeShade="80"/>
              <w:right w:val="nil"/>
            </w:tcBorders>
            <w:vAlign w:val="center"/>
          </w:tcPr>
          <w:p w14:paraId="599D5E73" w14:textId="36A6FEA8" w:rsidR="00EA2B5F" w:rsidRPr="00F25EBD" w:rsidRDefault="00EA2B5F" w:rsidP="00BB5769">
            <w:pPr>
              <w:rPr>
                <w:rFonts w:asciiTheme="majorHAnsi" w:hAnsiTheme="majorHAnsi" w:cstheme="majorHAnsi"/>
                <w:sz w:val="18"/>
                <w:szCs w:val="18"/>
              </w:rPr>
            </w:pPr>
            <w:r w:rsidRPr="00F25EBD">
              <w:rPr>
                <w:rFonts w:asciiTheme="majorHAnsi" w:hAnsiTheme="majorHAnsi" w:cstheme="majorHAnsi"/>
                <w:sz w:val="18"/>
                <w:szCs w:val="18"/>
              </w:rPr>
              <w:t>Działanie polegało na zorganizowaniu Rajdu Rowerowego z miejscowości Nowe Gizewo do siedziby Leśnictwa Lipnik, gdzie miało miejsce ognisko, zorganizowano konkursy i zabawy dla dzieci i dorosłych a także rodzinny mecz piłki nożnej. Celem działania było zintegrowanie lokalnej społeczności oraz pokazanie alternatywnych form spędzania wolnego czasu.</w:t>
            </w:r>
            <w:r w:rsidR="007B04A7">
              <w:rPr>
                <w:rFonts w:asciiTheme="majorHAnsi" w:hAnsiTheme="majorHAnsi" w:cstheme="majorHAnsi"/>
                <w:sz w:val="18"/>
                <w:szCs w:val="18"/>
              </w:rPr>
              <w:t xml:space="preserve"> </w:t>
            </w:r>
            <w:r w:rsidRPr="00F25EBD">
              <w:rPr>
                <w:rFonts w:asciiTheme="majorHAnsi" w:hAnsiTheme="majorHAnsi" w:cstheme="majorHAnsi"/>
                <w:sz w:val="18"/>
                <w:szCs w:val="18"/>
              </w:rPr>
              <w:t>W rajdzie wzięło udział ponad 100 mieszkańców Powiatu Szczycieńskiego</w:t>
            </w:r>
          </w:p>
        </w:tc>
        <w:tc>
          <w:tcPr>
            <w:tcW w:w="1565" w:type="dxa"/>
            <w:tcBorders>
              <w:top w:val="single" w:sz="4" w:space="0" w:color="808080" w:themeColor="background1" w:themeShade="80"/>
              <w:left w:val="nil"/>
              <w:bottom w:val="single" w:sz="4" w:space="0" w:color="808080" w:themeColor="background1" w:themeShade="80"/>
              <w:right w:val="nil"/>
            </w:tcBorders>
            <w:vAlign w:val="center"/>
          </w:tcPr>
          <w:p w14:paraId="053D54CC" w14:textId="4DD0012C" w:rsidR="00EA2B5F" w:rsidRPr="00F25EBD" w:rsidRDefault="00EA2B5F" w:rsidP="00BB5769">
            <w:pPr>
              <w:jc w:val="center"/>
              <w:rPr>
                <w:rFonts w:asciiTheme="majorHAnsi" w:hAnsiTheme="majorHAnsi" w:cstheme="majorHAnsi"/>
                <w:sz w:val="18"/>
                <w:szCs w:val="18"/>
              </w:rPr>
            </w:pPr>
            <w:r w:rsidRPr="00F25EBD">
              <w:rPr>
                <w:rFonts w:asciiTheme="majorHAnsi" w:hAnsiTheme="majorHAnsi" w:cstheme="majorHAnsi"/>
                <w:sz w:val="18"/>
                <w:szCs w:val="18"/>
              </w:rPr>
              <w:t>Działanie jednorazowe (2018</w:t>
            </w:r>
            <w:r w:rsidR="00F7062F">
              <w:rPr>
                <w:rFonts w:asciiTheme="majorHAnsi" w:hAnsiTheme="majorHAnsi" w:cstheme="majorHAnsi"/>
                <w:sz w:val="18"/>
                <w:szCs w:val="18"/>
              </w:rPr>
              <w:t>r.</w:t>
            </w:r>
            <w:r w:rsidRPr="00F25EBD">
              <w:rPr>
                <w:rFonts w:asciiTheme="majorHAnsi" w:hAnsiTheme="majorHAnsi" w:cstheme="majorHAnsi"/>
                <w:sz w:val="18"/>
                <w:szCs w:val="18"/>
              </w:rPr>
              <w:t>)</w:t>
            </w:r>
          </w:p>
        </w:tc>
        <w:tc>
          <w:tcPr>
            <w:tcW w:w="2258" w:type="dxa"/>
            <w:tcBorders>
              <w:top w:val="single" w:sz="4" w:space="0" w:color="808080" w:themeColor="background1" w:themeShade="80"/>
              <w:left w:val="nil"/>
              <w:bottom w:val="single" w:sz="4" w:space="0" w:color="808080" w:themeColor="background1" w:themeShade="80"/>
              <w:right w:val="nil"/>
            </w:tcBorders>
            <w:vAlign w:val="center"/>
          </w:tcPr>
          <w:p w14:paraId="1CEAC29F" w14:textId="77777777" w:rsidR="00EA2B5F" w:rsidRPr="00F25EBD" w:rsidRDefault="00EA2B5F" w:rsidP="00BB5769">
            <w:pPr>
              <w:jc w:val="center"/>
              <w:rPr>
                <w:rFonts w:asciiTheme="majorHAnsi" w:hAnsiTheme="majorHAnsi" w:cstheme="majorHAnsi"/>
                <w:sz w:val="18"/>
                <w:szCs w:val="18"/>
              </w:rPr>
            </w:pPr>
            <w:r w:rsidRPr="00F25EBD">
              <w:rPr>
                <w:rFonts w:asciiTheme="majorHAnsi" w:hAnsiTheme="majorHAnsi" w:cstheme="majorHAnsi"/>
                <w:sz w:val="18"/>
                <w:szCs w:val="18"/>
              </w:rPr>
              <w:t>Inicjator: Powiat Szczycieński</w:t>
            </w:r>
          </w:p>
          <w:p w14:paraId="7538FD30" w14:textId="77777777" w:rsidR="00EA2B5F" w:rsidRPr="00F25EBD" w:rsidRDefault="00EA2B5F" w:rsidP="00BB5769">
            <w:pPr>
              <w:jc w:val="center"/>
              <w:rPr>
                <w:rFonts w:asciiTheme="majorHAnsi" w:hAnsiTheme="majorHAnsi" w:cstheme="majorHAnsi"/>
                <w:sz w:val="18"/>
                <w:szCs w:val="18"/>
              </w:rPr>
            </w:pPr>
            <w:r w:rsidRPr="00F25EBD">
              <w:rPr>
                <w:rFonts w:asciiTheme="majorHAnsi" w:hAnsiTheme="majorHAnsi" w:cstheme="majorHAnsi"/>
                <w:sz w:val="18"/>
                <w:szCs w:val="18"/>
              </w:rPr>
              <w:t>Partnerzy: Nadleśnictwo Szczytno, Komenda Powiatowa Policji w Szczytnie.</w:t>
            </w:r>
          </w:p>
        </w:tc>
        <w:tc>
          <w:tcPr>
            <w:tcW w:w="1984" w:type="dxa"/>
            <w:tcBorders>
              <w:top w:val="single" w:sz="4" w:space="0" w:color="808080" w:themeColor="background1" w:themeShade="80"/>
              <w:left w:val="nil"/>
              <w:bottom w:val="single" w:sz="4" w:space="0" w:color="808080" w:themeColor="background1" w:themeShade="80"/>
              <w:right w:val="nil"/>
            </w:tcBorders>
            <w:vAlign w:val="center"/>
          </w:tcPr>
          <w:p w14:paraId="265619D1" w14:textId="77777777" w:rsidR="00EA2B5F" w:rsidRPr="00F25EBD" w:rsidRDefault="00EA2B5F" w:rsidP="00BB5769">
            <w:pPr>
              <w:jc w:val="center"/>
              <w:rPr>
                <w:rFonts w:asciiTheme="majorHAnsi" w:hAnsiTheme="majorHAnsi" w:cstheme="majorHAnsi"/>
                <w:sz w:val="18"/>
                <w:szCs w:val="18"/>
              </w:rPr>
            </w:pPr>
            <w:r w:rsidRPr="00F25EBD">
              <w:rPr>
                <w:rFonts w:asciiTheme="majorHAnsi" w:hAnsiTheme="majorHAnsi" w:cstheme="majorHAnsi"/>
                <w:sz w:val="18"/>
                <w:szCs w:val="18"/>
              </w:rPr>
              <w:t>Źródło Finansowania: Środki własne Powiatu Szczycieńskiego; Środki własne Nadleśnictwa Szczytno.</w:t>
            </w:r>
          </w:p>
        </w:tc>
      </w:tr>
      <w:tr w:rsidR="00EA2B5F" w:rsidRPr="00F25EBD" w14:paraId="6D8C8AB4" w14:textId="77777777" w:rsidTr="00962762">
        <w:tc>
          <w:tcPr>
            <w:tcW w:w="2410" w:type="dxa"/>
            <w:tcBorders>
              <w:top w:val="single" w:sz="4" w:space="0" w:color="808080" w:themeColor="background1" w:themeShade="80"/>
              <w:left w:val="nil"/>
              <w:bottom w:val="single" w:sz="4" w:space="0" w:color="808080" w:themeColor="background1" w:themeShade="80"/>
              <w:right w:val="nil"/>
            </w:tcBorders>
            <w:vAlign w:val="center"/>
          </w:tcPr>
          <w:p w14:paraId="586FFED7" w14:textId="77777777" w:rsidR="00EA2B5F" w:rsidRPr="00F25EBD" w:rsidRDefault="00EA2B5F" w:rsidP="00BB5769">
            <w:pPr>
              <w:jc w:val="center"/>
              <w:rPr>
                <w:rFonts w:asciiTheme="majorHAnsi" w:hAnsiTheme="majorHAnsi" w:cstheme="majorHAnsi"/>
                <w:sz w:val="18"/>
                <w:szCs w:val="18"/>
              </w:rPr>
            </w:pPr>
            <w:r w:rsidRPr="00F25EBD">
              <w:rPr>
                <w:rFonts w:asciiTheme="majorHAnsi" w:hAnsiTheme="majorHAnsi" w:cstheme="majorHAnsi"/>
                <w:sz w:val="18"/>
                <w:szCs w:val="18"/>
              </w:rPr>
              <w:t>Promocja rodzicielstwa</w:t>
            </w:r>
          </w:p>
        </w:tc>
        <w:tc>
          <w:tcPr>
            <w:tcW w:w="5958" w:type="dxa"/>
            <w:tcBorders>
              <w:top w:val="single" w:sz="4" w:space="0" w:color="808080" w:themeColor="background1" w:themeShade="80"/>
              <w:left w:val="nil"/>
              <w:bottom w:val="single" w:sz="4" w:space="0" w:color="808080" w:themeColor="background1" w:themeShade="80"/>
              <w:right w:val="nil"/>
            </w:tcBorders>
            <w:vAlign w:val="center"/>
          </w:tcPr>
          <w:p w14:paraId="5B906E92" w14:textId="77777777" w:rsidR="00EA2B5F" w:rsidRPr="00F25EBD" w:rsidRDefault="00EA2B5F" w:rsidP="00BB5769">
            <w:pPr>
              <w:rPr>
                <w:rFonts w:asciiTheme="majorHAnsi" w:hAnsiTheme="majorHAnsi" w:cstheme="majorHAnsi"/>
                <w:sz w:val="18"/>
                <w:szCs w:val="18"/>
              </w:rPr>
            </w:pPr>
            <w:r w:rsidRPr="00F25EBD">
              <w:rPr>
                <w:rFonts w:asciiTheme="majorHAnsi" w:hAnsiTheme="majorHAnsi" w:cstheme="majorHAnsi"/>
                <w:sz w:val="18"/>
                <w:szCs w:val="18"/>
              </w:rPr>
              <w:t>W ramach promocji rodzicielstwa zastępczego zostały rozdysponowane ulotki, plakaty, rysunki dzieci dotyczące ich obrazu rodziny a także artykuły w lokalnych gazetach mające na celu przybliżenie funkcji rodzin zastępczych oraz pozyskanie nowych kandydatów. Każdej osobie zainteresowanej funkcją rodziny zastępczej udzielane są szczegółowe informacje, a następnie kwalifikacja kandydatów na szkolenie dla rodzin zastępczych. W roku 2019 zakwalifikowano do szkolenia 5 osób, które zostało przeszkolone przez Warmińsko-Mazurski Ośrodek adopcyjny w Olsztynie</w:t>
            </w:r>
          </w:p>
        </w:tc>
        <w:tc>
          <w:tcPr>
            <w:tcW w:w="1565" w:type="dxa"/>
            <w:tcBorders>
              <w:top w:val="single" w:sz="4" w:space="0" w:color="808080" w:themeColor="background1" w:themeShade="80"/>
              <w:left w:val="nil"/>
              <w:bottom w:val="single" w:sz="4" w:space="0" w:color="808080" w:themeColor="background1" w:themeShade="80"/>
              <w:right w:val="nil"/>
            </w:tcBorders>
            <w:vAlign w:val="center"/>
          </w:tcPr>
          <w:p w14:paraId="4EEEC987" w14:textId="7553A6F2" w:rsidR="00EA2B5F" w:rsidRPr="00F25EBD" w:rsidRDefault="00EA2B5F" w:rsidP="00BB5769">
            <w:pPr>
              <w:jc w:val="center"/>
              <w:rPr>
                <w:rFonts w:asciiTheme="majorHAnsi" w:hAnsiTheme="majorHAnsi" w:cstheme="majorHAnsi"/>
                <w:sz w:val="18"/>
                <w:szCs w:val="18"/>
              </w:rPr>
            </w:pPr>
            <w:r w:rsidRPr="00F25EBD">
              <w:rPr>
                <w:rFonts w:asciiTheme="majorHAnsi" w:hAnsiTheme="majorHAnsi" w:cstheme="majorHAnsi"/>
                <w:sz w:val="18"/>
                <w:szCs w:val="18"/>
              </w:rPr>
              <w:t>Cy</w:t>
            </w:r>
            <w:r w:rsidR="00B27061">
              <w:rPr>
                <w:rFonts w:asciiTheme="majorHAnsi" w:hAnsiTheme="majorHAnsi" w:cstheme="majorHAnsi"/>
                <w:sz w:val="18"/>
                <w:szCs w:val="18"/>
              </w:rPr>
              <w:t>k</w:t>
            </w:r>
            <w:r w:rsidRPr="00F25EBD">
              <w:rPr>
                <w:rFonts w:asciiTheme="majorHAnsi" w:hAnsiTheme="majorHAnsi" w:cstheme="majorHAnsi"/>
                <w:sz w:val="18"/>
                <w:szCs w:val="18"/>
              </w:rPr>
              <w:t>liczne</w:t>
            </w:r>
          </w:p>
        </w:tc>
        <w:tc>
          <w:tcPr>
            <w:tcW w:w="2258" w:type="dxa"/>
            <w:tcBorders>
              <w:top w:val="single" w:sz="4" w:space="0" w:color="808080" w:themeColor="background1" w:themeShade="80"/>
              <w:left w:val="nil"/>
              <w:bottom w:val="single" w:sz="4" w:space="0" w:color="808080" w:themeColor="background1" w:themeShade="80"/>
              <w:right w:val="nil"/>
            </w:tcBorders>
            <w:vAlign w:val="center"/>
          </w:tcPr>
          <w:p w14:paraId="39B62EDD" w14:textId="77777777" w:rsidR="00EA2B5F" w:rsidRPr="00F25EBD" w:rsidRDefault="00EA2B5F" w:rsidP="00BB5769">
            <w:pPr>
              <w:jc w:val="center"/>
              <w:rPr>
                <w:rFonts w:asciiTheme="majorHAnsi" w:hAnsiTheme="majorHAnsi" w:cstheme="majorHAnsi"/>
                <w:sz w:val="18"/>
                <w:szCs w:val="18"/>
              </w:rPr>
            </w:pPr>
            <w:r w:rsidRPr="00F25EBD">
              <w:rPr>
                <w:rFonts w:asciiTheme="majorHAnsi" w:hAnsiTheme="majorHAnsi" w:cstheme="majorHAnsi"/>
                <w:sz w:val="18"/>
                <w:szCs w:val="18"/>
              </w:rPr>
              <w:t>PCPR</w:t>
            </w:r>
          </w:p>
        </w:tc>
        <w:tc>
          <w:tcPr>
            <w:tcW w:w="1984" w:type="dxa"/>
            <w:tcBorders>
              <w:top w:val="single" w:sz="4" w:space="0" w:color="808080" w:themeColor="background1" w:themeShade="80"/>
              <w:left w:val="nil"/>
              <w:bottom w:val="single" w:sz="4" w:space="0" w:color="808080" w:themeColor="background1" w:themeShade="80"/>
              <w:right w:val="nil"/>
            </w:tcBorders>
            <w:vAlign w:val="center"/>
          </w:tcPr>
          <w:p w14:paraId="1D30A091" w14:textId="77777777" w:rsidR="00EA2B5F" w:rsidRPr="00F25EBD" w:rsidRDefault="00EA2B5F" w:rsidP="00BB5769">
            <w:pPr>
              <w:jc w:val="center"/>
              <w:rPr>
                <w:rFonts w:asciiTheme="majorHAnsi" w:hAnsiTheme="majorHAnsi" w:cstheme="majorHAnsi"/>
                <w:sz w:val="18"/>
                <w:szCs w:val="18"/>
              </w:rPr>
            </w:pPr>
            <w:r w:rsidRPr="00F25EBD">
              <w:rPr>
                <w:rFonts w:asciiTheme="majorHAnsi" w:hAnsiTheme="majorHAnsi" w:cstheme="majorHAnsi"/>
                <w:sz w:val="18"/>
                <w:szCs w:val="18"/>
              </w:rPr>
              <w:t>Środki własne</w:t>
            </w:r>
          </w:p>
        </w:tc>
      </w:tr>
    </w:tbl>
    <w:p w14:paraId="43B205CA" w14:textId="77777777" w:rsidR="00EA2B5F" w:rsidRPr="00F25EBD" w:rsidRDefault="00EA2B5F" w:rsidP="00FC7062">
      <w:pPr>
        <w:spacing w:after="0" w:line="276" w:lineRule="auto"/>
        <w:jc w:val="both"/>
        <w:rPr>
          <w:rFonts w:asciiTheme="majorHAnsi" w:hAnsiTheme="majorHAnsi" w:cstheme="majorHAnsi"/>
          <w:sz w:val="18"/>
          <w:szCs w:val="18"/>
        </w:rPr>
      </w:pPr>
      <w:r w:rsidRPr="00F25EBD">
        <w:rPr>
          <w:rFonts w:asciiTheme="majorHAnsi" w:hAnsiTheme="majorHAnsi" w:cstheme="majorHAnsi"/>
          <w:sz w:val="18"/>
          <w:szCs w:val="18"/>
        </w:rPr>
        <w:t>Źródło: informacje pozyskane ze Starostw Powiatowych.</w:t>
      </w:r>
    </w:p>
    <w:p w14:paraId="1F94ED87" w14:textId="77777777" w:rsidR="00EA2B5F" w:rsidRPr="00F25EBD" w:rsidRDefault="00EA2B5F" w:rsidP="00FC7062">
      <w:pPr>
        <w:spacing w:after="0" w:line="276" w:lineRule="auto"/>
        <w:jc w:val="both"/>
        <w:rPr>
          <w:rFonts w:asciiTheme="majorHAnsi" w:hAnsiTheme="majorHAnsi" w:cstheme="majorHAnsi"/>
        </w:rPr>
      </w:pPr>
    </w:p>
    <w:p w14:paraId="2F691109" w14:textId="77777777" w:rsidR="007F1C60" w:rsidRPr="00F25EBD" w:rsidRDefault="007F1C60" w:rsidP="00FC7062">
      <w:pPr>
        <w:spacing w:line="276" w:lineRule="auto"/>
        <w:rPr>
          <w:rFonts w:asciiTheme="majorHAnsi" w:hAnsiTheme="majorHAnsi" w:cstheme="majorHAnsi"/>
          <w:b/>
          <w:bCs/>
          <w:noProof/>
        </w:rPr>
        <w:sectPr w:rsidR="007F1C60" w:rsidRPr="00F25EBD" w:rsidSect="00962762">
          <w:pgSz w:w="16838" w:h="11906" w:orient="landscape"/>
          <w:pgMar w:top="1418" w:right="1418" w:bottom="1418" w:left="1418" w:header="709" w:footer="709" w:gutter="0"/>
          <w:cols w:space="708"/>
          <w:docGrid w:linePitch="360"/>
        </w:sectPr>
      </w:pPr>
    </w:p>
    <w:p w14:paraId="65BCC87C" w14:textId="2E2908E3" w:rsidR="009042CB" w:rsidRPr="00F25EBD" w:rsidRDefault="009042CB" w:rsidP="009042CB">
      <w:pPr>
        <w:pStyle w:val="Nagwek2"/>
        <w:spacing w:before="0"/>
        <w:jc w:val="both"/>
        <w:rPr>
          <w:rFonts w:cstheme="majorHAnsi"/>
        </w:rPr>
      </w:pPr>
      <w:bookmarkStart w:id="86" w:name="_Toc77070623"/>
      <w:r>
        <w:rPr>
          <w:rFonts w:cstheme="majorHAnsi"/>
        </w:rPr>
        <w:t>7.4 Współpraca</w:t>
      </w:r>
      <w:r w:rsidRPr="00F25EBD">
        <w:rPr>
          <w:rFonts w:cstheme="majorHAnsi"/>
        </w:rPr>
        <w:t xml:space="preserve"> powiatów</w:t>
      </w:r>
      <w:r>
        <w:rPr>
          <w:rFonts w:cstheme="majorHAnsi"/>
        </w:rPr>
        <w:t xml:space="preserve"> OF</w:t>
      </w:r>
      <w:bookmarkEnd w:id="86"/>
    </w:p>
    <w:p w14:paraId="697FC531" w14:textId="4CFA99CF" w:rsidR="009042CB" w:rsidRDefault="004F0157" w:rsidP="00E82B4B">
      <w:pPr>
        <w:spacing w:line="276" w:lineRule="auto"/>
        <w:jc w:val="both"/>
        <w:rPr>
          <w:rFonts w:asciiTheme="majorHAnsi" w:hAnsiTheme="majorHAnsi" w:cstheme="majorHAnsi"/>
        </w:rPr>
      </w:pPr>
      <w:r>
        <w:rPr>
          <w:rFonts w:asciiTheme="majorHAnsi" w:hAnsiTheme="majorHAnsi" w:cstheme="majorHAnsi"/>
        </w:rPr>
        <w:t>Przejawem z</w:t>
      </w:r>
      <w:r w:rsidR="009042CB">
        <w:rPr>
          <w:rFonts w:asciiTheme="majorHAnsi" w:hAnsiTheme="majorHAnsi" w:cstheme="majorHAnsi"/>
        </w:rPr>
        <w:t>instytucjonalizowan</w:t>
      </w:r>
      <w:r>
        <w:rPr>
          <w:rFonts w:asciiTheme="majorHAnsi" w:hAnsiTheme="majorHAnsi" w:cstheme="majorHAnsi"/>
        </w:rPr>
        <w:t>ych form</w:t>
      </w:r>
      <w:r w:rsidR="009042CB">
        <w:rPr>
          <w:rFonts w:asciiTheme="majorHAnsi" w:hAnsiTheme="majorHAnsi" w:cstheme="majorHAnsi"/>
        </w:rPr>
        <w:t xml:space="preserve"> współprac</w:t>
      </w:r>
      <w:r>
        <w:rPr>
          <w:rFonts w:asciiTheme="majorHAnsi" w:hAnsiTheme="majorHAnsi" w:cstheme="majorHAnsi"/>
        </w:rPr>
        <w:t>y</w:t>
      </w:r>
      <w:r w:rsidR="009042CB">
        <w:rPr>
          <w:rFonts w:asciiTheme="majorHAnsi" w:hAnsiTheme="majorHAnsi" w:cstheme="majorHAnsi"/>
        </w:rPr>
        <w:t xml:space="preserve"> powiatów OF Południowe Mazury </w:t>
      </w:r>
      <w:r w:rsidR="007B23D5">
        <w:rPr>
          <w:rFonts w:asciiTheme="majorHAnsi" w:hAnsiTheme="majorHAnsi" w:cstheme="majorHAnsi"/>
        </w:rPr>
        <w:t xml:space="preserve">są </w:t>
      </w:r>
      <w:r>
        <w:rPr>
          <w:rFonts w:asciiTheme="majorHAnsi" w:hAnsiTheme="majorHAnsi" w:cstheme="majorHAnsi"/>
        </w:rPr>
        <w:t>lokaln</w:t>
      </w:r>
      <w:r w:rsidR="007B23D5">
        <w:rPr>
          <w:rFonts w:asciiTheme="majorHAnsi" w:hAnsiTheme="majorHAnsi" w:cstheme="majorHAnsi"/>
        </w:rPr>
        <w:t>e</w:t>
      </w:r>
      <w:r>
        <w:rPr>
          <w:rFonts w:asciiTheme="majorHAnsi" w:hAnsiTheme="majorHAnsi" w:cstheme="majorHAnsi"/>
        </w:rPr>
        <w:t xml:space="preserve"> grup</w:t>
      </w:r>
      <w:r w:rsidR="007B23D5">
        <w:rPr>
          <w:rFonts w:asciiTheme="majorHAnsi" w:hAnsiTheme="majorHAnsi" w:cstheme="majorHAnsi"/>
        </w:rPr>
        <w:t>y</w:t>
      </w:r>
      <w:r>
        <w:rPr>
          <w:rFonts w:asciiTheme="majorHAnsi" w:hAnsiTheme="majorHAnsi" w:cstheme="majorHAnsi"/>
        </w:rPr>
        <w:t xml:space="preserve"> działania</w:t>
      </w:r>
      <w:r w:rsidR="009042CB">
        <w:rPr>
          <w:rFonts w:asciiTheme="majorHAnsi" w:hAnsiTheme="majorHAnsi" w:cstheme="majorHAnsi"/>
        </w:rPr>
        <w:t>, tj.</w:t>
      </w:r>
      <w:r w:rsidRPr="004F0157">
        <w:rPr>
          <w:rFonts w:asciiTheme="majorHAnsi" w:hAnsiTheme="majorHAnsi" w:cstheme="majorHAnsi"/>
        </w:rPr>
        <w:t xml:space="preserve"> partnerstwa terytorialne tworzone na obszarach wiejskich, zrzeszające przedstawicieli lokalnych organizacji (z sektora publicznego, prywatnego i</w:t>
      </w:r>
      <w:r w:rsidR="007B04A7">
        <w:rPr>
          <w:rFonts w:asciiTheme="majorHAnsi" w:hAnsiTheme="majorHAnsi" w:cstheme="majorHAnsi"/>
        </w:rPr>
        <w:t xml:space="preserve"> </w:t>
      </w:r>
      <w:r w:rsidRPr="004F0157">
        <w:rPr>
          <w:rFonts w:asciiTheme="majorHAnsi" w:hAnsiTheme="majorHAnsi" w:cstheme="majorHAnsi"/>
        </w:rPr>
        <w:t>pozarządowego) oraz mieszkańców danego obszaru wyznaczonego granicą gmin członkowskich.</w:t>
      </w:r>
      <w:r>
        <w:rPr>
          <w:rFonts w:asciiTheme="majorHAnsi" w:hAnsiTheme="majorHAnsi" w:cstheme="majorHAnsi"/>
        </w:rPr>
        <w:t xml:space="preserve"> </w:t>
      </w:r>
      <w:r w:rsidRPr="004F0157">
        <w:rPr>
          <w:rFonts w:asciiTheme="majorHAnsi" w:hAnsiTheme="majorHAnsi" w:cstheme="majorHAnsi"/>
        </w:rPr>
        <w:t>Członkami tych organizacji mogą być m.in. przedstawiciele samorządów gmin, placówek oświaty, kultury, parafii, organizacji i</w:t>
      </w:r>
      <w:r w:rsidR="00575FF9">
        <w:rPr>
          <w:rFonts w:asciiTheme="majorHAnsi" w:hAnsiTheme="majorHAnsi" w:cstheme="majorHAnsi"/>
        </w:rPr>
        <w:t> </w:t>
      </w:r>
      <w:r w:rsidRPr="004F0157">
        <w:rPr>
          <w:rFonts w:asciiTheme="majorHAnsi" w:hAnsiTheme="majorHAnsi" w:cstheme="majorHAnsi"/>
        </w:rPr>
        <w:t>stowarzyszeń działających na danym terenie, firm, spółdzielni itp., a</w:t>
      </w:r>
      <w:r w:rsidR="007B04A7">
        <w:rPr>
          <w:rFonts w:asciiTheme="majorHAnsi" w:hAnsiTheme="majorHAnsi" w:cstheme="majorHAnsi"/>
        </w:rPr>
        <w:t xml:space="preserve"> </w:t>
      </w:r>
      <w:r w:rsidRPr="004F0157">
        <w:rPr>
          <w:rFonts w:asciiTheme="majorHAnsi" w:hAnsiTheme="majorHAnsi" w:cstheme="majorHAnsi"/>
        </w:rPr>
        <w:t>w</w:t>
      </w:r>
      <w:r w:rsidR="007B04A7">
        <w:rPr>
          <w:rFonts w:asciiTheme="majorHAnsi" w:hAnsiTheme="majorHAnsi" w:cstheme="majorHAnsi"/>
        </w:rPr>
        <w:t xml:space="preserve"> </w:t>
      </w:r>
      <w:r w:rsidRPr="004F0157">
        <w:rPr>
          <w:rFonts w:asciiTheme="majorHAnsi" w:hAnsiTheme="majorHAnsi" w:cstheme="majorHAnsi"/>
        </w:rPr>
        <w:t>stowarzyszeniach także zwykli mieszkańcy. LGD najczęściej zarejestrowane są w Krajowym Rejestrze Sądowym jako stowarzyszenia (rzadziej jako fundacje lub związki stowarzyszeń), posiadają statut i</w:t>
      </w:r>
      <w:r w:rsidR="00575FF9">
        <w:rPr>
          <w:rFonts w:asciiTheme="majorHAnsi" w:hAnsiTheme="majorHAnsi" w:cstheme="majorHAnsi"/>
        </w:rPr>
        <w:t xml:space="preserve"> wybrane władze: radę, zarząd i </w:t>
      </w:r>
      <w:r w:rsidRPr="004F0157">
        <w:rPr>
          <w:rFonts w:asciiTheme="majorHAnsi" w:hAnsiTheme="majorHAnsi" w:cstheme="majorHAnsi"/>
        </w:rPr>
        <w:t xml:space="preserve">komisję rewizyjną. Najważniejszym gremium decyzyjnym LGD jest zgromadzenie członków. Obszar </w:t>
      </w:r>
      <w:r>
        <w:rPr>
          <w:rFonts w:asciiTheme="majorHAnsi" w:hAnsiTheme="majorHAnsi" w:cstheme="majorHAnsi"/>
        </w:rPr>
        <w:t>objęty l</w:t>
      </w:r>
      <w:r w:rsidRPr="004F0157">
        <w:rPr>
          <w:rFonts w:asciiTheme="majorHAnsi" w:hAnsiTheme="majorHAnsi" w:cstheme="majorHAnsi"/>
        </w:rPr>
        <w:t xml:space="preserve">okalną </w:t>
      </w:r>
      <w:r>
        <w:rPr>
          <w:rFonts w:asciiTheme="majorHAnsi" w:hAnsiTheme="majorHAnsi" w:cstheme="majorHAnsi"/>
        </w:rPr>
        <w:t>s</w:t>
      </w:r>
      <w:r w:rsidRPr="004F0157">
        <w:rPr>
          <w:rFonts w:asciiTheme="majorHAnsi" w:hAnsiTheme="majorHAnsi" w:cstheme="majorHAnsi"/>
        </w:rPr>
        <w:t>trategi</w:t>
      </w:r>
      <w:r>
        <w:rPr>
          <w:rFonts w:asciiTheme="majorHAnsi" w:hAnsiTheme="majorHAnsi" w:cstheme="majorHAnsi"/>
        </w:rPr>
        <w:t>ą</w:t>
      </w:r>
      <w:r w:rsidRPr="004F0157">
        <w:rPr>
          <w:rFonts w:asciiTheme="majorHAnsi" w:hAnsiTheme="majorHAnsi" w:cstheme="majorHAnsi"/>
        </w:rPr>
        <w:t xml:space="preserve"> </w:t>
      </w:r>
      <w:r>
        <w:rPr>
          <w:rFonts w:asciiTheme="majorHAnsi" w:hAnsiTheme="majorHAnsi" w:cstheme="majorHAnsi"/>
        </w:rPr>
        <w:t>r</w:t>
      </w:r>
      <w:r w:rsidRPr="004F0157">
        <w:rPr>
          <w:rFonts w:asciiTheme="majorHAnsi" w:hAnsiTheme="majorHAnsi" w:cstheme="majorHAnsi"/>
        </w:rPr>
        <w:t xml:space="preserve">ozwoju </w:t>
      </w:r>
      <w:r>
        <w:rPr>
          <w:rFonts w:asciiTheme="majorHAnsi" w:hAnsiTheme="majorHAnsi" w:cstheme="majorHAnsi"/>
        </w:rPr>
        <w:t>opracowaną przez LGD</w:t>
      </w:r>
      <w:r w:rsidRPr="004F0157">
        <w:rPr>
          <w:rFonts w:asciiTheme="majorHAnsi" w:hAnsiTheme="majorHAnsi" w:cstheme="majorHAnsi"/>
        </w:rPr>
        <w:t xml:space="preserve"> powinien być spójny i liczyć co najmniej 10 tys. i nie więcej niż 150 tys. mieszkańców</w:t>
      </w:r>
      <w:r>
        <w:rPr>
          <w:rStyle w:val="Odwoanieprzypisudolnego"/>
          <w:rFonts w:asciiTheme="majorHAnsi" w:hAnsiTheme="majorHAnsi" w:cstheme="majorHAnsi"/>
        </w:rPr>
        <w:footnoteReference w:id="46"/>
      </w:r>
      <w:r>
        <w:rPr>
          <w:rFonts w:asciiTheme="majorHAnsi" w:hAnsiTheme="majorHAnsi" w:cstheme="majorHAnsi"/>
        </w:rPr>
        <w:t>.</w:t>
      </w:r>
    </w:p>
    <w:p w14:paraId="04F38132" w14:textId="1B14C758" w:rsidR="004F0157" w:rsidRDefault="004F0157" w:rsidP="00E82B4B">
      <w:pPr>
        <w:spacing w:line="276" w:lineRule="auto"/>
        <w:jc w:val="both"/>
        <w:rPr>
          <w:rFonts w:asciiTheme="majorHAnsi" w:hAnsiTheme="majorHAnsi" w:cstheme="majorHAnsi"/>
        </w:rPr>
      </w:pPr>
      <w:r>
        <w:rPr>
          <w:rFonts w:asciiTheme="majorHAnsi" w:hAnsiTheme="majorHAnsi" w:cstheme="majorHAnsi"/>
        </w:rPr>
        <w:t>Na ter</w:t>
      </w:r>
      <w:r w:rsidR="007B23D5">
        <w:rPr>
          <w:rFonts w:asciiTheme="majorHAnsi" w:hAnsiTheme="majorHAnsi" w:cstheme="majorHAnsi"/>
        </w:rPr>
        <w:t xml:space="preserve">enie Południowych Mazur działają dwie lokalne grupy działania, tj. </w:t>
      </w:r>
      <w:r w:rsidR="007B23D5" w:rsidRPr="007B23D5">
        <w:rPr>
          <w:rFonts w:asciiTheme="majorHAnsi" w:hAnsiTheme="majorHAnsi" w:cstheme="majorHAnsi"/>
        </w:rPr>
        <w:t xml:space="preserve">Lokalna Grupa Działania "Brama Mazurskiej Krainy" </w:t>
      </w:r>
      <w:r w:rsidR="007B23D5">
        <w:rPr>
          <w:rFonts w:asciiTheme="majorHAnsi" w:hAnsiTheme="majorHAnsi" w:cstheme="majorHAnsi"/>
        </w:rPr>
        <w:t xml:space="preserve">oraz </w:t>
      </w:r>
      <w:r w:rsidR="007B23D5" w:rsidRPr="007B23D5">
        <w:rPr>
          <w:rFonts w:asciiTheme="majorHAnsi" w:hAnsiTheme="majorHAnsi" w:cstheme="majorHAnsi"/>
        </w:rPr>
        <w:t>Lokalna Grupa Działania "Mazurskie Morze"</w:t>
      </w:r>
      <w:r w:rsidR="007B23D5">
        <w:rPr>
          <w:rFonts w:asciiTheme="majorHAnsi" w:hAnsiTheme="majorHAnsi" w:cstheme="majorHAnsi"/>
        </w:rPr>
        <w:t xml:space="preserve">. </w:t>
      </w:r>
    </w:p>
    <w:p w14:paraId="7E67E513" w14:textId="6C448238" w:rsidR="007B23D5" w:rsidRPr="007B23D5" w:rsidRDefault="007B23D5" w:rsidP="00E82B4B">
      <w:pPr>
        <w:spacing w:line="276" w:lineRule="auto"/>
        <w:jc w:val="both"/>
        <w:rPr>
          <w:rFonts w:asciiTheme="majorHAnsi" w:hAnsiTheme="majorHAnsi" w:cstheme="majorHAnsi"/>
        </w:rPr>
      </w:pPr>
      <w:r w:rsidRPr="007B23D5">
        <w:rPr>
          <w:rFonts w:asciiTheme="majorHAnsi" w:hAnsiTheme="majorHAnsi" w:cstheme="majorHAnsi"/>
        </w:rPr>
        <w:t>Proces budowania partnerstwa lokalnego w ramach LGD "Brama Mazurskiej Krainy" oraz opracowywania strategii rozpoczęto w 2005</w:t>
      </w:r>
      <w:r w:rsidR="00F7062F">
        <w:rPr>
          <w:rFonts w:asciiTheme="majorHAnsi" w:hAnsiTheme="majorHAnsi" w:cstheme="majorHAnsi"/>
        </w:rPr>
        <w:t>r.</w:t>
      </w:r>
      <w:r w:rsidRPr="007B23D5">
        <w:rPr>
          <w:rFonts w:asciiTheme="majorHAnsi" w:hAnsiTheme="majorHAnsi" w:cstheme="majorHAnsi"/>
        </w:rPr>
        <w:t xml:space="preserve"> Inicjatorem powołania LGD była Nidzicka Fundacja Rozwoju NIDA (organizacja pozarządowa działająca na rzecz rozwoju lokalnego od 1994</w:t>
      </w:r>
      <w:r w:rsidR="00F7062F">
        <w:rPr>
          <w:rFonts w:asciiTheme="majorHAnsi" w:hAnsiTheme="majorHAnsi" w:cstheme="majorHAnsi"/>
        </w:rPr>
        <w:t>r.</w:t>
      </w:r>
      <w:r w:rsidRPr="007B23D5">
        <w:rPr>
          <w:rFonts w:asciiTheme="majorHAnsi" w:hAnsiTheme="majorHAnsi" w:cstheme="majorHAnsi"/>
        </w:rPr>
        <w:t>), która we współpracy ze Starostwem Powiatowym w Nidzicy oraz Bankiem Spółdzielczym w Nidzicy zainicjowała utworzenie partnerstwa na rzecz rozwoju obszarów wiejskich. Partnerstwo uczestniczyło w I schemacie Pilotażowego Programu LEADER+ i już jako LGD w II schemacie Programu LEADR +. W pierwszym etapie (2005</w:t>
      </w:r>
      <w:r>
        <w:rPr>
          <w:rFonts w:asciiTheme="majorHAnsi" w:hAnsiTheme="majorHAnsi" w:cstheme="majorHAnsi"/>
        </w:rPr>
        <w:t>-</w:t>
      </w:r>
      <w:r w:rsidRPr="007B23D5">
        <w:rPr>
          <w:rFonts w:asciiTheme="majorHAnsi" w:hAnsiTheme="majorHAnsi" w:cstheme="majorHAnsi"/>
        </w:rPr>
        <w:t>2007) budowania partnerstwa realizowanym w ramach schematu I uczestniczyli przedstawiciele czterech samorządów lokalnych, przedstawiciele organizacji pozarządowych i sektora gospodarczego z</w:t>
      </w:r>
      <w:r w:rsidR="007B04A7">
        <w:rPr>
          <w:rFonts w:asciiTheme="majorHAnsi" w:hAnsiTheme="majorHAnsi" w:cstheme="majorHAnsi"/>
        </w:rPr>
        <w:t xml:space="preserve"> </w:t>
      </w:r>
      <w:r w:rsidRPr="007B23D5">
        <w:rPr>
          <w:rFonts w:asciiTheme="majorHAnsi" w:hAnsiTheme="majorHAnsi" w:cstheme="majorHAnsi"/>
        </w:rPr>
        <w:t>powiatu nidzickiego. Wynikiem budowania w pierwszym etapie partnerstwa było opracowanie Zintegrowanej Strategii Rozwoju Obszarów Wiejskich oraz powołanie LGD "Brama Mazurskiej Krainy". W drugim etapie (2007</w:t>
      </w:r>
      <w:r>
        <w:rPr>
          <w:rFonts w:asciiTheme="majorHAnsi" w:hAnsiTheme="majorHAnsi" w:cstheme="majorHAnsi"/>
        </w:rPr>
        <w:t>-</w:t>
      </w:r>
      <w:r w:rsidRPr="007B23D5">
        <w:rPr>
          <w:rFonts w:asciiTheme="majorHAnsi" w:hAnsiTheme="majorHAnsi" w:cstheme="majorHAnsi"/>
        </w:rPr>
        <w:t>2008) budowania partnerstwa uczestniczyli członkowie powołanej LGD oraz partnerzy z sektora publicznego (Powiatowy Urząd Pracy, przedsiębiorcy prywatni oraz organizacje pozarządowe) uczestniczący w realizacji działań w ramach II schematu Programu LEADER. W trzecim etapie (2008</w:t>
      </w:r>
      <w:r>
        <w:rPr>
          <w:rFonts w:asciiTheme="majorHAnsi" w:hAnsiTheme="majorHAnsi" w:cstheme="majorHAnsi"/>
        </w:rPr>
        <w:t>-</w:t>
      </w:r>
      <w:r w:rsidRPr="007B23D5">
        <w:rPr>
          <w:rFonts w:asciiTheme="majorHAnsi" w:hAnsiTheme="majorHAnsi" w:cstheme="majorHAnsi"/>
        </w:rPr>
        <w:t>styczeń 2009) budowania partnerstwa nastąpiło formalne rozszerzenie obszaru LGD oraz przyjęcie nowych członków, w tym 10 samorządów lokalnych z sąsiadujących powiatów działdowskiego i szczycieńskiego.</w:t>
      </w:r>
    </w:p>
    <w:p w14:paraId="4A5AD212" w14:textId="106BA275" w:rsidR="007B23D5" w:rsidRDefault="007B23D5" w:rsidP="00DE0854">
      <w:pPr>
        <w:spacing w:line="276" w:lineRule="auto"/>
        <w:jc w:val="both"/>
        <w:rPr>
          <w:rFonts w:asciiTheme="majorHAnsi" w:hAnsiTheme="majorHAnsi" w:cstheme="majorHAnsi"/>
        </w:rPr>
      </w:pPr>
      <w:r w:rsidRPr="007B23D5">
        <w:rPr>
          <w:rFonts w:asciiTheme="majorHAnsi" w:hAnsiTheme="majorHAnsi" w:cstheme="majorHAnsi"/>
        </w:rPr>
        <w:t>Związek Stowarzyszeń LGD "Brama Mazurskiej Krainy" działa na terenie powiatu nidzickiego gminy: (Nidzica, Janowiec Kościelny, Janowo, Kozłowo), działdowskiego (gminy: Płośnica, Iłowo-Osada, Działdowo ), szczycieńskiego (gminy: Rozogi, Wielbark, Świętajno, Jedwabno, Pasym, Dźwierzuty, Szczytno).</w:t>
      </w:r>
    </w:p>
    <w:p w14:paraId="438AB522" w14:textId="05ABA87A" w:rsidR="007B23D5" w:rsidRDefault="007B23D5" w:rsidP="00DE0854">
      <w:pPr>
        <w:spacing w:line="276" w:lineRule="auto"/>
        <w:jc w:val="both"/>
        <w:rPr>
          <w:rFonts w:asciiTheme="majorHAnsi" w:hAnsiTheme="majorHAnsi" w:cstheme="majorHAnsi"/>
        </w:rPr>
      </w:pPr>
      <w:r w:rsidRPr="007B23D5">
        <w:rPr>
          <w:rFonts w:asciiTheme="majorHAnsi" w:hAnsiTheme="majorHAnsi" w:cstheme="majorHAnsi"/>
        </w:rPr>
        <w:t>Celem Związku LGD "Brama Mazurskiej Krainy" są działania wpływające na rzecz rozwoju obszarów wiejskich, sprawniejsze wykorzystanie potencjału rozwojowego terenów wiejskich, poprawę ich konkurencyjności, jako miejsca zamieszkania i prowadzenia działalności ekonomicznej przez mieszkańców tych terenów oraz potencjalnych przedsiębiorców, jak również aktywizacj</w:t>
      </w:r>
      <w:r>
        <w:rPr>
          <w:rFonts w:asciiTheme="majorHAnsi" w:hAnsiTheme="majorHAnsi" w:cstheme="majorHAnsi"/>
        </w:rPr>
        <w:t>a</w:t>
      </w:r>
      <w:r w:rsidRPr="007B23D5">
        <w:rPr>
          <w:rFonts w:asciiTheme="majorHAnsi" w:hAnsiTheme="majorHAnsi" w:cstheme="majorHAnsi"/>
        </w:rPr>
        <w:t xml:space="preserve"> i współpraca środowisk lokalnych.</w:t>
      </w:r>
      <w:r>
        <w:rPr>
          <w:rFonts w:asciiTheme="majorHAnsi" w:hAnsiTheme="majorHAnsi" w:cstheme="majorHAnsi"/>
        </w:rPr>
        <w:t xml:space="preserve"> </w:t>
      </w:r>
    </w:p>
    <w:p w14:paraId="10E740E3" w14:textId="22E48AB3" w:rsidR="007B23D5" w:rsidRDefault="007B23D5" w:rsidP="00DE0854">
      <w:pPr>
        <w:spacing w:line="276" w:lineRule="auto"/>
        <w:jc w:val="both"/>
        <w:rPr>
          <w:rFonts w:asciiTheme="majorHAnsi" w:hAnsiTheme="majorHAnsi" w:cstheme="majorHAnsi"/>
        </w:rPr>
      </w:pPr>
      <w:r w:rsidRPr="007B23D5">
        <w:rPr>
          <w:rFonts w:asciiTheme="majorHAnsi" w:hAnsiTheme="majorHAnsi" w:cstheme="majorHAnsi"/>
        </w:rPr>
        <w:t>LGD "Brama Mazurskiej Krainy" działa na rzecz rozwoju gospodarczego regionu. Stowarzyszenie wspiera organizacje pozarządowe poprzez pomoc w pisaniu i realizowaniu projektów. Organizuje szkolenia, warsztaty i konferencje. Zapewn</w:t>
      </w:r>
      <w:r w:rsidR="0013206A">
        <w:rPr>
          <w:rFonts w:asciiTheme="majorHAnsi" w:hAnsiTheme="majorHAnsi" w:cstheme="majorHAnsi"/>
        </w:rPr>
        <w:t>ia</w:t>
      </w:r>
      <w:r w:rsidRPr="007B23D5">
        <w:rPr>
          <w:rFonts w:asciiTheme="majorHAnsi" w:hAnsiTheme="majorHAnsi" w:cstheme="majorHAnsi"/>
        </w:rPr>
        <w:t xml:space="preserve"> poradnictwo w czasie różnych spotkań, a także prowadzi serwis o</w:t>
      </w:r>
      <w:r w:rsidR="001676E7">
        <w:rPr>
          <w:rFonts w:asciiTheme="majorHAnsi" w:hAnsiTheme="majorHAnsi" w:cstheme="majorHAnsi"/>
        </w:rPr>
        <w:t> </w:t>
      </w:r>
      <w:r w:rsidRPr="007B23D5">
        <w:rPr>
          <w:rFonts w:asciiTheme="majorHAnsi" w:hAnsiTheme="majorHAnsi" w:cstheme="majorHAnsi"/>
        </w:rPr>
        <w:t xml:space="preserve">organizacji. Podejmuje szereg działań na rzecz współpracujących gmin. Aktualnie współpracuje </w:t>
      </w:r>
      <w:r w:rsidR="009855DE">
        <w:rPr>
          <w:rFonts w:asciiTheme="majorHAnsi" w:hAnsiTheme="majorHAnsi" w:cstheme="majorHAnsi"/>
        </w:rPr>
        <w:br/>
      </w:r>
      <w:r w:rsidRPr="007B23D5">
        <w:rPr>
          <w:rFonts w:asciiTheme="majorHAnsi" w:hAnsiTheme="majorHAnsi" w:cstheme="majorHAnsi"/>
        </w:rPr>
        <w:t>z 56 stowarzyszeniami.</w:t>
      </w:r>
    </w:p>
    <w:p w14:paraId="72CC0C93" w14:textId="2E6F36A1" w:rsidR="007B23D5" w:rsidRDefault="007B23D5" w:rsidP="0013206A">
      <w:pPr>
        <w:spacing w:after="0" w:line="276" w:lineRule="auto"/>
        <w:jc w:val="both"/>
        <w:rPr>
          <w:rFonts w:asciiTheme="majorHAnsi" w:hAnsiTheme="majorHAnsi" w:cstheme="majorHAnsi"/>
        </w:rPr>
      </w:pPr>
      <w:r w:rsidRPr="007B23D5">
        <w:rPr>
          <w:rFonts w:asciiTheme="majorHAnsi" w:hAnsiTheme="majorHAnsi" w:cstheme="majorHAnsi"/>
        </w:rPr>
        <w:t>Projekty i związane z nimi działania</w:t>
      </w:r>
      <w:r w:rsidR="0013206A">
        <w:rPr>
          <w:rFonts w:asciiTheme="majorHAnsi" w:hAnsiTheme="majorHAnsi" w:cstheme="majorHAnsi"/>
        </w:rPr>
        <w:t xml:space="preserve"> podejmowane przez LGD, to m.in.</w:t>
      </w:r>
      <w:r w:rsidRPr="007B23D5">
        <w:rPr>
          <w:rFonts w:asciiTheme="majorHAnsi" w:hAnsiTheme="majorHAnsi" w:cstheme="majorHAnsi"/>
        </w:rPr>
        <w:t>:</w:t>
      </w:r>
    </w:p>
    <w:p w14:paraId="75F530E1" w14:textId="4C349ADF" w:rsidR="007B23D5" w:rsidRPr="0013206A" w:rsidRDefault="007B23D5" w:rsidP="0013206A">
      <w:pPr>
        <w:numPr>
          <w:ilvl w:val="0"/>
          <w:numId w:val="33"/>
        </w:numPr>
        <w:shd w:val="clear" w:color="auto" w:fill="FFFFFF"/>
        <w:spacing w:after="0" w:line="276" w:lineRule="auto"/>
        <w:ind w:left="357" w:hanging="357"/>
        <w:jc w:val="both"/>
        <w:rPr>
          <w:rFonts w:asciiTheme="majorHAnsi" w:hAnsiTheme="majorHAnsi" w:cs="Arial"/>
          <w:color w:val="000000"/>
        </w:rPr>
      </w:pPr>
      <w:r w:rsidRPr="0013206A">
        <w:rPr>
          <w:rFonts w:asciiTheme="majorHAnsi" w:hAnsiTheme="majorHAnsi" w:cs="Arial"/>
          <w:color w:val="000000"/>
        </w:rPr>
        <w:t>"Dzieło naszych rąk"</w:t>
      </w:r>
      <w:r w:rsidR="0013206A">
        <w:rPr>
          <w:rFonts w:asciiTheme="majorHAnsi" w:hAnsiTheme="majorHAnsi" w:cs="Arial"/>
          <w:color w:val="000000"/>
        </w:rPr>
        <w:t>:</w:t>
      </w:r>
    </w:p>
    <w:p w14:paraId="5A612FBB" w14:textId="19263727" w:rsidR="007B23D5" w:rsidRPr="00A67F37" w:rsidRDefault="007B23D5" w:rsidP="00A67F37">
      <w:pPr>
        <w:pStyle w:val="Akapitzlist"/>
        <w:numPr>
          <w:ilvl w:val="0"/>
          <w:numId w:val="42"/>
        </w:numPr>
        <w:shd w:val="clear" w:color="auto" w:fill="FFFFFF"/>
        <w:spacing w:after="0" w:line="276" w:lineRule="auto"/>
        <w:jc w:val="both"/>
        <w:rPr>
          <w:rFonts w:asciiTheme="majorHAnsi" w:hAnsiTheme="majorHAnsi" w:cs="Arial"/>
          <w:color w:val="000000"/>
        </w:rPr>
      </w:pPr>
      <w:r w:rsidRPr="00A67F37">
        <w:rPr>
          <w:rFonts w:asciiTheme="majorHAnsi" w:hAnsiTheme="majorHAnsi" w:cs="Arial"/>
          <w:color w:val="000000"/>
        </w:rPr>
        <w:t>szkolenia z zakresu regionalnych potraw i rękodzieła</w:t>
      </w:r>
      <w:r w:rsidR="0013206A" w:rsidRPr="00A67F37">
        <w:rPr>
          <w:rFonts w:asciiTheme="majorHAnsi" w:hAnsiTheme="majorHAnsi" w:cs="Arial"/>
          <w:color w:val="000000"/>
        </w:rPr>
        <w:t>,</w:t>
      </w:r>
    </w:p>
    <w:p w14:paraId="5D710CD9" w14:textId="6A1E9A59" w:rsidR="007B23D5" w:rsidRPr="00A67F37" w:rsidRDefault="007B23D5" w:rsidP="00A67F37">
      <w:pPr>
        <w:pStyle w:val="Akapitzlist"/>
        <w:numPr>
          <w:ilvl w:val="0"/>
          <w:numId w:val="42"/>
        </w:numPr>
        <w:shd w:val="clear" w:color="auto" w:fill="FFFFFF"/>
        <w:spacing w:after="0" w:line="276" w:lineRule="auto"/>
        <w:jc w:val="both"/>
        <w:rPr>
          <w:rFonts w:asciiTheme="majorHAnsi" w:hAnsiTheme="majorHAnsi" w:cs="Arial"/>
          <w:color w:val="000000"/>
        </w:rPr>
      </w:pPr>
      <w:r w:rsidRPr="00A67F37">
        <w:rPr>
          <w:rFonts w:asciiTheme="majorHAnsi" w:hAnsiTheme="majorHAnsi" w:cs="Arial"/>
          <w:color w:val="000000"/>
        </w:rPr>
        <w:t>konkurs "Lokalny Produkt Mazurskiej Krainy"</w:t>
      </w:r>
      <w:r w:rsidR="0013206A" w:rsidRPr="00A67F37">
        <w:rPr>
          <w:rFonts w:asciiTheme="majorHAnsi" w:hAnsiTheme="majorHAnsi" w:cs="Arial"/>
          <w:color w:val="000000"/>
        </w:rPr>
        <w:t>,</w:t>
      </w:r>
    </w:p>
    <w:p w14:paraId="5506BA98" w14:textId="3314379A" w:rsidR="007B23D5" w:rsidRPr="00A67F37" w:rsidRDefault="007B23D5" w:rsidP="00A67F37">
      <w:pPr>
        <w:pStyle w:val="Akapitzlist"/>
        <w:numPr>
          <w:ilvl w:val="0"/>
          <w:numId w:val="42"/>
        </w:numPr>
        <w:shd w:val="clear" w:color="auto" w:fill="FFFFFF"/>
        <w:spacing w:after="0" w:line="276" w:lineRule="auto"/>
        <w:jc w:val="both"/>
        <w:rPr>
          <w:rFonts w:asciiTheme="majorHAnsi" w:hAnsiTheme="majorHAnsi" w:cs="Arial"/>
          <w:color w:val="000000"/>
        </w:rPr>
      </w:pPr>
      <w:r w:rsidRPr="00A67F37">
        <w:rPr>
          <w:rFonts w:asciiTheme="majorHAnsi" w:hAnsiTheme="majorHAnsi" w:cs="Arial"/>
          <w:color w:val="000000"/>
        </w:rPr>
        <w:t>festyn rekreacyjny – "Święto Plonów"</w:t>
      </w:r>
      <w:r w:rsidR="0013206A" w:rsidRPr="00A67F37">
        <w:rPr>
          <w:rFonts w:asciiTheme="majorHAnsi" w:hAnsiTheme="majorHAnsi" w:cs="Arial"/>
          <w:color w:val="000000"/>
        </w:rPr>
        <w:t>.</w:t>
      </w:r>
    </w:p>
    <w:p w14:paraId="7E314A48" w14:textId="29A5DEAC" w:rsidR="007B23D5" w:rsidRPr="0013206A" w:rsidRDefault="007B23D5" w:rsidP="0013206A">
      <w:pPr>
        <w:numPr>
          <w:ilvl w:val="0"/>
          <w:numId w:val="33"/>
        </w:numPr>
        <w:shd w:val="clear" w:color="auto" w:fill="FFFFFF"/>
        <w:spacing w:after="0" w:line="276" w:lineRule="auto"/>
        <w:ind w:left="357" w:hanging="357"/>
        <w:jc w:val="both"/>
        <w:rPr>
          <w:rFonts w:asciiTheme="majorHAnsi" w:hAnsiTheme="majorHAnsi" w:cs="Arial"/>
          <w:color w:val="000000"/>
        </w:rPr>
      </w:pPr>
      <w:r w:rsidRPr="0013206A">
        <w:rPr>
          <w:rFonts w:asciiTheme="majorHAnsi" w:hAnsiTheme="majorHAnsi" w:cs="Arial"/>
          <w:color w:val="000000"/>
        </w:rPr>
        <w:t>"Wiejskie Centrum Edukacyjne"</w:t>
      </w:r>
      <w:r w:rsidR="0013206A">
        <w:rPr>
          <w:rFonts w:asciiTheme="majorHAnsi" w:hAnsiTheme="majorHAnsi" w:cs="Arial"/>
          <w:color w:val="000000"/>
        </w:rPr>
        <w:t>:</w:t>
      </w:r>
    </w:p>
    <w:p w14:paraId="43FBB008" w14:textId="5B5C2A26" w:rsidR="007B23D5" w:rsidRPr="0013206A" w:rsidRDefault="007B23D5" w:rsidP="00A67F37">
      <w:pPr>
        <w:pStyle w:val="Akapitzlist"/>
        <w:numPr>
          <w:ilvl w:val="0"/>
          <w:numId w:val="42"/>
        </w:numPr>
        <w:shd w:val="clear" w:color="auto" w:fill="FFFFFF"/>
        <w:spacing w:after="0" w:line="276" w:lineRule="auto"/>
        <w:jc w:val="both"/>
        <w:rPr>
          <w:rFonts w:asciiTheme="majorHAnsi" w:hAnsiTheme="majorHAnsi" w:cs="Arial"/>
          <w:color w:val="000000"/>
        </w:rPr>
      </w:pPr>
      <w:r w:rsidRPr="0013206A">
        <w:rPr>
          <w:rFonts w:asciiTheme="majorHAnsi" w:hAnsiTheme="majorHAnsi" w:cs="Arial"/>
          <w:color w:val="000000"/>
        </w:rPr>
        <w:t>opracowanie koncepcji funkcjonowania CENTRUM i dostosowanie go d funkcji wiejskiego centrum konferencyjnego</w:t>
      </w:r>
      <w:r w:rsidR="0013206A">
        <w:rPr>
          <w:rFonts w:asciiTheme="majorHAnsi" w:hAnsiTheme="majorHAnsi" w:cs="Arial"/>
          <w:color w:val="000000"/>
        </w:rPr>
        <w:t>,</w:t>
      </w:r>
    </w:p>
    <w:p w14:paraId="299CF0C2" w14:textId="5BB937ED" w:rsidR="007B23D5" w:rsidRPr="0013206A" w:rsidRDefault="007B23D5" w:rsidP="00A67F37">
      <w:pPr>
        <w:pStyle w:val="Akapitzlist"/>
        <w:numPr>
          <w:ilvl w:val="0"/>
          <w:numId w:val="42"/>
        </w:numPr>
        <w:shd w:val="clear" w:color="auto" w:fill="FFFFFF"/>
        <w:spacing w:after="0" w:line="276" w:lineRule="auto"/>
        <w:jc w:val="both"/>
        <w:rPr>
          <w:rFonts w:asciiTheme="majorHAnsi" w:hAnsiTheme="majorHAnsi" w:cs="Arial"/>
          <w:color w:val="000000"/>
        </w:rPr>
      </w:pPr>
      <w:r w:rsidRPr="0013206A">
        <w:rPr>
          <w:rFonts w:asciiTheme="majorHAnsi" w:hAnsiTheme="majorHAnsi" w:cs="Arial"/>
          <w:color w:val="000000"/>
        </w:rPr>
        <w:t xml:space="preserve">szkolenia językowe i z zakresu </w:t>
      </w:r>
      <w:proofErr w:type="spellStart"/>
      <w:r w:rsidRPr="0013206A">
        <w:rPr>
          <w:rFonts w:asciiTheme="majorHAnsi" w:hAnsiTheme="majorHAnsi" w:cs="Arial"/>
          <w:color w:val="000000"/>
        </w:rPr>
        <w:t>fundraisingu</w:t>
      </w:r>
      <w:proofErr w:type="spellEnd"/>
      <w:r w:rsidRPr="0013206A">
        <w:rPr>
          <w:rFonts w:asciiTheme="majorHAnsi" w:hAnsiTheme="majorHAnsi" w:cs="Arial"/>
          <w:color w:val="000000"/>
        </w:rPr>
        <w:t xml:space="preserve"> dla przedstawicieli organizacji pozarządowych i</w:t>
      </w:r>
      <w:r w:rsidR="001676E7">
        <w:rPr>
          <w:rFonts w:asciiTheme="majorHAnsi" w:hAnsiTheme="majorHAnsi" w:cs="Arial"/>
          <w:color w:val="000000"/>
        </w:rPr>
        <w:t> </w:t>
      </w:r>
      <w:r w:rsidRPr="0013206A">
        <w:rPr>
          <w:rFonts w:asciiTheme="majorHAnsi" w:hAnsiTheme="majorHAnsi" w:cs="Arial"/>
          <w:color w:val="000000"/>
        </w:rPr>
        <w:t>samorządów lokalnych z powiatu nidzickiego oraz wolontariuszy</w:t>
      </w:r>
      <w:r w:rsidR="0013206A">
        <w:rPr>
          <w:rFonts w:asciiTheme="majorHAnsi" w:hAnsiTheme="majorHAnsi" w:cs="Arial"/>
          <w:color w:val="000000"/>
        </w:rPr>
        <w:t>,</w:t>
      </w:r>
    </w:p>
    <w:p w14:paraId="04CD11C1" w14:textId="50B48427" w:rsidR="007B23D5" w:rsidRPr="0013206A" w:rsidRDefault="007B23D5" w:rsidP="00A67F37">
      <w:pPr>
        <w:pStyle w:val="Akapitzlist"/>
        <w:numPr>
          <w:ilvl w:val="0"/>
          <w:numId w:val="42"/>
        </w:numPr>
        <w:shd w:val="clear" w:color="auto" w:fill="FFFFFF"/>
        <w:spacing w:after="0" w:line="276" w:lineRule="auto"/>
        <w:jc w:val="both"/>
        <w:rPr>
          <w:rFonts w:asciiTheme="majorHAnsi" w:hAnsiTheme="majorHAnsi" w:cs="Arial"/>
          <w:color w:val="000000"/>
        </w:rPr>
      </w:pPr>
      <w:r w:rsidRPr="0013206A">
        <w:rPr>
          <w:rFonts w:asciiTheme="majorHAnsi" w:hAnsiTheme="majorHAnsi" w:cs="Arial"/>
          <w:color w:val="000000"/>
        </w:rPr>
        <w:t>piknik edukacyjny promujący programy stypendialne dla młodzieży</w:t>
      </w:r>
      <w:r w:rsidR="0013206A">
        <w:rPr>
          <w:rFonts w:asciiTheme="majorHAnsi" w:hAnsiTheme="majorHAnsi" w:cs="Arial"/>
          <w:color w:val="000000"/>
        </w:rPr>
        <w:t>,</w:t>
      </w:r>
    </w:p>
    <w:p w14:paraId="4A2ED355" w14:textId="383EA70F" w:rsidR="007B23D5" w:rsidRPr="0013206A" w:rsidRDefault="007B23D5" w:rsidP="00A67F37">
      <w:pPr>
        <w:pStyle w:val="Akapitzlist"/>
        <w:numPr>
          <w:ilvl w:val="0"/>
          <w:numId w:val="42"/>
        </w:numPr>
        <w:shd w:val="clear" w:color="auto" w:fill="FFFFFF"/>
        <w:spacing w:after="0" w:line="276" w:lineRule="auto"/>
        <w:jc w:val="both"/>
        <w:rPr>
          <w:rFonts w:asciiTheme="majorHAnsi" w:hAnsiTheme="majorHAnsi" w:cs="Arial"/>
          <w:color w:val="000000"/>
        </w:rPr>
      </w:pPr>
      <w:r w:rsidRPr="0013206A">
        <w:rPr>
          <w:rFonts w:asciiTheme="majorHAnsi" w:hAnsiTheme="majorHAnsi" w:cs="Arial"/>
          <w:color w:val="000000"/>
        </w:rPr>
        <w:t>impreza kulturalna "Dzień Dobroczynności"</w:t>
      </w:r>
      <w:r w:rsidR="0013206A">
        <w:rPr>
          <w:rFonts w:asciiTheme="majorHAnsi" w:hAnsiTheme="majorHAnsi" w:cs="Arial"/>
          <w:color w:val="000000"/>
        </w:rPr>
        <w:t>.</w:t>
      </w:r>
    </w:p>
    <w:p w14:paraId="016E42E4" w14:textId="569BAA96" w:rsidR="007B23D5" w:rsidRPr="0013206A" w:rsidRDefault="007B23D5" w:rsidP="0013206A">
      <w:pPr>
        <w:numPr>
          <w:ilvl w:val="0"/>
          <w:numId w:val="33"/>
        </w:numPr>
        <w:shd w:val="clear" w:color="auto" w:fill="FFFFFF"/>
        <w:spacing w:after="0" w:line="276" w:lineRule="auto"/>
        <w:ind w:left="357" w:hanging="357"/>
        <w:jc w:val="both"/>
        <w:rPr>
          <w:rFonts w:asciiTheme="majorHAnsi" w:hAnsiTheme="majorHAnsi" w:cs="Arial"/>
          <w:color w:val="000000"/>
        </w:rPr>
      </w:pPr>
      <w:r w:rsidRPr="0013206A">
        <w:rPr>
          <w:rFonts w:asciiTheme="majorHAnsi" w:hAnsiTheme="majorHAnsi" w:cs="Arial"/>
          <w:color w:val="000000"/>
        </w:rPr>
        <w:t>"Mazurskie wesele"</w:t>
      </w:r>
      <w:r w:rsidR="0013206A">
        <w:rPr>
          <w:rFonts w:asciiTheme="majorHAnsi" w:hAnsiTheme="majorHAnsi" w:cs="Arial"/>
          <w:color w:val="000000"/>
        </w:rPr>
        <w:t>:</w:t>
      </w:r>
    </w:p>
    <w:p w14:paraId="7E08E497" w14:textId="2CEC28EA" w:rsidR="007B23D5" w:rsidRPr="0013206A" w:rsidRDefault="007B23D5" w:rsidP="00A67F37">
      <w:pPr>
        <w:pStyle w:val="Akapitzlist"/>
        <w:numPr>
          <w:ilvl w:val="0"/>
          <w:numId w:val="42"/>
        </w:numPr>
        <w:shd w:val="clear" w:color="auto" w:fill="FFFFFF"/>
        <w:spacing w:after="0" w:line="276" w:lineRule="auto"/>
        <w:jc w:val="both"/>
        <w:rPr>
          <w:rFonts w:asciiTheme="majorHAnsi" w:hAnsiTheme="majorHAnsi" w:cs="Arial"/>
          <w:color w:val="000000"/>
        </w:rPr>
      </w:pPr>
      <w:r w:rsidRPr="0013206A">
        <w:rPr>
          <w:rFonts w:asciiTheme="majorHAnsi" w:hAnsiTheme="majorHAnsi" w:cs="Arial"/>
          <w:color w:val="000000"/>
        </w:rPr>
        <w:t>szkolenie z prowadzenia działalności gospodarczej</w:t>
      </w:r>
      <w:r w:rsidR="0013206A">
        <w:rPr>
          <w:rFonts w:asciiTheme="majorHAnsi" w:hAnsiTheme="majorHAnsi" w:cs="Arial"/>
          <w:color w:val="000000"/>
        </w:rPr>
        <w:t>,</w:t>
      </w:r>
    </w:p>
    <w:p w14:paraId="363664CD" w14:textId="7AEA6C7A" w:rsidR="007B23D5" w:rsidRPr="0013206A" w:rsidRDefault="007B23D5" w:rsidP="00A67F37">
      <w:pPr>
        <w:pStyle w:val="Akapitzlist"/>
        <w:numPr>
          <w:ilvl w:val="0"/>
          <w:numId w:val="42"/>
        </w:numPr>
        <w:shd w:val="clear" w:color="auto" w:fill="FFFFFF"/>
        <w:spacing w:after="0" w:line="276" w:lineRule="auto"/>
        <w:jc w:val="both"/>
        <w:rPr>
          <w:rFonts w:asciiTheme="majorHAnsi" w:hAnsiTheme="majorHAnsi" w:cs="Arial"/>
          <w:color w:val="000000"/>
        </w:rPr>
      </w:pPr>
      <w:r w:rsidRPr="0013206A">
        <w:rPr>
          <w:rFonts w:asciiTheme="majorHAnsi" w:hAnsiTheme="majorHAnsi" w:cs="Arial"/>
          <w:color w:val="000000"/>
        </w:rPr>
        <w:t>wykonanie materiałów promocyjnych garncarskiej wioski</w:t>
      </w:r>
      <w:r w:rsidR="0013206A">
        <w:rPr>
          <w:rFonts w:asciiTheme="majorHAnsi" w:hAnsiTheme="majorHAnsi" w:cs="Arial"/>
          <w:color w:val="000000"/>
        </w:rPr>
        <w:t>,</w:t>
      </w:r>
    </w:p>
    <w:p w14:paraId="5FC5D9B9" w14:textId="0E506B80" w:rsidR="007B23D5" w:rsidRPr="0013206A" w:rsidRDefault="007B23D5" w:rsidP="00A67F37">
      <w:pPr>
        <w:pStyle w:val="Akapitzlist"/>
        <w:numPr>
          <w:ilvl w:val="0"/>
          <w:numId w:val="42"/>
        </w:numPr>
        <w:shd w:val="clear" w:color="auto" w:fill="FFFFFF"/>
        <w:spacing w:after="0" w:line="276" w:lineRule="auto"/>
        <w:jc w:val="both"/>
        <w:rPr>
          <w:rFonts w:asciiTheme="majorHAnsi" w:hAnsiTheme="majorHAnsi" w:cs="Arial"/>
          <w:color w:val="000000"/>
        </w:rPr>
      </w:pPr>
      <w:r w:rsidRPr="0013206A">
        <w:rPr>
          <w:rFonts w:asciiTheme="majorHAnsi" w:hAnsiTheme="majorHAnsi" w:cs="Arial"/>
          <w:color w:val="000000"/>
        </w:rPr>
        <w:t>stoiska promocyjne w Kamionce</w:t>
      </w:r>
      <w:r w:rsidR="0013206A">
        <w:rPr>
          <w:rFonts w:asciiTheme="majorHAnsi" w:hAnsiTheme="majorHAnsi" w:cs="Arial"/>
          <w:color w:val="000000"/>
        </w:rPr>
        <w:t>,</w:t>
      </w:r>
    </w:p>
    <w:p w14:paraId="443E7276" w14:textId="3E38C59F" w:rsidR="007B23D5" w:rsidRPr="0013206A" w:rsidRDefault="007B23D5" w:rsidP="00A67F37">
      <w:pPr>
        <w:pStyle w:val="Akapitzlist"/>
        <w:numPr>
          <w:ilvl w:val="0"/>
          <w:numId w:val="42"/>
        </w:numPr>
        <w:shd w:val="clear" w:color="auto" w:fill="FFFFFF"/>
        <w:spacing w:after="0" w:line="276" w:lineRule="auto"/>
        <w:jc w:val="both"/>
        <w:rPr>
          <w:rFonts w:asciiTheme="majorHAnsi" w:hAnsiTheme="majorHAnsi" w:cs="Arial"/>
          <w:color w:val="000000"/>
        </w:rPr>
      </w:pPr>
      <w:r w:rsidRPr="0013206A">
        <w:rPr>
          <w:rFonts w:asciiTheme="majorHAnsi" w:hAnsiTheme="majorHAnsi" w:cs="Arial"/>
          <w:color w:val="000000"/>
        </w:rPr>
        <w:t>udział w targach turystycznych</w:t>
      </w:r>
      <w:r w:rsidR="0013206A">
        <w:rPr>
          <w:rFonts w:asciiTheme="majorHAnsi" w:hAnsiTheme="majorHAnsi" w:cs="Arial"/>
          <w:color w:val="000000"/>
        </w:rPr>
        <w:t>,</w:t>
      </w:r>
    </w:p>
    <w:p w14:paraId="2AB9F40E" w14:textId="2302407A" w:rsidR="007B23D5" w:rsidRPr="0013206A" w:rsidRDefault="007B23D5" w:rsidP="00A67F37">
      <w:pPr>
        <w:pStyle w:val="Akapitzlist"/>
        <w:numPr>
          <w:ilvl w:val="0"/>
          <w:numId w:val="42"/>
        </w:numPr>
        <w:shd w:val="clear" w:color="auto" w:fill="FFFFFF"/>
        <w:spacing w:after="0" w:line="276" w:lineRule="auto"/>
        <w:jc w:val="both"/>
        <w:rPr>
          <w:rFonts w:asciiTheme="majorHAnsi" w:hAnsiTheme="majorHAnsi" w:cs="Arial"/>
          <w:color w:val="000000"/>
        </w:rPr>
      </w:pPr>
      <w:r w:rsidRPr="0013206A">
        <w:rPr>
          <w:rFonts w:asciiTheme="majorHAnsi" w:hAnsiTheme="majorHAnsi" w:cs="Arial"/>
          <w:color w:val="000000"/>
        </w:rPr>
        <w:t>seminarium "Lokalne produkty turystyczne”</w:t>
      </w:r>
      <w:r w:rsidR="0013206A">
        <w:rPr>
          <w:rFonts w:asciiTheme="majorHAnsi" w:hAnsiTheme="majorHAnsi" w:cs="Arial"/>
          <w:color w:val="000000"/>
        </w:rPr>
        <w:t>,</w:t>
      </w:r>
    </w:p>
    <w:p w14:paraId="3AD49919" w14:textId="28704863" w:rsidR="007B23D5" w:rsidRPr="0013206A" w:rsidRDefault="007B23D5" w:rsidP="00A67F37">
      <w:pPr>
        <w:pStyle w:val="Akapitzlist"/>
        <w:numPr>
          <w:ilvl w:val="0"/>
          <w:numId w:val="42"/>
        </w:numPr>
        <w:shd w:val="clear" w:color="auto" w:fill="FFFFFF"/>
        <w:spacing w:after="0" w:line="276" w:lineRule="auto"/>
        <w:jc w:val="both"/>
        <w:rPr>
          <w:rFonts w:asciiTheme="majorHAnsi" w:hAnsiTheme="majorHAnsi" w:cs="Arial"/>
          <w:color w:val="000000"/>
        </w:rPr>
      </w:pPr>
      <w:r w:rsidRPr="0013206A">
        <w:rPr>
          <w:rFonts w:asciiTheme="majorHAnsi" w:hAnsiTheme="majorHAnsi" w:cs="Arial"/>
          <w:color w:val="000000"/>
        </w:rPr>
        <w:t>konferencja "Rozwój obszarów wiejskich”</w:t>
      </w:r>
      <w:r w:rsidR="0013206A">
        <w:rPr>
          <w:rFonts w:asciiTheme="majorHAnsi" w:hAnsiTheme="majorHAnsi" w:cs="Arial"/>
          <w:color w:val="000000"/>
        </w:rPr>
        <w:t>,</w:t>
      </w:r>
    </w:p>
    <w:p w14:paraId="09023006" w14:textId="7695BD0D" w:rsidR="007B23D5" w:rsidRPr="0013206A" w:rsidRDefault="007B23D5" w:rsidP="00A67F37">
      <w:pPr>
        <w:pStyle w:val="Akapitzlist"/>
        <w:numPr>
          <w:ilvl w:val="0"/>
          <w:numId w:val="42"/>
        </w:numPr>
        <w:shd w:val="clear" w:color="auto" w:fill="FFFFFF"/>
        <w:spacing w:after="0" w:line="276" w:lineRule="auto"/>
        <w:jc w:val="both"/>
        <w:rPr>
          <w:rFonts w:asciiTheme="majorHAnsi" w:hAnsiTheme="majorHAnsi" w:cs="Arial"/>
          <w:color w:val="000000"/>
        </w:rPr>
      </w:pPr>
      <w:r w:rsidRPr="0013206A">
        <w:rPr>
          <w:rFonts w:asciiTheme="majorHAnsi" w:hAnsiTheme="majorHAnsi" w:cs="Arial"/>
          <w:color w:val="000000"/>
        </w:rPr>
        <w:t>impreza "Mazurskie wesele" w Kamionce</w:t>
      </w:r>
      <w:r w:rsidR="0013206A">
        <w:rPr>
          <w:rFonts w:asciiTheme="majorHAnsi" w:hAnsiTheme="majorHAnsi" w:cs="Arial"/>
          <w:color w:val="000000"/>
        </w:rPr>
        <w:t>.</w:t>
      </w:r>
    </w:p>
    <w:p w14:paraId="33F904C9" w14:textId="698299AD" w:rsidR="007B23D5" w:rsidRPr="0013206A" w:rsidRDefault="007B23D5" w:rsidP="0013206A">
      <w:pPr>
        <w:numPr>
          <w:ilvl w:val="0"/>
          <w:numId w:val="33"/>
        </w:numPr>
        <w:shd w:val="clear" w:color="auto" w:fill="FFFFFF"/>
        <w:spacing w:after="0" w:line="276" w:lineRule="auto"/>
        <w:ind w:left="357" w:hanging="357"/>
        <w:jc w:val="both"/>
        <w:rPr>
          <w:rFonts w:asciiTheme="majorHAnsi" w:hAnsiTheme="majorHAnsi" w:cs="Arial"/>
          <w:color w:val="000000"/>
        </w:rPr>
      </w:pPr>
      <w:r w:rsidRPr="0013206A">
        <w:rPr>
          <w:rFonts w:asciiTheme="majorHAnsi" w:hAnsiTheme="majorHAnsi" w:cs="Arial"/>
          <w:color w:val="000000"/>
        </w:rPr>
        <w:t>"Ziemia Nidzicka zaprasza"</w:t>
      </w:r>
      <w:r w:rsidR="0013206A">
        <w:rPr>
          <w:rFonts w:asciiTheme="majorHAnsi" w:hAnsiTheme="majorHAnsi" w:cs="Arial"/>
          <w:color w:val="000000"/>
        </w:rPr>
        <w:t>:</w:t>
      </w:r>
    </w:p>
    <w:p w14:paraId="73396C1B" w14:textId="524E68B9" w:rsidR="007B23D5" w:rsidRPr="0013206A" w:rsidRDefault="007B23D5" w:rsidP="00A67F37">
      <w:pPr>
        <w:pStyle w:val="Akapitzlist"/>
        <w:numPr>
          <w:ilvl w:val="0"/>
          <w:numId w:val="42"/>
        </w:numPr>
        <w:shd w:val="clear" w:color="auto" w:fill="FFFFFF"/>
        <w:spacing w:after="0" w:line="276" w:lineRule="auto"/>
        <w:jc w:val="both"/>
        <w:rPr>
          <w:rFonts w:asciiTheme="majorHAnsi" w:hAnsiTheme="majorHAnsi" w:cs="Arial"/>
          <w:color w:val="000000"/>
        </w:rPr>
      </w:pPr>
      <w:r w:rsidRPr="0013206A">
        <w:rPr>
          <w:rFonts w:asciiTheme="majorHAnsi" w:hAnsiTheme="majorHAnsi" w:cs="Arial"/>
          <w:color w:val="000000"/>
        </w:rPr>
        <w:t>opracowanie i wydanie albumu </w:t>
      </w:r>
      <w:r w:rsidRPr="00A67F37">
        <w:rPr>
          <w:rFonts w:asciiTheme="majorHAnsi" w:hAnsiTheme="majorHAnsi" w:cs="Arial"/>
          <w:color w:val="000000"/>
        </w:rPr>
        <w:t>Ziemia Nidzicka dawniej i dziś</w:t>
      </w:r>
      <w:r w:rsidR="0013206A" w:rsidRPr="00A67F37">
        <w:rPr>
          <w:rFonts w:asciiTheme="majorHAnsi" w:hAnsiTheme="majorHAnsi" w:cs="Arial"/>
          <w:color w:val="000000"/>
        </w:rPr>
        <w:t>.</w:t>
      </w:r>
    </w:p>
    <w:p w14:paraId="7CF546E2" w14:textId="25146A1C" w:rsidR="007B23D5" w:rsidRPr="0013206A" w:rsidRDefault="007B23D5" w:rsidP="0013206A">
      <w:pPr>
        <w:numPr>
          <w:ilvl w:val="0"/>
          <w:numId w:val="33"/>
        </w:numPr>
        <w:shd w:val="clear" w:color="auto" w:fill="FFFFFF"/>
        <w:spacing w:after="0" w:line="276" w:lineRule="auto"/>
        <w:ind w:left="357" w:hanging="357"/>
        <w:jc w:val="both"/>
        <w:rPr>
          <w:rFonts w:asciiTheme="majorHAnsi" w:hAnsiTheme="majorHAnsi" w:cs="Arial"/>
          <w:color w:val="000000"/>
        </w:rPr>
      </w:pPr>
      <w:r w:rsidRPr="0013206A">
        <w:rPr>
          <w:rFonts w:asciiTheme="majorHAnsi" w:hAnsiTheme="majorHAnsi" w:cs="Arial"/>
          <w:color w:val="000000"/>
        </w:rPr>
        <w:t>"Połączy nas szlak rowerowy"</w:t>
      </w:r>
      <w:r w:rsidR="0013206A">
        <w:rPr>
          <w:rFonts w:asciiTheme="majorHAnsi" w:hAnsiTheme="majorHAnsi" w:cs="Arial"/>
          <w:color w:val="000000"/>
        </w:rPr>
        <w:t>:</w:t>
      </w:r>
    </w:p>
    <w:p w14:paraId="68AD4EB3" w14:textId="1B37730A" w:rsidR="007B23D5" w:rsidRPr="0013206A" w:rsidRDefault="007B23D5" w:rsidP="00A67F37">
      <w:pPr>
        <w:pStyle w:val="Akapitzlist"/>
        <w:numPr>
          <w:ilvl w:val="0"/>
          <w:numId w:val="42"/>
        </w:numPr>
        <w:shd w:val="clear" w:color="auto" w:fill="FFFFFF"/>
        <w:spacing w:after="0" w:line="276" w:lineRule="auto"/>
        <w:jc w:val="both"/>
        <w:rPr>
          <w:rFonts w:asciiTheme="majorHAnsi" w:hAnsiTheme="majorHAnsi" w:cs="Arial"/>
          <w:color w:val="000000"/>
        </w:rPr>
      </w:pPr>
      <w:r w:rsidRPr="0013206A">
        <w:rPr>
          <w:rFonts w:asciiTheme="majorHAnsi" w:hAnsiTheme="majorHAnsi" w:cs="Arial"/>
          <w:color w:val="000000"/>
        </w:rPr>
        <w:t>wytyczenie szlaku rowerowego łączącego miejscowości czterech gmin powiatu nidzickiego</w:t>
      </w:r>
      <w:r w:rsidR="0013206A">
        <w:rPr>
          <w:rFonts w:asciiTheme="majorHAnsi" w:hAnsiTheme="majorHAnsi" w:cs="Arial"/>
          <w:color w:val="000000"/>
        </w:rPr>
        <w:t>,</w:t>
      </w:r>
    </w:p>
    <w:p w14:paraId="5BB119F1" w14:textId="39450952" w:rsidR="007B23D5" w:rsidRPr="0013206A" w:rsidRDefault="007B23D5" w:rsidP="00A67F37">
      <w:pPr>
        <w:pStyle w:val="Akapitzlist"/>
        <w:numPr>
          <w:ilvl w:val="0"/>
          <w:numId w:val="42"/>
        </w:numPr>
        <w:shd w:val="clear" w:color="auto" w:fill="FFFFFF"/>
        <w:spacing w:after="0" w:line="276" w:lineRule="auto"/>
        <w:jc w:val="both"/>
        <w:rPr>
          <w:rFonts w:asciiTheme="majorHAnsi" w:hAnsiTheme="majorHAnsi" w:cs="Arial"/>
          <w:color w:val="000000"/>
        </w:rPr>
      </w:pPr>
      <w:r w:rsidRPr="0013206A">
        <w:rPr>
          <w:rFonts w:asciiTheme="majorHAnsi" w:hAnsiTheme="majorHAnsi" w:cs="Arial"/>
          <w:color w:val="000000"/>
        </w:rPr>
        <w:t>opracowanie i druk przewodnika po szlakach rowerowych</w:t>
      </w:r>
      <w:r w:rsidR="0013206A">
        <w:rPr>
          <w:rFonts w:asciiTheme="majorHAnsi" w:hAnsiTheme="majorHAnsi" w:cs="Arial"/>
          <w:color w:val="000000"/>
        </w:rPr>
        <w:t>,</w:t>
      </w:r>
    </w:p>
    <w:p w14:paraId="343D287D" w14:textId="28835B98" w:rsidR="007B23D5" w:rsidRPr="0013206A" w:rsidRDefault="007B23D5" w:rsidP="00A67F37">
      <w:pPr>
        <w:pStyle w:val="Akapitzlist"/>
        <w:numPr>
          <w:ilvl w:val="0"/>
          <w:numId w:val="42"/>
        </w:numPr>
        <w:shd w:val="clear" w:color="auto" w:fill="FFFFFF"/>
        <w:spacing w:after="0" w:line="276" w:lineRule="auto"/>
        <w:jc w:val="both"/>
        <w:rPr>
          <w:rFonts w:asciiTheme="majorHAnsi" w:hAnsiTheme="majorHAnsi" w:cs="Arial"/>
          <w:color w:val="000000"/>
        </w:rPr>
      </w:pPr>
      <w:r w:rsidRPr="0013206A">
        <w:rPr>
          <w:rFonts w:asciiTheme="majorHAnsi" w:hAnsiTheme="majorHAnsi" w:cs="Arial"/>
          <w:color w:val="000000"/>
        </w:rPr>
        <w:t>wykonanie oznakowania szlaków rowerowych</w:t>
      </w:r>
      <w:r w:rsidR="0013206A">
        <w:rPr>
          <w:rFonts w:asciiTheme="majorHAnsi" w:hAnsiTheme="majorHAnsi" w:cs="Arial"/>
          <w:color w:val="000000"/>
        </w:rPr>
        <w:t>.</w:t>
      </w:r>
    </w:p>
    <w:p w14:paraId="29471981" w14:textId="525D90A9" w:rsidR="007B23D5" w:rsidRPr="0013206A" w:rsidRDefault="007B23D5" w:rsidP="0013206A">
      <w:pPr>
        <w:numPr>
          <w:ilvl w:val="0"/>
          <w:numId w:val="33"/>
        </w:numPr>
        <w:shd w:val="clear" w:color="auto" w:fill="FFFFFF"/>
        <w:spacing w:after="0" w:line="276" w:lineRule="auto"/>
        <w:ind w:left="357" w:hanging="357"/>
        <w:jc w:val="both"/>
        <w:rPr>
          <w:rFonts w:asciiTheme="majorHAnsi" w:hAnsiTheme="majorHAnsi" w:cs="Arial"/>
          <w:color w:val="000000"/>
        </w:rPr>
      </w:pPr>
      <w:r w:rsidRPr="0013206A">
        <w:rPr>
          <w:rFonts w:asciiTheme="majorHAnsi" w:hAnsiTheme="majorHAnsi" w:cs="Arial"/>
          <w:color w:val="000000"/>
        </w:rPr>
        <w:t>"Święto pieczonego ziemniaka"</w:t>
      </w:r>
      <w:r w:rsidR="0013206A">
        <w:rPr>
          <w:rFonts w:asciiTheme="majorHAnsi" w:hAnsiTheme="majorHAnsi" w:cs="Arial"/>
          <w:color w:val="000000"/>
        </w:rPr>
        <w:t>:</w:t>
      </w:r>
    </w:p>
    <w:p w14:paraId="27AA3864" w14:textId="6A83974E" w:rsidR="007B23D5" w:rsidRPr="0013206A" w:rsidRDefault="007B23D5" w:rsidP="00A67F37">
      <w:pPr>
        <w:pStyle w:val="Akapitzlist"/>
        <w:numPr>
          <w:ilvl w:val="0"/>
          <w:numId w:val="42"/>
        </w:numPr>
        <w:shd w:val="clear" w:color="auto" w:fill="FFFFFF"/>
        <w:spacing w:after="0" w:line="276" w:lineRule="auto"/>
        <w:jc w:val="both"/>
        <w:rPr>
          <w:rFonts w:asciiTheme="majorHAnsi" w:hAnsiTheme="majorHAnsi" w:cs="Arial"/>
          <w:color w:val="000000"/>
        </w:rPr>
      </w:pPr>
      <w:r w:rsidRPr="0013206A">
        <w:rPr>
          <w:rFonts w:asciiTheme="majorHAnsi" w:hAnsiTheme="majorHAnsi" w:cs="Arial"/>
          <w:color w:val="000000"/>
        </w:rPr>
        <w:t>szkolenie dla rolników – rolnictwo ekologiczne</w:t>
      </w:r>
      <w:r w:rsidR="0013206A">
        <w:rPr>
          <w:rFonts w:asciiTheme="majorHAnsi" w:hAnsiTheme="majorHAnsi" w:cs="Arial"/>
          <w:color w:val="000000"/>
        </w:rPr>
        <w:t>,</w:t>
      </w:r>
    </w:p>
    <w:p w14:paraId="48421597" w14:textId="55508B76" w:rsidR="007B23D5" w:rsidRPr="0013206A" w:rsidRDefault="007B23D5" w:rsidP="00A67F37">
      <w:pPr>
        <w:pStyle w:val="Akapitzlist"/>
        <w:numPr>
          <w:ilvl w:val="0"/>
          <w:numId w:val="42"/>
        </w:numPr>
        <w:shd w:val="clear" w:color="auto" w:fill="FFFFFF"/>
        <w:spacing w:after="0" w:line="276" w:lineRule="auto"/>
        <w:jc w:val="both"/>
        <w:rPr>
          <w:rFonts w:asciiTheme="majorHAnsi" w:hAnsiTheme="majorHAnsi" w:cs="Arial"/>
          <w:color w:val="000000"/>
        </w:rPr>
      </w:pPr>
      <w:r w:rsidRPr="0013206A">
        <w:rPr>
          <w:rFonts w:asciiTheme="majorHAnsi" w:hAnsiTheme="majorHAnsi" w:cs="Arial"/>
          <w:color w:val="000000"/>
        </w:rPr>
        <w:t>szkolenia dla rolników – grupy producenckie</w:t>
      </w:r>
      <w:r w:rsidR="0013206A">
        <w:rPr>
          <w:rFonts w:asciiTheme="majorHAnsi" w:hAnsiTheme="majorHAnsi" w:cs="Arial"/>
          <w:color w:val="000000"/>
        </w:rPr>
        <w:t>,</w:t>
      </w:r>
    </w:p>
    <w:p w14:paraId="2A4323B7" w14:textId="65357517" w:rsidR="007B23D5" w:rsidRPr="0013206A" w:rsidRDefault="007B23D5" w:rsidP="00A67F37">
      <w:pPr>
        <w:pStyle w:val="Akapitzlist"/>
        <w:numPr>
          <w:ilvl w:val="0"/>
          <w:numId w:val="42"/>
        </w:numPr>
        <w:shd w:val="clear" w:color="auto" w:fill="FFFFFF"/>
        <w:spacing w:after="0" w:line="276" w:lineRule="auto"/>
        <w:jc w:val="both"/>
        <w:rPr>
          <w:rFonts w:asciiTheme="majorHAnsi" w:hAnsiTheme="majorHAnsi" w:cs="Arial"/>
          <w:color w:val="000000"/>
        </w:rPr>
      </w:pPr>
      <w:r w:rsidRPr="0013206A">
        <w:rPr>
          <w:rFonts w:asciiTheme="majorHAnsi" w:hAnsiTheme="majorHAnsi" w:cs="Arial"/>
          <w:color w:val="000000"/>
        </w:rPr>
        <w:t>wydanie broszury promującej lokalne produkty rolnicze</w:t>
      </w:r>
      <w:r w:rsidR="0013206A">
        <w:rPr>
          <w:rFonts w:asciiTheme="majorHAnsi" w:hAnsiTheme="majorHAnsi" w:cs="Arial"/>
          <w:color w:val="000000"/>
        </w:rPr>
        <w:t>.</w:t>
      </w:r>
    </w:p>
    <w:p w14:paraId="6CBDDF7F" w14:textId="4ED9E8FE" w:rsidR="007B23D5" w:rsidRPr="0013206A" w:rsidRDefault="007B23D5" w:rsidP="0013206A">
      <w:pPr>
        <w:numPr>
          <w:ilvl w:val="0"/>
          <w:numId w:val="33"/>
        </w:numPr>
        <w:shd w:val="clear" w:color="auto" w:fill="FFFFFF"/>
        <w:spacing w:after="0" w:line="276" w:lineRule="auto"/>
        <w:ind w:left="357" w:hanging="357"/>
        <w:jc w:val="both"/>
        <w:rPr>
          <w:rFonts w:asciiTheme="majorHAnsi" w:hAnsiTheme="majorHAnsi" w:cs="Arial"/>
          <w:color w:val="000000"/>
        </w:rPr>
      </w:pPr>
      <w:r w:rsidRPr="0013206A">
        <w:rPr>
          <w:rFonts w:asciiTheme="majorHAnsi" w:hAnsiTheme="majorHAnsi" w:cs="Arial"/>
          <w:color w:val="000000"/>
        </w:rPr>
        <w:t>Impreza "Święto pieczonego ziemniaka"</w:t>
      </w:r>
      <w:r w:rsidR="0013206A">
        <w:rPr>
          <w:rFonts w:asciiTheme="majorHAnsi" w:hAnsiTheme="majorHAnsi" w:cs="Arial"/>
          <w:color w:val="000000"/>
        </w:rPr>
        <w:t>.</w:t>
      </w:r>
    </w:p>
    <w:p w14:paraId="4B33F7EF" w14:textId="18CC38DC" w:rsidR="007B23D5" w:rsidRPr="0013206A" w:rsidRDefault="007B23D5" w:rsidP="0013206A">
      <w:pPr>
        <w:numPr>
          <w:ilvl w:val="0"/>
          <w:numId w:val="33"/>
        </w:numPr>
        <w:shd w:val="clear" w:color="auto" w:fill="FFFFFF"/>
        <w:spacing w:after="0" w:line="276" w:lineRule="auto"/>
        <w:ind w:left="357" w:hanging="357"/>
        <w:jc w:val="both"/>
        <w:rPr>
          <w:rFonts w:asciiTheme="majorHAnsi" w:hAnsiTheme="majorHAnsi" w:cs="Arial"/>
          <w:color w:val="000000"/>
        </w:rPr>
      </w:pPr>
      <w:r w:rsidRPr="0013206A">
        <w:rPr>
          <w:rFonts w:asciiTheme="majorHAnsi" w:hAnsiTheme="majorHAnsi" w:cs="Arial"/>
          <w:color w:val="000000"/>
        </w:rPr>
        <w:t>"Szansa na sukces"</w:t>
      </w:r>
      <w:r w:rsidR="0013206A">
        <w:rPr>
          <w:rFonts w:asciiTheme="majorHAnsi" w:hAnsiTheme="majorHAnsi" w:cs="Arial"/>
          <w:color w:val="000000"/>
        </w:rPr>
        <w:t>:</w:t>
      </w:r>
    </w:p>
    <w:p w14:paraId="23BB5BC6" w14:textId="6DAE0891" w:rsidR="007B23D5" w:rsidRPr="0013206A" w:rsidRDefault="007B23D5" w:rsidP="00A67F37">
      <w:pPr>
        <w:pStyle w:val="Akapitzlist"/>
        <w:numPr>
          <w:ilvl w:val="0"/>
          <w:numId w:val="42"/>
        </w:numPr>
        <w:shd w:val="clear" w:color="auto" w:fill="FFFFFF"/>
        <w:spacing w:after="0" w:line="276" w:lineRule="auto"/>
        <w:jc w:val="both"/>
        <w:rPr>
          <w:rFonts w:asciiTheme="majorHAnsi" w:hAnsiTheme="majorHAnsi" w:cs="Arial"/>
          <w:color w:val="000000"/>
        </w:rPr>
      </w:pPr>
      <w:r w:rsidRPr="0013206A">
        <w:rPr>
          <w:rFonts w:asciiTheme="majorHAnsi" w:hAnsiTheme="majorHAnsi" w:cs="Arial"/>
          <w:color w:val="000000"/>
        </w:rPr>
        <w:t xml:space="preserve">opracowanie dokumentacji, analiz i ekspertyz pod przyszłe inwestycje: park wiejski w Załuskach, kanalizacje i wodociągi nad </w:t>
      </w:r>
      <w:proofErr w:type="spellStart"/>
      <w:r w:rsidRPr="0013206A">
        <w:rPr>
          <w:rFonts w:asciiTheme="majorHAnsi" w:hAnsiTheme="majorHAnsi" w:cs="Arial"/>
          <w:color w:val="000000"/>
        </w:rPr>
        <w:t>Omulewem</w:t>
      </w:r>
      <w:proofErr w:type="spellEnd"/>
      <w:r w:rsidRPr="0013206A">
        <w:rPr>
          <w:rFonts w:asciiTheme="majorHAnsi" w:hAnsiTheme="majorHAnsi" w:cs="Arial"/>
          <w:color w:val="000000"/>
        </w:rPr>
        <w:t>, świetlice wiejskie w Jabłonce i Kanigowie, wał obronny w Wałach, centrum edukacji ekologicznej w Łyńskim Młynie</w:t>
      </w:r>
      <w:r w:rsidR="0013206A">
        <w:rPr>
          <w:rFonts w:asciiTheme="majorHAnsi" w:hAnsiTheme="majorHAnsi" w:cs="Arial"/>
          <w:color w:val="000000"/>
        </w:rPr>
        <w:t>.</w:t>
      </w:r>
    </w:p>
    <w:p w14:paraId="6E245B2E" w14:textId="56374F28" w:rsidR="0057633C" w:rsidRDefault="0013206A" w:rsidP="007B23D5">
      <w:pPr>
        <w:spacing w:after="0" w:line="276" w:lineRule="auto"/>
        <w:jc w:val="both"/>
        <w:rPr>
          <w:rFonts w:asciiTheme="majorHAnsi" w:hAnsiTheme="majorHAnsi" w:cstheme="majorHAnsi"/>
        </w:rPr>
      </w:pPr>
      <w:r>
        <w:rPr>
          <w:rFonts w:asciiTheme="majorHAnsi" w:hAnsiTheme="majorHAnsi" w:cstheme="majorHAnsi"/>
        </w:rPr>
        <w:t xml:space="preserve">Z kolei </w:t>
      </w:r>
      <w:r w:rsidRPr="0013206A">
        <w:rPr>
          <w:rFonts w:asciiTheme="majorHAnsi" w:hAnsiTheme="majorHAnsi" w:cstheme="majorHAnsi"/>
        </w:rPr>
        <w:t xml:space="preserve">LGD "Mazurskie Morze" </w:t>
      </w:r>
      <w:r>
        <w:rPr>
          <w:rFonts w:asciiTheme="majorHAnsi" w:hAnsiTheme="majorHAnsi" w:cstheme="majorHAnsi"/>
        </w:rPr>
        <w:t>to</w:t>
      </w:r>
      <w:r w:rsidRPr="0013206A">
        <w:rPr>
          <w:rFonts w:asciiTheme="majorHAnsi" w:hAnsiTheme="majorHAnsi" w:cstheme="majorHAnsi"/>
        </w:rPr>
        <w:t xml:space="preserve"> dobrowolne, samorządne. trwałe zrzeszenie o celach niezarobkowych, mające na celu podniesienie jakości życia na wsi i obszarach wiejskich dzięki oddolnym inicjatywom rolników, mieszkańców, przedsiębiorców, stowarzyszeń i gmin.</w:t>
      </w:r>
      <w:r>
        <w:rPr>
          <w:rFonts w:asciiTheme="majorHAnsi" w:hAnsiTheme="majorHAnsi" w:cstheme="majorHAnsi"/>
        </w:rPr>
        <w:t xml:space="preserve"> P</w:t>
      </w:r>
      <w:r w:rsidRPr="0013206A">
        <w:rPr>
          <w:rFonts w:asciiTheme="majorHAnsi" w:hAnsiTheme="majorHAnsi" w:cstheme="majorHAnsi"/>
        </w:rPr>
        <w:t>owstało, by umożliwić mieszkańcom sześciu gmin leżących wokół jeziora Śniardwy, czyli gmin: Biała Piska, Mikołajki, Orzysz, Piecki, Pisz i</w:t>
      </w:r>
      <w:r w:rsidR="009855DE">
        <w:rPr>
          <w:rFonts w:asciiTheme="majorHAnsi" w:hAnsiTheme="majorHAnsi" w:cstheme="majorHAnsi"/>
        </w:rPr>
        <w:t xml:space="preserve"> </w:t>
      </w:r>
      <w:proofErr w:type="spellStart"/>
      <w:r w:rsidRPr="0013206A">
        <w:rPr>
          <w:rFonts w:asciiTheme="majorHAnsi" w:hAnsiTheme="majorHAnsi" w:cstheme="majorHAnsi"/>
        </w:rPr>
        <w:t>Ruciane-Nida</w:t>
      </w:r>
      <w:proofErr w:type="spellEnd"/>
      <w:r w:rsidRPr="0013206A">
        <w:rPr>
          <w:rFonts w:asciiTheme="majorHAnsi" w:hAnsiTheme="majorHAnsi" w:cstheme="majorHAnsi"/>
        </w:rPr>
        <w:t>, wykorzystanie unijnych środków dostępnych w ramach osi 4 LEADER Programu Rozwoju Obszarów Wiejskich w latach 2007–2013.</w:t>
      </w:r>
    </w:p>
    <w:p w14:paraId="5C03F86D" w14:textId="77777777" w:rsidR="0057633C" w:rsidRDefault="0057633C">
      <w:pPr>
        <w:rPr>
          <w:rFonts w:asciiTheme="majorHAnsi" w:hAnsiTheme="majorHAnsi" w:cstheme="majorHAnsi"/>
        </w:rPr>
      </w:pPr>
      <w:r>
        <w:rPr>
          <w:rFonts w:asciiTheme="majorHAnsi" w:hAnsiTheme="majorHAnsi" w:cstheme="majorHAnsi"/>
        </w:rPr>
        <w:br w:type="page"/>
      </w:r>
    </w:p>
    <w:p w14:paraId="3FE0CD9A" w14:textId="77777777" w:rsidR="0013206A" w:rsidRPr="009042CB" w:rsidRDefault="0013206A" w:rsidP="007B23D5">
      <w:pPr>
        <w:spacing w:after="0" w:line="276" w:lineRule="auto"/>
        <w:jc w:val="both"/>
        <w:rPr>
          <w:rFonts w:asciiTheme="majorHAnsi" w:hAnsiTheme="majorHAnsi" w:cstheme="majorHAnsi"/>
        </w:rPr>
      </w:pPr>
    </w:p>
    <w:p w14:paraId="6CBF5A90" w14:textId="6EB65C8C" w:rsidR="007F1C60" w:rsidRPr="00F25EBD" w:rsidRDefault="00962762" w:rsidP="00962762">
      <w:pPr>
        <w:pStyle w:val="Nagwek1"/>
        <w:spacing w:line="276" w:lineRule="auto"/>
        <w:jc w:val="both"/>
        <w:rPr>
          <w:rFonts w:cstheme="majorHAnsi"/>
        </w:rPr>
      </w:pPr>
      <w:bookmarkStart w:id="87" w:name="_Toc77070624"/>
      <w:r>
        <w:rPr>
          <w:rFonts w:cstheme="majorHAnsi"/>
        </w:rPr>
        <w:t xml:space="preserve">8. </w:t>
      </w:r>
      <w:proofErr w:type="spellStart"/>
      <w:r w:rsidR="007F1C60" w:rsidRPr="00F25EBD">
        <w:rPr>
          <w:rFonts w:cstheme="majorHAnsi"/>
        </w:rPr>
        <w:t>Benchmarking</w:t>
      </w:r>
      <w:bookmarkEnd w:id="87"/>
      <w:proofErr w:type="spellEnd"/>
      <w:r w:rsidR="007F1C60" w:rsidRPr="00F25EBD">
        <w:rPr>
          <w:rFonts w:cstheme="majorHAnsi"/>
        </w:rPr>
        <w:t xml:space="preserve"> </w:t>
      </w:r>
    </w:p>
    <w:p w14:paraId="629512F3" w14:textId="77777777" w:rsidR="003B7DCD" w:rsidRPr="00F25EBD" w:rsidRDefault="003B7DCD" w:rsidP="00FC7062">
      <w:pPr>
        <w:spacing w:after="0" w:line="276" w:lineRule="auto"/>
        <w:jc w:val="both"/>
        <w:rPr>
          <w:rFonts w:asciiTheme="majorHAnsi" w:hAnsiTheme="majorHAnsi" w:cstheme="majorHAnsi"/>
          <w:noProof/>
        </w:rPr>
      </w:pPr>
      <w:r w:rsidRPr="00F25EBD">
        <w:rPr>
          <w:rFonts w:asciiTheme="majorHAnsi" w:hAnsiTheme="majorHAnsi" w:cstheme="majorHAnsi"/>
          <w:noProof/>
        </w:rPr>
        <w:t>W związku z opracowaniem Strategii OF Mazury Południowe 2030 przygotowano benchmark powiatów wchodzacych w skład obszaru. Prównania powiatów dokonano w oparciu o dostępne dane publiczne (GUS) opisujące główne dziedziny życia społecznego:</w:t>
      </w:r>
    </w:p>
    <w:p w14:paraId="0C04CD25" w14:textId="77777777" w:rsidR="003B7DCD" w:rsidRPr="00F25EBD" w:rsidRDefault="003B7DCD" w:rsidP="00624F1F">
      <w:pPr>
        <w:pStyle w:val="Akapitzlist"/>
        <w:numPr>
          <w:ilvl w:val="0"/>
          <w:numId w:val="16"/>
        </w:numPr>
        <w:spacing w:line="276" w:lineRule="auto"/>
        <w:jc w:val="both"/>
        <w:rPr>
          <w:rFonts w:asciiTheme="majorHAnsi" w:hAnsiTheme="majorHAnsi" w:cstheme="majorHAnsi"/>
          <w:noProof/>
        </w:rPr>
      </w:pPr>
      <w:r w:rsidRPr="00F25EBD">
        <w:rPr>
          <w:rFonts w:asciiTheme="majorHAnsi" w:hAnsiTheme="majorHAnsi" w:cstheme="majorHAnsi"/>
          <w:noProof/>
        </w:rPr>
        <w:t>demografia</w:t>
      </w:r>
    </w:p>
    <w:p w14:paraId="2F3EC841" w14:textId="77777777" w:rsidR="003B7DCD" w:rsidRPr="00F25EBD" w:rsidRDefault="003B7DCD" w:rsidP="00624F1F">
      <w:pPr>
        <w:pStyle w:val="Akapitzlist"/>
        <w:numPr>
          <w:ilvl w:val="0"/>
          <w:numId w:val="16"/>
        </w:numPr>
        <w:spacing w:line="276" w:lineRule="auto"/>
        <w:jc w:val="both"/>
        <w:rPr>
          <w:rFonts w:asciiTheme="majorHAnsi" w:hAnsiTheme="majorHAnsi" w:cstheme="majorHAnsi"/>
          <w:noProof/>
        </w:rPr>
      </w:pPr>
      <w:r w:rsidRPr="00F25EBD">
        <w:rPr>
          <w:rFonts w:asciiTheme="majorHAnsi" w:hAnsiTheme="majorHAnsi" w:cstheme="majorHAnsi"/>
          <w:noProof/>
        </w:rPr>
        <w:t>zdrowie</w:t>
      </w:r>
    </w:p>
    <w:p w14:paraId="169527DA" w14:textId="77777777" w:rsidR="003B7DCD" w:rsidRPr="00F25EBD" w:rsidRDefault="003B7DCD" w:rsidP="00624F1F">
      <w:pPr>
        <w:pStyle w:val="Akapitzlist"/>
        <w:numPr>
          <w:ilvl w:val="0"/>
          <w:numId w:val="16"/>
        </w:numPr>
        <w:spacing w:line="276" w:lineRule="auto"/>
        <w:jc w:val="both"/>
        <w:rPr>
          <w:rFonts w:asciiTheme="majorHAnsi" w:hAnsiTheme="majorHAnsi" w:cstheme="majorHAnsi"/>
          <w:noProof/>
        </w:rPr>
      </w:pPr>
      <w:r w:rsidRPr="00F25EBD">
        <w:rPr>
          <w:rFonts w:asciiTheme="majorHAnsi" w:hAnsiTheme="majorHAnsi" w:cstheme="majorHAnsi"/>
          <w:noProof/>
        </w:rPr>
        <w:t>edukacja</w:t>
      </w:r>
    </w:p>
    <w:p w14:paraId="73269F8C" w14:textId="77777777" w:rsidR="003B7DCD" w:rsidRPr="00F25EBD" w:rsidRDefault="003B7DCD" w:rsidP="00624F1F">
      <w:pPr>
        <w:pStyle w:val="Akapitzlist"/>
        <w:numPr>
          <w:ilvl w:val="0"/>
          <w:numId w:val="16"/>
        </w:numPr>
        <w:spacing w:line="276" w:lineRule="auto"/>
        <w:jc w:val="both"/>
        <w:rPr>
          <w:rFonts w:asciiTheme="majorHAnsi" w:hAnsiTheme="majorHAnsi" w:cstheme="majorHAnsi"/>
          <w:noProof/>
        </w:rPr>
      </w:pPr>
      <w:r w:rsidRPr="00F25EBD">
        <w:rPr>
          <w:rFonts w:asciiTheme="majorHAnsi" w:hAnsiTheme="majorHAnsi" w:cstheme="majorHAnsi"/>
          <w:noProof/>
        </w:rPr>
        <w:t>gospodarka i rynek pracy</w:t>
      </w:r>
    </w:p>
    <w:p w14:paraId="2BC3B765" w14:textId="77777777" w:rsidR="003B7DCD" w:rsidRPr="00F25EBD" w:rsidRDefault="003B7DCD" w:rsidP="00624F1F">
      <w:pPr>
        <w:pStyle w:val="Akapitzlist"/>
        <w:numPr>
          <w:ilvl w:val="0"/>
          <w:numId w:val="16"/>
        </w:numPr>
        <w:spacing w:line="276" w:lineRule="auto"/>
        <w:jc w:val="both"/>
        <w:rPr>
          <w:rFonts w:asciiTheme="majorHAnsi" w:hAnsiTheme="majorHAnsi" w:cstheme="majorHAnsi"/>
          <w:noProof/>
        </w:rPr>
      </w:pPr>
      <w:r w:rsidRPr="00F25EBD">
        <w:rPr>
          <w:rFonts w:asciiTheme="majorHAnsi" w:hAnsiTheme="majorHAnsi" w:cstheme="majorHAnsi"/>
          <w:noProof/>
        </w:rPr>
        <w:t>turystyka</w:t>
      </w:r>
    </w:p>
    <w:p w14:paraId="0E5F6926" w14:textId="77777777" w:rsidR="003B7DCD" w:rsidRPr="00F25EBD" w:rsidRDefault="003B7DCD" w:rsidP="00624F1F">
      <w:pPr>
        <w:pStyle w:val="Akapitzlist"/>
        <w:numPr>
          <w:ilvl w:val="0"/>
          <w:numId w:val="16"/>
        </w:numPr>
        <w:spacing w:line="276" w:lineRule="auto"/>
        <w:jc w:val="both"/>
        <w:rPr>
          <w:rFonts w:asciiTheme="majorHAnsi" w:hAnsiTheme="majorHAnsi" w:cstheme="majorHAnsi"/>
          <w:noProof/>
        </w:rPr>
      </w:pPr>
      <w:r w:rsidRPr="00F25EBD">
        <w:rPr>
          <w:rFonts w:asciiTheme="majorHAnsi" w:hAnsiTheme="majorHAnsi" w:cstheme="majorHAnsi"/>
          <w:noProof/>
        </w:rPr>
        <w:t>infrastruktura</w:t>
      </w:r>
    </w:p>
    <w:p w14:paraId="7D5186E8" w14:textId="10B1DFE1" w:rsidR="003B7DCD" w:rsidRPr="00F25EBD" w:rsidRDefault="003B7DCD" w:rsidP="00FC7062">
      <w:pPr>
        <w:spacing w:line="276" w:lineRule="auto"/>
        <w:jc w:val="both"/>
        <w:rPr>
          <w:rFonts w:asciiTheme="majorHAnsi" w:hAnsiTheme="majorHAnsi" w:cstheme="majorHAnsi"/>
          <w:noProof/>
        </w:rPr>
      </w:pPr>
      <w:r w:rsidRPr="00F25EBD">
        <w:rPr>
          <w:rFonts w:asciiTheme="majorHAnsi" w:hAnsiTheme="majorHAnsi" w:cstheme="majorHAnsi"/>
          <w:noProof/>
        </w:rPr>
        <w:t>Całość zestawienia została podsumowana w formie punktowej</w:t>
      </w:r>
      <w:r w:rsidR="00512DE6">
        <w:rPr>
          <w:rFonts w:asciiTheme="majorHAnsi" w:hAnsiTheme="majorHAnsi" w:cstheme="majorHAnsi"/>
          <w:noProof/>
        </w:rPr>
        <w:t xml:space="preserve"> - </w:t>
      </w:r>
      <w:r w:rsidRPr="00F25EBD">
        <w:rPr>
          <w:rFonts w:asciiTheme="majorHAnsi" w:hAnsiTheme="majorHAnsi" w:cstheme="majorHAnsi"/>
          <w:noProof/>
        </w:rPr>
        <w:t>przypisując odpowiednie miejsce w</w:t>
      </w:r>
      <w:r w:rsidR="007B7167">
        <w:rPr>
          <w:rFonts w:asciiTheme="majorHAnsi" w:hAnsiTheme="majorHAnsi" w:cstheme="majorHAnsi"/>
          <w:noProof/>
        </w:rPr>
        <w:t> </w:t>
      </w:r>
      <w:r w:rsidRPr="00F25EBD">
        <w:rPr>
          <w:rFonts w:asciiTheme="majorHAnsi" w:hAnsiTheme="majorHAnsi" w:cstheme="majorHAnsi"/>
          <w:noProof/>
        </w:rPr>
        <w:t>rankigu do danego powiatu. Wyliczono średnią dla wszystkich wskaźników i uporządkowano zgodnie z badanymi dziedzinami.</w:t>
      </w:r>
    </w:p>
    <w:p w14:paraId="3BB163A6" w14:textId="77777777" w:rsidR="003B7DCD" w:rsidRPr="00F25EBD" w:rsidRDefault="003B7DCD" w:rsidP="00FC7062">
      <w:pPr>
        <w:spacing w:after="0" w:line="276" w:lineRule="auto"/>
        <w:rPr>
          <w:rFonts w:asciiTheme="majorHAnsi" w:hAnsiTheme="majorHAnsi" w:cstheme="majorHAnsi"/>
          <w:noProof/>
        </w:rPr>
        <w:sectPr w:rsidR="003B7DCD" w:rsidRPr="00F25EBD" w:rsidSect="00BB5769">
          <w:pgSz w:w="11906" w:h="16838"/>
          <w:pgMar w:top="1418" w:right="1418" w:bottom="1418" w:left="1418" w:header="709" w:footer="709" w:gutter="0"/>
          <w:cols w:space="708"/>
        </w:sectPr>
      </w:pPr>
    </w:p>
    <w:p w14:paraId="1F48AA67" w14:textId="618F9B0D" w:rsidR="003B7DCD" w:rsidRPr="00F25EBD" w:rsidRDefault="000434EA" w:rsidP="000434EA">
      <w:pPr>
        <w:pStyle w:val="Nagwek2"/>
        <w:spacing w:before="0"/>
        <w:jc w:val="both"/>
        <w:rPr>
          <w:rFonts w:cstheme="majorHAnsi"/>
        </w:rPr>
      </w:pPr>
      <w:bookmarkStart w:id="88" w:name="_Toc77070625"/>
      <w:r>
        <w:rPr>
          <w:rFonts w:cstheme="majorHAnsi"/>
        </w:rPr>
        <w:t xml:space="preserve">8.1 </w:t>
      </w:r>
      <w:r w:rsidR="003B7DCD" w:rsidRPr="00F25EBD">
        <w:rPr>
          <w:rFonts w:cstheme="majorHAnsi"/>
        </w:rPr>
        <w:t>Demografia</w:t>
      </w:r>
      <w:bookmarkEnd w:id="88"/>
    </w:p>
    <w:p w14:paraId="533D0E48" w14:textId="611ADDC3" w:rsidR="00B153BA" w:rsidRDefault="00B153BA" w:rsidP="00B153BA">
      <w:pPr>
        <w:pStyle w:val="nad"/>
      </w:pPr>
      <w:bookmarkStart w:id="89" w:name="_Toc81300546"/>
      <w:r>
        <w:t xml:space="preserve">Tabela </w:t>
      </w:r>
      <w:r w:rsidR="00094ACC">
        <w:rPr>
          <w:noProof/>
        </w:rPr>
        <w:fldChar w:fldCharType="begin"/>
      </w:r>
      <w:r w:rsidR="00094ACC">
        <w:rPr>
          <w:noProof/>
        </w:rPr>
        <w:instrText xml:space="preserve"> SEQ Tabela \* ARABIC </w:instrText>
      </w:r>
      <w:r w:rsidR="00094ACC">
        <w:rPr>
          <w:noProof/>
        </w:rPr>
        <w:fldChar w:fldCharType="separate"/>
      </w:r>
      <w:r w:rsidR="006C7815">
        <w:rPr>
          <w:noProof/>
        </w:rPr>
        <w:t>20</w:t>
      </w:r>
      <w:r w:rsidR="00094ACC">
        <w:rPr>
          <w:noProof/>
        </w:rPr>
        <w:fldChar w:fldCharType="end"/>
      </w:r>
      <w:r>
        <w:t xml:space="preserve"> Urodzenia i przyrost naturalny na 1000 ludności oraz współczynnik obciążenia demograficznego</w:t>
      </w:r>
      <w:bookmarkEnd w:id="89"/>
    </w:p>
    <w:p w14:paraId="2F89B9C4" w14:textId="1B99B4B7" w:rsidR="007F1C60" w:rsidRPr="00F25EBD" w:rsidRDefault="007F1C60" w:rsidP="00962762">
      <w:pPr>
        <w:spacing w:line="276" w:lineRule="auto"/>
        <w:jc w:val="both"/>
        <w:rPr>
          <w:rFonts w:asciiTheme="majorHAnsi" w:hAnsiTheme="majorHAnsi" w:cstheme="majorHAnsi"/>
        </w:rPr>
      </w:pPr>
      <w:r w:rsidRPr="00F25EBD">
        <w:rPr>
          <w:rFonts w:asciiTheme="majorHAnsi" w:hAnsiTheme="majorHAnsi" w:cstheme="majorHAnsi"/>
          <w:noProof/>
          <w:lang w:eastAsia="pl-PL"/>
        </w:rPr>
        <w:drawing>
          <wp:inline distT="0" distB="0" distL="0" distR="0" wp14:anchorId="2106FF5E" wp14:editId="0118E715">
            <wp:extent cx="8648251" cy="4114800"/>
            <wp:effectExtent l="0" t="0" r="635" b="0"/>
            <wp:docPr id="41" name="Obraz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52">
                      <a:extLst>
                        <a:ext uri="{28A0092B-C50C-407E-A947-70E740481C1C}">
                          <a14:useLocalDpi xmlns:a14="http://schemas.microsoft.com/office/drawing/2010/main" val="0"/>
                        </a:ext>
                      </a:extLst>
                    </a:blip>
                    <a:srcRect t="2428" b="29039"/>
                    <a:stretch/>
                  </pic:blipFill>
                  <pic:spPr bwMode="auto">
                    <a:xfrm>
                      <a:off x="0" y="0"/>
                      <a:ext cx="8653768" cy="4117425"/>
                    </a:xfrm>
                    <a:prstGeom prst="rect">
                      <a:avLst/>
                    </a:prstGeom>
                    <a:noFill/>
                    <a:ln>
                      <a:noFill/>
                    </a:ln>
                    <a:extLst>
                      <a:ext uri="{53640926-AAD7-44D8-BBD7-CCE9431645EC}">
                        <a14:shadowObscured xmlns:a14="http://schemas.microsoft.com/office/drawing/2010/main"/>
                      </a:ext>
                    </a:extLst>
                  </pic:spPr>
                </pic:pic>
              </a:graphicData>
            </a:graphic>
          </wp:inline>
        </w:drawing>
      </w:r>
      <w:r w:rsidRPr="00F25EBD">
        <w:rPr>
          <w:rFonts w:asciiTheme="majorHAnsi" w:hAnsiTheme="majorHAnsi" w:cstheme="majorHAnsi"/>
        </w:rPr>
        <w:t>Kondycję demograficzną badanego obszaru należy uznać za przeciętną na tle danych ogólnopolskich. Nie mniej jednak zauważyć należy, że sytuacja zarówno w poszczególnych powiatach jak i na całym Obszarze Funkcjonalnym Południowe Mazury ulega pogorszeniu</w:t>
      </w:r>
      <w:r w:rsidR="00336D76" w:rsidRPr="00F25EBD">
        <w:rPr>
          <w:rFonts w:asciiTheme="majorHAnsi" w:hAnsiTheme="majorHAnsi" w:cstheme="majorHAnsi"/>
        </w:rPr>
        <w:t xml:space="preserve"> - </w:t>
      </w:r>
      <w:r w:rsidRPr="00F25EBD">
        <w:rPr>
          <w:rFonts w:asciiTheme="majorHAnsi" w:hAnsiTheme="majorHAnsi" w:cstheme="majorHAnsi"/>
        </w:rPr>
        <w:t>przyrost naturalny przybiera coraz większe wartości ujemne, zwiększa się liczba osób w wieku powyżej 65 roku życia przypadająca na 100 osób w wieku 15-64 lata, a wskaźnik urodzeń dla całego obszaru, na tysiąc mieszkańców w ciągu ośmiu lat zmniejszył się o 1,14.</w:t>
      </w:r>
      <w:r w:rsidR="00F756F4" w:rsidRPr="00F25EBD">
        <w:rPr>
          <w:rFonts w:asciiTheme="majorHAnsi" w:hAnsiTheme="majorHAnsi" w:cstheme="majorHAnsi"/>
        </w:rPr>
        <w:t xml:space="preserve"> </w:t>
      </w:r>
    </w:p>
    <w:p w14:paraId="51A86713" w14:textId="5A57FA51" w:rsidR="007F1C60" w:rsidRPr="00F25EBD" w:rsidRDefault="00962762" w:rsidP="00962762">
      <w:pPr>
        <w:pStyle w:val="Nagwek2"/>
        <w:spacing w:before="0"/>
        <w:jc w:val="both"/>
        <w:rPr>
          <w:rFonts w:cstheme="majorHAnsi"/>
        </w:rPr>
      </w:pPr>
      <w:bookmarkStart w:id="90" w:name="_Toc77070626"/>
      <w:r>
        <w:rPr>
          <w:rFonts w:cstheme="majorHAnsi"/>
        </w:rPr>
        <w:t xml:space="preserve">8.2 </w:t>
      </w:r>
      <w:r w:rsidR="007F1C60" w:rsidRPr="00F25EBD">
        <w:rPr>
          <w:rFonts w:cstheme="majorHAnsi"/>
        </w:rPr>
        <w:t>Zdrowie</w:t>
      </w:r>
      <w:bookmarkEnd w:id="90"/>
    </w:p>
    <w:p w14:paraId="2DD3A006" w14:textId="751CB346" w:rsidR="00B153BA" w:rsidRDefault="00B153BA" w:rsidP="00B153BA">
      <w:pPr>
        <w:pStyle w:val="Legenda"/>
        <w:keepNext/>
        <w:jc w:val="both"/>
      </w:pPr>
      <w:bookmarkStart w:id="91" w:name="_Toc81300547"/>
      <w:r>
        <w:t xml:space="preserve">Tabela </w:t>
      </w:r>
      <w:r w:rsidR="00094ACC">
        <w:rPr>
          <w:noProof/>
        </w:rPr>
        <w:fldChar w:fldCharType="begin"/>
      </w:r>
      <w:r w:rsidR="00094ACC">
        <w:rPr>
          <w:noProof/>
        </w:rPr>
        <w:instrText xml:space="preserve"> SEQ Tabela \* ARABIC </w:instrText>
      </w:r>
      <w:r w:rsidR="00094ACC">
        <w:rPr>
          <w:noProof/>
        </w:rPr>
        <w:fldChar w:fldCharType="separate"/>
      </w:r>
      <w:r w:rsidR="006C7815">
        <w:rPr>
          <w:noProof/>
        </w:rPr>
        <w:t>21</w:t>
      </w:r>
      <w:r w:rsidR="00094ACC">
        <w:rPr>
          <w:noProof/>
        </w:rPr>
        <w:fldChar w:fldCharType="end"/>
      </w:r>
      <w:r>
        <w:t xml:space="preserve"> Lekarze, pielęgniarki i położne na 10 ty</w:t>
      </w:r>
      <w:r w:rsidR="00B57D41">
        <w:t>s</w:t>
      </w:r>
      <w:r>
        <w:t xml:space="preserve">. </w:t>
      </w:r>
      <w:r w:rsidR="00B57D41">
        <w:t xml:space="preserve">Mieszkańców, </w:t>
      </w:r>
      <w:r>
        <w:t>ludność na łóżko szpitalne i ludność na aptekę</w:t>
      </w:r>
      <w:bookmarkEnd w:id="91"/>
    </w:p>
    <w:p w14:paraId="0DF19AAF" w14:textId="263C1C49" w:rsidR="00F756F4" w:rsidRPr="00F25EBD" w:rsidRDefault="007F1C60" w:rsidP="00962762">
      <w:pPr>
        <w:spacing w:line="276" w:lineRule="auto"/>
        <w:jc w:val="both"/>
        <w:rPr>
          <w:rFonts w:asciiTheme="majorHAnsi" w:hAnsiTheme="majorHAnsi" w:cstheme="majorHAnsi"/>
        </w:rPr>
        <w:sectPr w:rsidR="00F756F4" w:rsidRPr="00F25EBD" w:rsidSect="00BB5769">
          <w:pgSz w:w="16838" w:h="11906" w:orient="landscape"/>
          <w:pgMar w:top="1418" w:right="1418" w:bottom="1418" w:left="1418" w:header="709" w:footer="709" w:gutter="0"/>
          <w:cols w:space="708"/>
          <w:docGrid w:linePitch="360"/>
        </w:sectPr>
      </w:pPr>
      <w:r w:rsidRPr="00F25EBD">
        <w:rPr>
          <w:rFonts w:asciiTheme="majorHAnsi" w:hAnsiTheme="majorHAnsi" w:cstheme="majorHAnsi"/>
          <w:noProof/>
          <w:lang w:eastAsia="pl-PL"/>
        </w:rPr>
        <w:drawing>
          <wp:inline distT="0" distB="0" distL="0" distR="0" wp14:anchorId="4B7659C2" wp14:editId="69F4B452">
            <wp:extent cx="8771255" cy="4429125"/>
            <wp:effectExtent l="0" t="0" r="0" b="9525"/>
            <wp:docPr id="42" name="Obraz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53">
                      <a:extLst>
                        <a:ext uri="{28A0092B-C50C-407E-A947-70E740481C1C}">
                          <a14:useLocalDpi xmlns:a14="http://schemas.microsoft.com/office/drawing/2010/main" val="0"/>
                        </a:ext>
                      </a:extLst>
                    </a:blip>
                    <a:srcRect t="3471" b="3305"/>
                    <a:stretch/>
                  </pic:blipFill>
                  <pic:spPr bwMode="auto">
                    <a:xfrm>
                      <a:off x="0" y="0"/>
                      <a:ext cx="8784682" cy="4435905"/>
                    </a:xfrm>
                    <a:prstGeom prst="rect">
                      <a:avLst/>
                    </a:prstGeom>
                    <a:noFill/>
                    <a:ln>
                      <a:noFill/>
                    </a:ln>
                    <a:extLst>
                      <a:ext uri="{53640926-AAD7-44D8-BBD7-CCE9431645EC}">
                        <a14:shadowObscured xmlns:a14="http://schemas.microsoft.com/office/drawing/2010/main"/>
                      </a:ext>
                    </a:extLst>
                  </pic:spPr>
                </pic:pic>
              </a:graphicData>
            </a:graphic>
          </wp:inline>
        </w:drawing>
      </w:r>
      <w:r w:rsidRPr="00F25EBD">
        <w:rPr>
          <w:rFonts w:asciiTheme="majorHAnsi" w:hAnsiTheme="majorHAnsi" w:cstheme="majorHAnsi"/>
        </w:rPr>
        <w:t>Poziom zabezpieczenia potrzeb zdrowotnych ludności zamieszkującej Mazury Południowe jest znacznie niższy niż w skali ogólnopolskiej. W 2018 roku liczba lekarzy na obszarze była o 30 osób mniejsza na 10 tys. mieszkańców niż w Polsce a liczba pielęgniarek o 35 osób mniejsza. W poszczególnych powiatach liczba personelu medycznego podlegała nieznacznym wahaniom z tendencją do stagnacji przy czym w Polsce liczba personelu medycznego powoli wzrasta.</w:t>
      </w:r>
    </w:p>
    <w:p w14:paraId="758E555C" w14:textId="6B15EAD1" w:rsidR="007F1C60" w:rsidRPr="00F25EBD" w:rsidRDefault="00962762" w:rsidP="00962762">
      <w:pPr>
        <w:pStyle w:val="Nagwek2"/>
        <w:spacing w:before="0"/>
        <w:jc w:val="both"/>
        <w:rPr>
          <w:rFonts w:cstheme="majorHAnsi"/>
        </w:rPr>
      </w:pPr>
      <w:bookmarkStart w:id="92" w:name="_Toc77070627"/>
      <w:r>
        <w:rPr>
          <w:rFonts w:cstheme="majorHAnsi"/>
        </w:rPr>
        <w:t xml:space="preserve">8.3 </w:t>
      </w:r>
      <w:r w:rsidR="007F1C60" w:rsidRPr="00F25EBD">
        <w:rPr>
          <w:rFonts w:cstheme="majorHAnsi"/>
        </w:rPr>
        <w:t>Edukacja</w:t>
      </w:r>
      <w:bookmarkEnd w:id="92"/>
    </w:p>
    <w:p w14:paraId="706D9AE3" w14:textId="26153096" w:rsidR="007F1C60" w:rsidRPr="00F25EBD" w:rsidRDefault="007F1C60" w:rsidP="00FC7062">
      <w:pPr>
        <w:spacing w:line="276" w:lineRule="auto"/>
        <w:jc w:val="both"/>
        <w:rPr>
          <w:rFonts w:asciiTheme="majorHAnsi" w:hAnsiTheme="majorHAnsi" w:cstheme="majorHAnsi"/>
        </w:rPr>
      </w:pPr>
      <w:r w:rsidRPr="00F25EBD">
        <w:rPr>
          <w:rFonts w:asciiTheme="majorHAnsi" w:hAnsiTheme="majorHAnsi" w:cstheme="majorHAnsi"/>
        </w:rPr>
        <w:t xml:space="preserve">Współczynnik </w:t>
      </w:r>
      <w:proofErr w:type="spellStart"/>
      <w:r w:rsidRPr="00F25EBD">
        <w:rPr>
          <w:rFonts w:asciiTheme="majorHAnsi" w:hAnsiTheme="majorHAnsi" w:cstheme="majorHAnsi"/>
        </w:rPr>
        <w:t>skolaryzacji</w:t>
      </w:r>
      <w:proofErr w:type="spellEnd"/>
      <w:r w:rsidRPr="00F25EBD">
        <w:rPr>
          <w:rFonts w:asciiTheme="majorHAnsi" w:hAnsiTheme="majorHAnsi" w:cstheme="majorHAnsi"/>
        </w:rPr>
        <w:t xml:space="preserve"> netto określa liczbę uczniów uczęszczającą do szkół na danym etapie kształcenia w ogólnej liczbie dzieci w wieku odpowiadającym danemu etapowi. Wykres poniżej przedstawia wartość współczynnika </w:t>
      </w:r>
      <w:proofErr w:type="spellStart"/>
      <w:r w:rsidRPr="00F25EBD">
        <w:rPr>
          <w:rFonts w:asciiTheme="majorHAnsi" w:hAnsiTheme="majorHAnsi" w:cstheme="majorHAnsi"/>
        </w:rPr>
        <w:t>skolaryzacji</w:t>
      </w:r>
      <w:proofErr w:type="spellEnd"/>
      <w:r w:rsidRPr="00F25EBD">
        <w:rPr>
          <w:rFonts w:asciiTheme="majorHAnsi" w:hAnsiTheme="majorHAnsi" w:cstheme="majorHAnsi"/>
        </w:rPr>
        <w:t xml:space="preserve"> dla szkolnictwa pod</w:t>
      </w:r>
      <w:r w:rsidR="00962762">
        <w:rPr>
          <w:rFonts w:asciiTheme="majorHAnsi" w:hAnsiTheme="majorHAnsi" w:cstheme="majorHAnsi"/>
        </w:rPr>
        <w:t>stawowego. Wynika z niego, iż w </w:t>
      </w:r>
      <w:r w:rsidRPr="00F25EBD">
        <w:rPr>
          <w:rFonts w:asciiTheme="majorHAnsi" w:hAnsiTheme="majorHAnsi" w:cstheme="majorHAnsi"/>
        </w:rPr>
        <w:t xml:space="preserve">2018 roku ponad 88% dzieci w wieku odpowiadającym szkołom podstawowym z obszaru </w:t>
      </w:r>
      <w:r w:rsidR="00A82918" w:rsidRPr="00A82918">
        <w:rPr>
          <w:rFonts w:asciiTheme="majorHAnsi" w:hAnsiTheme="majorHAnsi" w:cstheme="majorHAnsi"/>
        </w:rPr>
        <w:t>Południowe Mazury</w:t>
      </w:r>
      <w:r w:rsidRPr="00F25EBD">
        <w:rPr>
          <w:rFonts w:asciiTheme="majorHAnsi" w:hAnsiTheme="majorHAnsi" w:cstheme="majorHAnsi"/>
        </w:rPr>
        <w:t xml:space="preserve"> uczęszczało do szkół. Zauważa się, że wskaźnik ten jest niższy niż dla obszaru całej Polski. Co więcej jego wartość w ciągu ostatnich 8 lat spadła o 3,19%. Zjawisko to może być pochodną ruchów migracyjnych, a także słabej dostępności szkół podstawowych.</w:t>
      </w:r>
      <w:r w:rsidR="007B04A7">
        <w:rPr>
          <w:rFonts w:asciiTheme="majorHAnsi" w:hAnsiTheme="majorHAnsi" w:cstheme="majorHAnsi"/>
        </w:rPr>
        <w:t xml:space="preserve"> </w:t>
      </w:r>
      <w:r w:rsidRPr="00F25EBD">
        <w:rPr>
          <w:rFonts w:asciiTheme="majorHAnsi" w:hAnsiTheme="majorHAnsi" w:cstheme="majorHAnsi"/>
        </w:rPr>
        <w:t>W zakresie obciążenia oddziałów szkolnych wartość wskaźnika na obszarze Południowe Mazury (liczba uczniów przypadająca na oddział) zbliżona jest do wartości ogólnopolskich. Największe obciążenie oddziałów w szkołach ogólnokształcących w 2018 roku miało miejsce w powiecie działdowskim i szczycieńskim, a wartość wskaźnika była wyższa o dwóch uczniów w porównaniu z danymi dla OF Południowe Mazury i Polski.</w:t>
      </w:r>
    </w:p>
    <w:p w14:paraId="4E8A78BB" w14:textId="58AAFD7E" w:rsidR="00B153BA" w:rsidRDefault="00B153BA" w:rsidP="00B153BA">
      <w:pPr>
        <w:pStyle w:val="nad"/>
      </w:pPr>
      <w:bookmarkStart w:id="93" w:name="_Toc81300548"/>
      <w:r>
        <w:t xml:space="preserve">Tabela </w:t>
      </w:r>
      <w:r w:rsidR="00094ACC">
        <w:rPr>
          <w:noProof/>
        </w:rPr>
        <w:fldChar w:fldCharType="begin"/>
      </w:r>
      <w:r w:rsidR="00094ACC">
        <w:rPr>
          <w:noProof/>
        </w:rPr>
        <w:instrText xml:space="preserve"> SEQ Tabela \* ARABIC </w:instrText>
      </w:r>
      <w:r w:rsidR="00094ACC">
        <w:rPr>
          <w:noProof/>
        </w:rPr>
        <w:fldChar w:fldCharType="separate"/>
      </w:r>
      <w:r w:rsidR="006C7815">
        <w:rPr>
          <w:noProof/>
        </w:rPr>
        <w:t>22</w:t>
      </w:r>
      <w:r w:rsidR="00094ACC">
        <w:rPr>
          <w:noProof/>
        </w:rPr>
        <w:fldChar w:fldCharType="end"/>
      </w:r>
      <w:r>
        <w:t xml:space="preserve"> Współczynnik </w:t>
      </w:r>
      <w:proofErr w:type="spellStart"/>
      <w:r>
        <w:t>skolaryzacji</w:t>
      </w:r>
      <w:proofErr w:type="spellEnd"/>
      <w:r>
        <w:t xml:space="preserve"> netto oraz liczba uczniów przypadająca na oddział</w:t>
      </w:r>
      <w:bookmarkEnd w:id="93"/>
      <w:r>
        <w:t xml:space="preserve"> </w:t>
      </w:r>
    </w:p>
    <w:p w14:paraId="0A87A769" w14:textId="77777777" w:rsidR="007F1C60" w:rsidRPr="00F25EBD" w:rsidRDefault="007F1C60" w:rsidP="00FC7062">
      <w:pPr>
        <w:spacing w:line="276" w:lineRule="auto"/>
        <w:jc w:val="center"/>
        <w:rPr>
          <w:rFonts w:asciiTheme="majorHAnsi" w:hAnsiTheme="majorHAnsi" w:cstheme="majorHAnsi"/>
        </w:rPr>
      </w:pPr>
      <w:r w:rsidRPr="00F25EBD">
        <w:rPr>
          <w:rFonts w:asciiTheme="majorHAnsi" w:hAnsiTheme="majorHAnsi" w:cstheme="majorHAnsi"/>
          <w:noProof/>
          <w:lang w:eastAsia="pl-PL"/>
        </w:rPr>
        <w:drawing>
          <wp:inline distT="0" distB="0" distL="0" distR="0" wp14:anchorId="3786E2E9" wp14:editId="7DD11743">
            <wp:extent cx="5762625" cy="5962650"/>
            <wp:effectExtent l="0" t="0" r="9525" b="0"/>
            <wp:docPr id="43" name="Obraz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54">
                      <a:extLst>
                        <a:ext uri="{28A0092B-C50C-407E-A947-70E740481C1C}">
                          <a14:useLocalDpi xmlns:a14="http://schemas.microsoft.com/office/drawing/2010/main" val="0"/>
                        </a:ext>
                      </a:extLst>
                    </a:blip>
                    <a:srcRect b="33333"/>
                    <a:stretch/>
                  </pic:blipFill>
                  <pic:spPr bwMode="auto">
                    <a:xfrm>
                      <a:off x="0" y="0"/>
                      <a:ext cx="5762625" cy="5962650"/>
                    </a:xfrm>
                    <a:prstGeom prst="rect">
                      <a:avLst/>
                    </a:prstGeom>
                    <a:noFill/>
                    <a:ln>
                      <a:noFill/>
                    </a:ln>
                    <a:extLst>
                      <a:ext uri="{53640926-AAD7-44D8-BBD7-CCE9431645EC}">
                        <a14:shadowObscured xmlns:a14="http://schemas.microsoft.com/office/drawing/2010/main"/>
                      </a:ext>
                    </a:extLst>
                  </pic:spPr>
                </pic:pic>
              </a:graphicData>
            </a:graphic>
          </wp:inline>
        </w:drawing>
      </w:r>
    </w:p>
    <w:p w14:paraId="112E0FE9" w14:textId="7F240DE2" w:rsidR="007F1C60" w:rsidRPr="00F25EBD" w:rsidRDefault="00962762" w:rsidP="00962762">
      <w:pPr>
        <w:pStyle w:val="Nagwek2"/>
        <w:spacing w:before="0"/>
        <w:jc w:val="both"/>
        <w:rPr>
          <w:rFonts w:cstheme="majorHAnsi"/>
        </w:rPr>
      </w:pPr>
      <w:bookmarkStart w:id="94" w:name="_Toc77070628"/>
      <w:r>
        <w:rPr>
          <w:rFonts w:cstheme="majorHAnsi"/>
        </w:rPr>
        <w:t xml:space="preserve">8.4 </w:t>
      </w:r>
      <w:r w:rsidR="007F1C60" w:rsidRPr="00F25EBD">
        <w:rPr>
          <w:rFonts w:cstheme="majorHAnsi"/>
        </w:rPr>
        <w:t>Rynek pracy i gospodarka</w:t>
      </w:r>
      <w:bookmarkEnd w:id="94"/>
    </w:p>
    <w:p w14:paraId="2F2509EE" w14:textId="01244F71" w:rsidR="007F1C60" w:rsidRPr="00F25EBD" w:rsidRDefault="007F1C60" w:rsidP="00FC7062">
      <w:pPr>
        <w:spacing w:line="276" w:lineRule="auto"/>
        <w:jc w:val="both"/>
        <w:rPr>
          <w:rFonts w:asciiTheme="majorHAnsi" w:hAnsiTheme="majorHAnsi" w:cstheme="majorHAnsi"/>
          <w:noProof/>
        </w:rPr>
      </w:pPr>
      <w:r w:rsidRPr="00F25EBD">
        <w:rPr>
          <w:rFonts w:asciiTheme="majorHAnsi" w:hAnsiTheme="majorHAnsi" w:cstheme="majorHAnsi"/>
          <w:noProof/>
        </w:rPr>
        <w:t>Analizowane wskaźniki związane z rozwojem gospodarczym pokrywają się z tendencjami ogólnopolskimi. Na wykresach poniżej zauważalny jest znaczący spadek bezrobocia, niewielki wzrost liczby osób pracujących na 1000 mieszkańców oraz wzrastająca liczba podmiotów gospodarczych.</w:t>
      </w:r>
      <w:r w:rsidR="007B04A7">
        <w:rPr>
          <w:rFonts w:asciiTheme="majorHAnsi" w:hAnsiTheme="majorHAnsi" w:cstheme="majorHAnsi"/>
          <w:noProof/>
        </w:rPr>
        <w:t xml:space="preserve"> </w:t>
      </w:r>
      <w:r w:rsidRPr="00F25EBD">
        <w:rPr>
          <w:rFonts w:asciiTheme="majorHAnsi" w:hAnsiTheme="majorHAnsi" w:cstheme="majorHAnsi"/>
          <w:noProof/>
        </w:rPr>
        <w:t>Należy jednak zaznaczyć, że wzrost liczby osób pracujących na badanym obszarze nie jest tak dynamiczny jak w przypadku Polski</w:t>
      </w:r>
      <w:r w:rsidR="00336D76" w:rsidRPr="00F25EBD">
        <w:rPr>
          <w:rFonts w:asciiTheme="majorHAnsi" w:hAnsiTheme="majorHAnsi" w:cstheme="majorHAnsi"/>
          <w:noProof/>
        </w:rPr>
        <w:t xml:space="preserve"> - </w:t>
      </w:r>
      <w:r w:rsidR="00267763">
        <w:rPr>
          <w:rFonts w:asciiTheme="majorHAnsi" w:hAnsiTheme="majorHAnsi" w:cstheme="majorHAnsi"/>
          <w:noProof/>
        </w:rPr>
        <w:t>wskaźnik osób pracujących w P</w:t>
      </w:r>
      <w:r w:rsidRPr="00F25EBD">
        <w:rPr>
          <w:rFonts w:asciiTheme="majorHAnsi" w:hAnsiTheme="majorHAnsi" w:cstheme="majorHAnsi"/>
          <w:noProof/>
        </w:rPr>
        <w:t>olsce wzrósł o ponad 14% a na OF o</w:t>
      </w:r>
      <w:r w:rsidR="007B7167">
        <w:rPr>
          <w:rFonts w:asciiTheme="majorHAnsi" w:hAnsiTheme="majorHAnsi" w:cstheme="majorHAnsi"/>
          <w:noProof/>
        </w:rPr>
        <w:t> </w:t>
      </w:r>
      <w:r w:rsidRPr="00F25EBD">
        <w:rPr>
          <w:rFonts w:asciiTheme="majorHAnsi" w:hAnsiTheme="majorHAnsi" w:cstheme="majorHAnsi"/>
          <w:noProof/>
        </w:rPr>
        <w:t>10%. W przypadku podmiotów gospodarczych występuje analogiczne zjawisko</w:t>
      </w:r>
      <w:r w:rsidR="00336D76" w:rsidRPr="00F25EBD">
        <w:rPr>
          <w:rFonts w:asciiTheme="majorHAnsi" w:hAnsiTheme="majorHAnsi" w:cstheme="majorHAnsi"/>
          <w:noProof/>
        </w:rPr>
        <w:t xml:space="preserve"> - </w:t>
      </w:r>
      <w:r w:rsidRPr="00F25EBD">
        <w:rPr>
          <w:rFonts w:asciiTheme="majorHAnsi" w:hAnsiTheme="majorHAnsi" w:cstheme="majorHAnsi"/>
          <w:noProof/>
        </w:rPr>
        <w:t>wzrost liczby podmiotów gospodarczych w badanym czasookresie w Polsce wyniósł 21% natomiast w przypadku Południowych Mazur 15%. Najbardziej dynamicznie przyrastała l</w:t>
      </w:r>
      <w:r w:rsidR="00962762">
        <w:rPr>
          <w:rFonts w:asciiTheme="majorHAnsi" w:hAnsiTheme="majorHAnsi" w:cstheme="majorHAnsi"/>
          <w:noProof/>
        </w:rPr>
        <w:t>iczba podmiotów gospodarczych w </w:t>
      </w:r>
      <w:r w:rsidRPr="00F25EBD">
        <w:rPr>
          <w:rFonts w:asciiTheme="majorHAnsi" w:hAnsiTheme="majorHAnsi" w:cstheme="majorHAnsi"/>
          <w:noProof/>
        </w:rPr>
        <w:t>powiecie szczycieńskim, a wzrost ten wyniósł ponad 17%.</w:t>
      </w:r>
      <w:r w:rsidR="007B04A7">
        <w:rPr>
          <w:rFonts w:asciiTheme="majorHAnsi" w:hAnsiTheme="majorHAnsi" w:cstheme="majorHAnsi"/>
          <w:noProof/>
        </w:rPr>
        <w:t xml:space="preserve"> </w:t>
      </w:r>
    </w:p>
    <w:p w14:paraId="6AB5F60C" w14:textId="618F993D" w:rsidR="00B153BA" w:rsidRDefault="00B153BA" w:rsidP="00B153BA">
      <w:pPr>
        <w:pStyle w:val="nad"/>
      </w:pPr>
      <w:bookmarkStart w:id="95" w:name="_Toc81300549"/>
      <w:r>
        <w:t xml:space="preserve">Tabela </w:t>
      </w:r>
      <w:r w:rsidR="00094ACC">
        <w:rPr>
          <w:noProof/>
        </w:rPr>
        <w:fldChar w:fldCharType="begin"/>
      </w:r>
      <w:r w:rsidR="00094ACC">
        <w:rPr>
          <w:noProof/>
        </w:rPr>
        <w:instrText xml:space="preserve"> SEQ Tabela \* ARABIC </w:instrText>
      </w:r>
      <w:r w:rsidR="00094ACC">
        <w:rPr>
          <w:noProof/>
        </w:rPr>
        <w:fldChar w:fldCharType="separate"/>
      </w:r>
      <w:r w:rsidR="006C7815">
        <w:rPr>
          <w:noProof/>
        </w:rPr>
        <w:t>23</w:t>
      </w:r>
      <w:r w:rsidR="00094ACC">
        <w:rPr>
          <w:noProof/>
        </w:rPr>
        <w:fldChar w:fldCharType="end"/>
      </w:r>
      <w:r>
        <w:t xml:space="preserve"> Stopa bezrobocia i pracujący na 1000 ludności oraz podmioty gospodarcze na 1000 ludności w wieku produkcyjnym</w:t>
      </w:r>
      <w:bookmarkEnd w:id="95"/>
    </w:p>
    <w:p w14:paraId="3AFAB059" w14:textId="77777777" w:rsidR="007F1C60" w:rsidRPr="00F25EBD" w:rsidRDefault="007F1C60" w:rsidP="00FC7062">
      <w:pPr>
        <w:spacing w:line="276" w:lineRule="auto"/>
        <w:jc w:val="center"/>
        <w:rPr>
          <w:rFonts w:asciiTheme="majorHAnsi" w:hAnsiTheme="majorHAnsi" w:cstheme="majorHAnsi"/>
        </w:rPr>
      </w:pPr>
      <w:r w:rsidRPr="00F25EBD">
        <w:rPr>
          <w:rFonts w:asciiTheme="majorHAnsi" w:hAnsiTheme="majorHAnsi" w:cstheme="majorHAnsi"/>
          <w:noProof/>
          <w:lang w:eastAsia="pl-PL"/>
        </w:rPr>
        <w:drawing>
          <wp:inline distT="0" distB="0" distL="0" distR="0" wp14:anchorId="5E0E0FD2" wp14:editId="6EF3CEC5">
            <wp:extent cx="5650302" cy="5737839"/>
            <wp:effectExtent l="0" t="0" r="7620" b="0"/>
            <wp:docPr id="44" name="Obraz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5">
                      <a:extLst>
                        <a:ext uri="{28A0092B-C50C-407E-A947-70E740481C1C}">
                          <a14:useLocalDpi xmlns:a14="http://schemas.microsoft.com/office/drawing/2010/main" val="0"/>
                        </a:ext>
                      </a:extLst>
                    </a:blip>
                    <a:srcRect b="15322"/>
                    <a:stretch/>
                  </pic:blipFill>
                  <pic:spPr bwMode="auto">
                    <a:xfrm>
                      <a:off x="0" y="0"/>
                      <a:ext cx="5661941" cy="5749658"/>
                    </a:xfrm>
                    <a:prstGeom prst="rect">
                      <a:avLst/>
                    </a:prstGeom>
                    <a:noFill/>
                    <a:ln>
                      <a:noFill/>
                    </a:ln>
                    <a:extLst>
                      <a:ext uri="{53640926-AAD7-44D8-BBD7-CCE9431645EC}">
                        <a14:shadowObscured xmlns:a14="http://schemas.microsoft.com/office/drawing/2010/main"/>
                      </a:ext>
                    </a:extLst>
                  </pic:spPr>
                </pic:pic>
              </a:graphicData>
            </a:graphic>
          </wp:inline>
        </w:drawing>
      </w:r>
    </w:p>
    <w:p w14:paraId="3E4C2BB6" w14:textId="5CB81F99" w:rsidR="007F1C60" w:rsidRPr="00F25EBD" w:rsidRDefault="00962762" w:rsidP="00962762">
      <w:pPr>
        <w:pStyle w:val="Nagwek2"/>
        <w:spacing w:before="0"/>
        <w:jc w:val="both"/>
        <w:rPr>
          <w:rFonts w:cstheme="majorHAnsi"/>
        </w:rPr>
      </w:pPr>
      <w:bookmarkStart w:id="96" w:name="_Toc77070629"/>
      <w:r>
        <w:rPr>
          <w:rFonts w:cstheme="majorHAnsi"/>
        </w:rPr>
        <w:t xml:space="preserve">8.5 </w:t>
      </w:r>
      <w:r w:rsidR="007F1C60" w:rsidRPr="00F25EBD">
        <w:rPr>
          <w:rFonts w:cstheme="majorHAnsi"/>
        </w:rPr>
        <w:t>Turystyka</w:t>
      </w:r>
      <w:bookmarkEnd w:id="96"/>
    </w:p>
    <w:p w14:paraId="0B35B5BE" w14:textId="6ACE826C" w:rsidR="007F1C60" w:rsidRPr="00F25EBD" w:rsidRDefault="007F1C60" w:rsidP="00FC7062">
      <w:pPr>
        <w:spacing w:line="276" w:lineRule="auto"/>
        <w:jc w:val="both"/>
        <w:rPr>
          <w:rFonts w:asciiTheme="majorHAnsi" w:hAnsiTheme="majorHAnsi" w:cstheme="majorHAnsi"/>
        </w:rPr>
      </w:pPr>
      <w:r w:rsidRPr="00F25EBD">
        <w:rPr>
          <w:rFonts w:asciiTheme="majorHAnsi" w:hAnsiTheme="majorHAnsi" w:cstheme="majorHAnsi"/>
        </w:rPr>
        <w:t xml:space="preserve">Na wykresach poniżej przedstawiono porównanie 3 wskaźników dotyczących turystyki. Spośród wszystkich badanych powiatów niewątpliwym liderem w zakresie </w:t>
      </w:r>
      <w:r w:rsidR="00962762">
        <w:rPr>
          <w:rFonts w:asciiTheme="majorHAnsi" w:hAnsiTheme="majorHAnsi" w:cstheme="majorHAnsi"/>
        </w:rPr>
        <w:t>liczby miejsc noclegowych jak i </w:t>
      </w:r>
      <w:r w:rsidRPr="00F25EBD">
        <w:rPr>
          <w:rFonts w:asciiTheme="majorHAnsi" w:hAnsiTheme="majorHAnsi" w:cstheme="majorHAnsi"/>
        </w:rPr>
        <w:t>udzielonych noclegów jest powiat piski co związane jest z jego atrakcyjną lokalizacją w pobliżu jeziora Śniardwy. Przeciętna wartość wskaźnika liczby miejsc noclegowych dla tego powiatu jest ponad dwukrotnie wyższa niż dla Polski. Warto również odnotować, że wskaźnik ogólnej liczby miejsc noclegowych dla obszaru Południowe Mazury jest wyższy niż w Polsce natomiast mniej jest miejsc noclegowych całorocznych. Na badanym obszarze niższa niż w Polsce jest także liczba udzielanych noclegów.</w:t>
      </w:r>
    </w:p>
    <w:p w14:paraId="18453453" w14:textId="076BFC5D" w:rsidR="00B153BA" w:rsidRDefault="00B153BA" w:rsidP="00B153BA">
      <w:pPr>
        <w:pStyle w:val="nad"/>
      </w:pPr>
      <w:bookmarkStart w:id="97" w:name="_Toc81300550"/>
      <w:r>
        <w:t xml:space="preserve">Tabela </w:t>
      </w:r>
      <w:r w:rsidR="00094ACC">
        <w:rPr>
          <w:noProof/>
        </w:rPr>
        <w:fldChar w:fldCharType="begin"/>
      </w:r>
      <w:r w:rsidR="00094ACC">
        <w:rPr>
          <w:noProof/>
        </w:rPr>
        <w:instrText xml:space="preserve"> SEQ Tabela \* ARABIC </w:instrText>
      </w:r>
      <w:r w:rsidR="00094ACC">
        <w:rPr>
          <w:noProof/>
        </w:rPr>
        <w:fldChar w:fldCharType="separate"/>
      </w:r>
      <w:r w:rsidR="006C7815">
        <w:rPr>
          <w:noProof/>
        </w:rPr>
        <w:t>24</w:t>
      </w:r>
      <w:r w:rsidR="00094ACC">
        <w:rPr>
          <w:noProof/>
        </w:rPr>
        <w:fldChar w:fldCharType="end"/>
      </w:r>
      <w:r>
        <w:t xml:space="preserve"> Miejsca noclegowe na 1000 ludności oraz udzielone noclegi na 1000 ludności</w:t>
      </w:r>
      <w:bookmarkEnd w:id="97"/>
    </w:p>
    <w:p w14:paraId="2689FE96" w14:textId="77777777" w:rsidR="007F1C60" w:rsidRPr="00F25EBD" w:rsidRDefault="007F1C60" w:rsidP="00FC7062">
      <w:pPr>
        <w:spacing w:line="276" w:lineRule="auto"/>
        <w:jc w:val="center"/>
        <w:rPr>
          <w:rFonts w:asciiTheme="majorHAnsi" w:hAnsiTheme="majorHAnsi" w:cstheme="majorHAnsi"/>
        </w:rPr>
      </w:pPr>
      <w:r w:rsidRPr="00F25EBD">
        <w:rPr>
          <w:rFonts w:asciiTheme="majorHAnsi" w:hAnsiTheme="majorHAnsi" w:cstheme="majorHAnsi"/>
          <w:noProof/>
          <w:lang w:eastAsia="pl-PL"/>
        </w:rPr>
        <w:drawing>
          <wp:inline distT="0" distB="0" distL="0" distR="0" wp14:anchorId="7CB5EF27" wp14:editId="1558E35F">
            <wp:extent cx="5765620" cy="6072996"/>
            <wp:effectExtent l="0" t="0" r="6985" b="4445"/>
            <wp:docPr id="45" name="Obraz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56">
                      <a:extLst>
                        <a:ext uri="{28A0092B-C50C-407E-A947-70E740481C1C}">
                          <a14:useLocalDpi xmlns:a14="http://schemas.microsoft.com/office/drawing/2010/main" val="0"/>
                        </a:ext>
                      </a:extLst>
                    </a:blip>
                    <a:srcRect b="13567"/>
                    <a:stretch/>
                  </pic:blipFill>
                  <pic:spPr bwMode="auto">
                    <a:xfrm>
                      <a:off x="0" y="0"/>
                      <a:ext cx="5833193" cy="6144172"/>
                    </a:xfrm>
                    <a:prstGeom prst="rect">
                      <a:avLst/>
                    </a:prstGeom>
                    <a:noFill/>
                    <a:ln>
                      <a:noFill/>
                    </a:ln>
                    <a:extLst>
                      <a:ext uri="{53640926-AAD7-44D8-BBD7-CCE9431645EC}">
                        <a14:shadowObscured xmlns:a14="http://schemas.microsoft.com/office/drawing/2010/main"/>
                      </a:ext>
                    </a:extLst>
                  </pic:spPr>
                </pic:pic>
              </a:graphicData>
            </a:graphic>
          </wp:inline>
        </w:drawing>
      </w:r>
    </w:p>
    <w:p w14:paraId="55ADD572" w14:textId="0C2C4365" w:rsidR="00306B12" w:rsidRPr="00F25EBD" w:rsidRDefault="00962762" w:rsidP="00962762">
      <w:pPr>
        <w:pStyle w:val="Nagwek2"/>
        <w:spacing w:before="0"/>
        <w:jc w:val="both"/>
        <w:rPr>
          <w:rFonts w:cstheme="majorHAnsi"/>
        </w:rPr>
      </w:pPr>
      <w:bookmarkStart w:id="98" w:name="_Toc77070630"/>
      <w:r>
        <w:rPr>
          <w:rFonts w:cstheme="majorHAnsi"/>
        </w:rPr>
        <w:t xml:space="preserve">8.6 </w:t>
      </w:r>
      <w:r w:rsidR="00306B12" w:rsidRPr="00F25EBD">
        <w:rPr>
          <w:rFonts w:cstheme="majorHAnsi"/>
        </w:rPr>
        <w:t>Infrastruktura</w:t>
      </w:r>
      <w:bookmarkEnd w:id="98"/>
    </w:p>
    <w:p w14:paraId="08E24D56" w14:textId="345B66C6" w:rsidR="00077C83" w:rsidRPr="00F25EBD" w:rsidRDefault="00306B12" w:rsidP="00FC7062">
      <w:pPr>
        <w:spacing w:line="276" w:lineRule="auto"/>
        <w:jc w:val="both"/>
        <w:rPr>
          <w:rFonts w:asciiTheme="majorHAnsi" w:hAnsiTheme="majorHAnsi" w:cstheme="majorHAnsi"/>
        </w:rPr>
      </w:pPr>
      <w:r w:rsidRPr="00F25EBD">
        <w:rPr>
          <w:rFonts w:asciiTheme="majorHAnsi" w:hAnsiTheme="majorHAnsi" w:cstheme="majorHAnsi"/>
        </w:rPr>
        <w:t xml:space="preserve">Udział ludności korzystający z infrastruktury sieciowej na OF Południowe Mazury jest niższy niż w Polsce, ale różnice w przypadku dostępności do kanalizacji i wodociągu są stosunkowo niewielkie. Najwyższa różnica dotyczy dostępność instalacji gazowej i w 2018 roku wyniosła 17,6% (o 17,6% ludności więcej korzysta z tego zasobu w skali ogólnopolskiej). Co istotne, w przypadku wodociągów i kanalizacji od 8 lat coraz więcej osób korzysta z tych zasobów, co może mieć wymierny, </w:t>
      </w:r>
      <w:r w:rsidR="00602799" w:rsidRPr="00F25EBD">
        <w:rPr>
          <w:rFonts w:asciiTheme="majorHAnsi" w:hAnsiTheme="majorHAnsi" w:cstheme="majorHAnsi"/>
        </w:rPr>
        <w:t>pozytywny</w:t>
      </w:r>
      <w:r w:rsidRPr="00F25EBD">
        <w:rPr>
          <w:rFonts w:asciiTheme="majorHAnsi" w:hAnsiTheme="majorHAnsi" w:cstheme="majorHAnsi"/>
        </w:rPr>
        <w:t xml:space="preserve"> wpływ na stan środowiska naturalnego. Podobnie jak w całej Polsce długość ścieżek rowerowych w przeliczeniu na 1000 mieszkańców na OF wzrosła. Największy wzrost długoś</w:t>
      </w:r>
      <w:r w:rsidR="00962762">
        <w:rPr>
          <w:rFonts w:asciiTheme="majorHAnsi" w:hAnsiTheme="majorHAnsi" w:cstheme="majorHAnsi"/>
        </w:rPr>
        <w:t>ci dróg rowerowych odnotowano w </w:t>
      </w:r>
      <w:r w:rsidRPr="00F25EBD">
        <w:rPr>
          <w:rFonts w:asciiTheme="majorHAnsi" w:hAnsiTheme="majorHAnsi" w:cstheme="majorHAnsi"/>
        </w:rPr>
        <w:t xml:space="preserve">powiatach działdowskim i nidzickim. Rozwój sieci dróg rowerowych wydaje się istotny z punktu widzenia wzbogacenia oferty o aktywne formy turystyki. </w:t>
      </w:r>
    </w:p>
    <w:p w14:paraId="6CBD8454" w14:textId="77777777" w:rsidR="00077C83" w:rsidRPr="00F25EBD" w:rsidRDefault="00077C83" w:rsidP="00FC7062">
      <w:pPr>
        <w:spacing w:line="276" w:lineRule="auto"/>
        <w:rPr>
          <w:rFonts w:asciiTheme="majorHAnsi" w:hAnsiTheme="majorHAnsi" w:cstheme="majorHAnsi"/>
        </w:rPr>
        <w:sectPr w:rsidR="00077C83" w:rsidRPr="00F25EBD" w:rsidSect="00BB5769">
          <w:pgSz w:w="11906" w:h="16838"/>
          <w:pgMar w:top="1418" w:right="1418" w:bottom="1418" w:left="1418" w:header="709" w:footer="709" w:gutter="0"/>
          <w:cols w:space="708"/>
          <w:docGrid w:linePitch="360"/>
        </w:sectPr>
      </w:pPr>
    </w:p>
    <w:p w14:paraId="3D8A6B2C" w14:textId="77777777" w:rsidR="007F1C60" w:rsidRPr="00F25EBD" w:rsidRDefault="007F1C60" w:rsidP="00FC7062">
      <w:pPr>
        <w:spacing w:line="276" w:lineRule="auto"/>
        <w:rPr>
          <w:rFonts w:asciiTheme="majorHAnsi" w:hAnsiTheme="majorHAnsi" w:cstheme="majorHAnsi"/>
        </w:rPr>
      </w:pPr>
    </w:p>
    <w:p w14:paraId="45E46C51" w14:textId="247C1014" w:rsidR="00B153BA" w:rsidRDefault="00B153BA" w:rsidP="00B153BA">
      <w:pPr>
        <w:pStyle w:val="nad"/>
      </w:pPr>
      <w:bookmarkStart w:id="99" w:name="_Toc81300551"/>
      <w:r>
        <w:t xml:space="preserve">Tabela </w:t>
      </w:r>
      <w:r w:rsidR="00094ACC">
        <w:rPr>
          <w:noProof/>
        </w:rPr>
        <w:fldChar w:fldCharType="begin"/>
      </w:r>
      <w:r w:rsidR="00094ACC">
        <w:rPr>
          <w:noProof/>
        </w:rPr>
        <w:instrText xml:space="preserve"> SEQ Tabela \* ARABIC </w:instrText>
      </w:r>
      <w:r w:rsidR="00094ACC">
        <w:rPr>
          <w:noProof/>
        </w:rPr>
        <w:fldChar w:fldCharType="separate"/>
      </w:r>
      <w:r w:rsidR="006C7815">
        <w:rPr>
          <w:noProof/>
        </w:rPr>
        <w:t>25</w:t>
      </w:r>
      <w:r w:rsidR="00094ACC">
        <w:rPr>
          <w:noProof/>
        </w:rPr>
        <w:fldChar w:fldCharType="end"/>
      </w:r>
      <w:r>
        <w:t xml:space="preserve"> Udział ludności korzystający z instalacji</w:t>
      </w:r>
      <w:bookmarkEnd w:id="99"/>
    </w:p>
    <w:p w14:paraId="023E5D1E" w14:textId="77777777" w:rsidR="007F1C60" w:rsidRPr="00F25EBD" w:rsidRDefault="007F1C60" w:rsidP="00FC7062">
      <w:pPr>
        <w:spacing w:line="276" w:lineRule="auto"/>
        <w:rPr>
          <w:rFonts w:asciiTheme="majorHAnsi" w:hAnsiTheme="majorHAnsi" w:cstheme="majorHAnsi"/>
        </w:rPr>
      </w:pPr>
      <w:r w:rsidRPr="00F25EBD">
        <w:rPr>
          <w:rFonts w:asciiTheme="majorHAnsi" w:hAnsiTheme="majorHAnsi" w:cstheme="majorHAnsi"/>
          <w:noProof/>
          <w:lang w:eastAsia="pl-PL"/>
        </w:rPr>
        <w:drawing>
          <wp:inline distT="0" distB="0" distL="0" distR="0" wp14:anchorId="495DB81F" wp14:editId="2B6D5E85">
            <wp:extent cx="8305800" cy="5019675"/>
            <wp:effectExtent l="0" t="0" r="0" b="9525"/>
            <wp:docPr id="46" name="Obraz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8305800" cy="5019675"/>
                    </a:xfrm>
                    <a:prstGeom prst="rect">
                      <a:avLst/>
                    </a:prstGeom>
                    <a:noFill/>
                    <a:ln>
                      <a:noFill/>
                    </a:ln>
                  </pic:spPr>
                </pic:pic>
              </a:graphicData>
            </a:graphic>
          </wp:inline>
        </w:drawing>
      </w:r>
    </w:p>
    <w:p w14:paraId="2D86EB1E" w14:textId="77777777" w:rsidR="00306B12" w:rsidRPr="00F25EBD" w:rsidRDefault="00306B12" w:rsidP="00FC7062">
      <w:pPr>
        <w:spacing w:line="276" w:lineRule="auto"/>
        <w:rPr>
          <w:rFonts w:asciiTheme="majorHAnsi" w:hAnsiTheme="majorHAnsi" w:cstheme="majorHAnsi"/>
        </w:rPr>
        <w:sectPr w:rsidR="00306B12" w:rsidRPr="00F25EBD" w:rsidSect="00BB5769">
          <w:pgSz w:w="16838" w:h="11906" w:orient="landscape"/>
          <w:pgMar w:top="1418" w:right="1418" w:bottom="1418" w:left="1418" w:header="709" w:footer="709" w:gutter="0"/>
          <w:cols w:space="708"/>
          <w:docGrid w:linePitch="360"/>
        </w:sectPr>
      </w:pPr>
    </w:p>
    <w:p w14:paraId="2F561FFB" w14:textId="6175CEB8" w:rsidR="00077C83" w:rsidRPr="00962762" w:rsidRDefault="000434EA" w:rsidP="000434EA">
      <w:pPr>
        <w:pStyle w:val="Nagwek2"/>
        <w:spacing w:before="0"/>
        <w:jc w:val="both"/>
        <w:rPr>
          <w:rFonts w:cstheme="majorHAnsi"/>
        </w:rPr>
      </w:pPr>
      <w:bookmarkStart w:id="100" w:name="_Toc77070631"/>
      <w:r>
        <w:rPr>
          <w:rFonts w:cstheme="majorHAnsi"/>
        </w:rPr>
        <w:t xml:space="preserve">8.7 </w:t>
      </w:r>
      <w:r w:rsidR="00077C83" w:rsidRPr="00F25EBD">
        <w:rPr>
          <w:rFonts w:cstheme="majorHAnsi"/>
        </w:rPr>
        <w:t>Podsumowanie</w:t>
      </w:r>
      <w:bookmarkEnd w:id="100"/>
    </w:p>
    <w:p w14:paraId="1615A0C6" w14:textId="4C20370E" w:rsidR="00077C83" w:rsidRPr="00F25EBD" w:rsidRDefault="00077C83" w:rsidP="00FC7062">
      <w:pPr>
        <w:spacing w:line="276" w:lineRule="auto"/>
        <w:jc w:val="both"/>
        <w:rPr>
          <w:rFonts w:asciiTheme="majorHAnsi" w:hAnsiTheme="majorHAnsi" w:cstheme="majorHAnsi"/>
        </w:rPr>
      </w:pPr>
      <w:r w:rsidRPr="00F25EBD">
        <w:rPr>
          <w:rFonts w:asciiTheme="majorHAnsi" w:hAnsiTheme="majorHAnsi" w:cstheme="majorHAnsi"/>
        </w:rPr>
        <w:t>W tabeli poniżej przedstawiono ranking badanych powiatów - liczby od 1 do 4</w:t>
      </w:r>
      <w:r w:rsidRPr="00F25EBD">
        <w:rPr>
          <w:rStyle w:val="Odwoanieprzypisudolnego"/>
          <w:rFonts w:asciiTheme="majorHAnsi" w:hAnsiTheme="majorHAnsi" w:cstheme="majorHAnsi"/>
        </w:rPr>
        <w:footnoteReference w:id="47"/>
      </w:r>
      <w:r w:rsidR="00962762">
        <w:rPr>
          <w:rFonts w:asciiTheme="majorHAnsi" w:hAnsiTheme="majorHAnsi" w:cstheme="majorHAnsi"/>
        </w:rPr>
        <w:t xml:space="preserve"> oznaczają pozycję w </w:t>
      </w:r>
      <w:r w:rsidRPr="00F25EBD">
        <w:rPr>
          <w:rFonts w:asciiTheme="majorHAnsi" w:hAnsiTheme="majorHAnsi" w:cstheme="majorHAnsi"/>
        </w:rPr>
        <w:t>rankingu w 2019 lub 2018 roku w zależności od dostępności danych. Następnie wyliczono średnią dla każdego z powiatów i w ten sposób wskazano powiat o największym potencjale.</w:t>
      </w:r>
    </w:p>
    <w:p w14:paraId="141DCDC2" w14:textId="24F6B3BB" w:rsidR="00B153BA" w:rsidRDefault="00B153BA" w:rsidP="00B153BA">
      <w:pPr>
        <w:pStyle w:val="nad"/>
      </w:pPr>
      <w:bookmarkStart w:id="101" w:name="_Toc81300552"/>
      <w:r>
        <w:t xml:space="preserve">Tabela </w:t>
      </w:r>
      <w:r w:rsidR="00094ACC">
        <w:rPr>
          <w:noProof/>
        </w:rPr>
        <w:fldChar w:fldCharType="begin"/>
      </w:r>
      <w:r w:rsidR="00094ACC">
        <w:rPr>
          <w:noProof/>
        </w:rPr>
        <w:instrText xml:space="preserve"> SEQ Tabela \* ARABIC </w:instrText>
      </w:r>
      <w:r w:rsidR="00094ACC">
        <w:rPr>
          <w:noProof/>
        </w:rPr>
        <w:fldChar w:fldCharType="separate"/>
      </w:r>
      <w:r w:rsidR="006C7815">
        <w:rPr>
          <w:noProof/>
        </w:rPr>
        <w:t>26</w:t>
      </w:r>
      <w:r w:rsidR="00094ACC">
        <w:rPr>
          <w:noProof/>
        </w:rPr>
        <w:fldChar w:fldCharType="end"/>
      </w:r>
      <w:r w:rsidRPr="00B153BA">
        <w:rPr>
          <w:rFonts w:cstheme="majorHAnsi"/>
        </w:rPr>
        <w:t xml:space="preserve"> </w:t>
      </w:r>
      <w:r>
        <w:rPr>
          <w:rFonts w:cstheme="majorHAnsi"/>
        </w:rPr>
        <w:t>R</w:t>
      </w:r>
      <w:r w:rsidRPr="00F25EBD">
        <w:rPr>
          <w:rFonts w:cstheme="majorHAnsi"/>
        </w:rPr>
        <w:t>anking badanych powiatów</w:t>
      </w:r>
      <w:bookmarkEnd w:id="101"/>
    </w:p>
    <w:tbl>
      <w:tblPr>
        <w:tblStyle w:val="Tabela-Siatka"/>
        <w:tblW w:w="9062" w:type="dxa"/>
        <w:tblLook w:val="04A0" w:firstRow="1" w:lastRow="0" w:firstColumn="1" w:lastColumn="0" w:noHBand="0" w:noVBand="1"/>
      </w:tblPr>
      <w:tblGrid>
        <w:gridCol w:w="2263"/>
        <w:gridCol w:w="4536"/>
        <w:gridCol w:w="1276"/>
        <w:gridCol w:w="987"/>
      </w:tblGrid>
      <w:tr w:rsidR="00962762" w:rsidRPr="00962762" w14:paraId="6B8E60F5" w14:textId="77777777" w:rsidTr="00646BD8">
        <w:trPr>
          <w:trHeight w:val="397"/>
          <w:tblHeader/>
        </w:trPr>
        <w:tc>
          <w:tcPr>
            <w:tcW w:w="22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vAlign w:val="center"/>
            <w:hideMark/>
          </w:tcPr>
          <w:p w14:paraId="56C5956F" w14:textId="77777777" w:rsidR="00077C83" w:rsidRPr="00962762" w:rsidRDefault="00077C83" w:rsidP="00962762">
            <w:pPr>
              <w:jc w:val="center"/>
              <w:rPr>
                <w:rFonts w:asciiTheme="majorHAnsi" w:hAnsiTheme="majorHAnsi" w:cstheme="majorHAnsi"/>
                <w:color w:val="FFFFFF" w:themeColor="background1"/>
                <w:sz w:val="18"/>
                <w:szCs w:val="20"/>
              </w:rPr>
            </w:pPr>
            <w:r w:rsidRPr="00962762">
              <w:rPr>
                <w:rFonts w:asciiTheme="majorHAnsi" w:hAnsiTheme="majorHAnsi" w:cstheme="majorHAnsi"/>
                <w:color w:val="FFFFFF" w:themeColor="background1"/>
                <w:sz w:val="18"/>
                <w:szCs w:val="20"/>
              </w:rPr>
              <w:t>Sfera</w:t>
            </w:r>
          </w:p>
        </w:tc>
        <w:tc>
          <w:tcPr>
            <w:tcW w:w="4536" w:type="dxa"/>
            <w:tcBorders>
              <w:top w:val="single" w:sz="4" w:space="0" w:color="FFFFFF" w:themeColor="background1"/>
              <w:left w:val="single" w:sz="4" w:space="0" w:color="FFFFFF" w:themeColor="background1"/>
              <w:bottom w:val="nil"/>
              <w:right w:val="single" w:sz="4" w:space="0" w:color="FFFFFF" w:themeColor="background1"/>
            </w:tcBorders>
            <w:shd w:val="clear" w:color="auto" w:fill="92D050"/>
            <w:vAlign w:val="center"/>
            <w:hideMark/>
          </w:tcPr>
          <w:p w14:paraId="7502A46E" w14:textId="77777777" w:rsidR="00077C83" w:rsidRPr="00962762" w:rsidRDefault="00077C83" w:rsidP="00962762">
            <w:pPr>
              <w:jc w:val="center"/>
              <w:rPr>
                <w:rFonts w:asciiTheme="majorHAnsi" w:hAnsiTheme="majorHAnsi" w:cstheme="majorHAnsi"/>
                <w:color w:val="FFFFFF" w:themeColor="background1"/>
                <w:sz w:val="18"/>
                <w:szCs w:val="20"/>
              </w:rPr>
            </w:pPr>
            <w:r w:rsidRPr="00962762">
              <w:rPr>
                <w:rFonts w:asciiTheme="majorHAnsi" w:hAnsiTheme="majorHAnsi" w:cstheme="majorHAnsi"/>
                <w:color w:val="FFFFFF" w:themeColor="background1"/>
                <w:sz w:val="18"/>
                <w:szCs w:val="20"/>
              </w:rPr>
              <w:t>Zmienna</w:t>
            </w:r>
          </w:p>
        </w:tc>
        <w:tc>
          <w:tcPr>
            <w:tcW w:w="1276" w:type="dxa"/>
            <w:tcBorders>
              <w:top w:val="single" w:sz="4" w:space="0" w:color="FFFFFF" w:themeColor="background1"/>
              <w:left w:val="single" w:sz="4" w:space="0" w:color="FFFFFF" w:themeColor="background1"/>
              <w:bottom w:val="nil"/>
              <w:right w:val="single" w:sz="4" w:space="0" w:color="FFFFFF" w:themeColor="background1"/>
            </w:tcBorders>
            <w:shd w:val="clear" w:color="auto" w:fill="92D050"/>
            <w:vAlign w:val="center"/>
            <w:hideMark/>
          </w:tcPr>
          <w:p w14:paraId="016AF964" w14:textId="77777777" w:rsidR="00077C83" w:rsidRPr="00962762" w:rsidRDefault="00077C83" w:rsidP="00962762">
            <w:pPr>
              <w:jc w:val="center"/>
              <w:rPr>
                <w:rFonts w:asciiTheme="majorHAnsi" w:hAnsiTheme="majorHAnsi" w:cstheme="majorHAnsi"/>
                <w:color w:val="FFFFFF" w:themeColor="background1"/>
                <w:sz w:val="18"/>
                <w:szCs w:val="20"/>
              </w:rPr>
            </w:pPr>
            <w:r w:rsidRPr="00962762">
              <w:rPr>
                <w:rFonts w:asciiTheme="majorHAnsi" w:hAnsiTheme="majorHAnsi" w:cstheme="majorHAnsi"/>
                <w:color w:val="FFFFFF" w:themeColor="background1"/>
                <w:sz w:val="18"/>
                <w:szCs w:val="20"/>
              </w:rPr>
              <w:t>Powiat</w:t>
            </w:r>
          </w:p>
        </w:tc>
        <w:tc>
          <w:tcPr>
            <w:tcW w:w="987" w:type="dxa"/>
            <w:tcBorders>
              <w:top w:val="single" w:sz="4" w:space="0" w:color="FFFFFF" w:themeColor="background1"/>
              <w:left w:val="single" w:sz="4" w:space="0" w:color="FFFFFF" w:themeColor="background1"/>
              <w:bottom w:val="nil"/>
              <w:right w:val="single" w:sz="4" w:space="0" w:color="FFFFFF" w:themeColor="background1"/>
            </w:tcBorders>
            <w:shd w:val="clear" w:color="auto" w:fill="92D050"/>
            <w:vAlign w:val="center"/>
            <w:hideMark/>
          </w:tcPr>
          <w:p w14:paraId="7FEE1451" w14:textId="77777777" w:rsidR="00077C83" w:rsidRPr="00962762" w:rsidRDefault="00077C83" w:rsidP="00962762">
            <w:pPr>
              <w:jc w:val="center"/>
              <w:rPr>
                <w:rFonts w:asciiTheme="majorHAnsi" w:hAnsiTheme="majorHAnsi" w:cstheme="majorHAnsi"/>
                <w:color w:val="FFFFFF" w:themeColor="background1"/>
                <w:sz w:val="18"/>
                <w:szCs w:val="20"/>
              </w:rPr>
            </w:pPr>
            <w:r w:rsidRPr="00962762">
              <w:rPr>
                <w:rFonts w:asciiTheme="majorHAnsi" w:hAnsiTheme="majorHAnsi" w:cstheme="majorHAnsi"/>
                <w:color w:val="FFFFFF" w:themeColor="background1"/>
                <w:sz w:val="18"/>
                <w:szCs w:val="20"/>
              </w:rPr>
              <w:t>Miejsce</w:t>
            </w:r>
          </w:p>
        </w:tc>
      </w:tr>
      <w:tr w:rsidR="00077C83" w:rsidRPr="00962762" w14:paraId="293ABD69" w14:textId="77777777" w:rsidTr="00962762">
        <w:trPr>
          <w:trHeight w:val="20"/>
        </w:trPr>
        <w:tc>
          <w:tcPr>
            <w:tcW w:w="2263" w:type="dxa"/>
            <w:vMerge w:val="restart"/>
            <w:tcBorders>
              <w:top w:val="single" w:sz="4" w:space="0" w:color="FFFFFF" w:themeColor="background1"/>
              <w:left w:val="single" w:sz="4" w:space="0" w:color="FFFFFF" w:themeColor="background1"/>
              <w:bottom w:val="single" w:sz="4" w:space="0" w:color="FFFFFF" w:themeColor="background1"/>
              <w:right w:val="nil"/>
            </w:tcBorders>
            <w:shd w:val="clear" w:color="auto" w:fill="DEEAF6" w:themeFill="accent1" w:themeFillTint="33"/>
            <w:vAlign w:val="center"/>
            <w:hideMark/>
          </w:tcPr>
          <w:p w14:paraId="502A9435" w14:textId="77777777" w:rsidR="00077C83" w:rsidRPr="00962762" w:rsidRDefault="00077C83" w:rsidP="00962762">
            <w:pPr>
              <w:jc w:val="both"/>
              <w:rPr>
                <w:rFonts w:asciiTheme="majorHAnsi" w:hAnsiTheme="majorHAnsi" w:cstheme="majorHAnsi"/>
                <w:sz w:val="18"/>
                <w:szCs w:val="20"/>
              </w:rPr>
            </w:pPr>
            <w:r w:rsidRPr="00962762">
              <w:rPr>
                <w:rFonts w:asciiTheme="majorHAnsi" w:hAnsiTheme="majorHAnsi" w:cstheme="majorHAnsi"/>
                <w:sz w:val="18"/>
                <w:szCs w:val="20"/>
              </w:rPr>
              <w:t>Demografia</w:t>
            </w:r>
          </w:p>
        </w:tc>
        <w:tc>
          <w:tcPr>
            <w:tcW w:w="4536" w:type="dxa"/>
            <w:vMerge w:val="restart"/>
            <w:tcBorders>
              <w:top w:val="nil"/>
              <w:left w:val="nil"/>
              <w:bottom w:val="single" w:sz="4" w:space="0" w:color="808080" w:themeColor="background1" w:themeShade="80"/>
              <w:right w:val="nil"/>
            </w:tcBorders>
            <w:vAlign w:val="center"/>
            <w:hideMark/>
          </w:tcPr>
          <w:p w14:paraId="0C84A32D" w14:textId="77777777" w:rsidR="00077C83" w:rsidRPr="00962762" w:rsidRDefault="00077C83" w:rsidP="00962762">
            <w:pPr>
              <w:rPr>
                <w:rFonts w:asciiTheme="majorHAnsi" w:hAnsiTheme="majorHAnsi" w:cstheme="majorHAnsi"/>
                <w:sz w:val="18"/>
                <w:szCs w:val="20"/>
              </w:rPr>
            </w:pPr>
            <w:r w:rsidRPr="00962762">
              <w:rPr>
                <w:rFonts w:asciiTheme="majorHAnsi" w:hAnsiTheme="majorHAnsi" w:cstheme="majorHAnsi"/>
                <w:sz w:val="18"/>
                <w:szCs w:val="20"/>
              </w:rPr>
              <w:t>Przyrost naturalny na 1000 mieszkańców</w:t>
            </w:r>
          </w:p>
        </w:tc>
        <w:tc>
          <w:tcPr>
            <w:tcW w:w="1276" w:type="dxa"/>
            <w:tcBorders>
              <w:top w:val="nil"/>
              <w:left w:val="nil"/>
              <w:bottom w:val="single" w:sz="4" w:space="0" w:color="808080" w:themeColor="background1" w:themeShade="80"/>
              <w:right w:val="nil"/>
            </w:tcBorders>
            <w:vAlign w:val="center"/>
            <w:hideMark/>
          </w:tcPr>
          <w:p w14:paraId="5774BABB" w14:textId="77777777" w:rsidR="00077C83" w:rsidRPr="00962762" w:rsidRDefault="00077C83" w:rsidP="00962762">
            <w:pPr>
              <w:jc w:val="both"/>
              <w:rPr>
                <w:rFonts w:asciiTheme="majorHAnsi" w:hAnsiTheme="majorHAnsi" w:cstheme="majorHAnsi"/>
                <w:sz w:val="18"/>
                <w:szCs w:val="20"/>
              </w:rPr>
            </w:pPr>
            <w:r w:rsidRPr="00962762">
              <w:rPr>
                <w:rFonts w:asciiTheme="majorHAnsi" w:hAnsiTheme="majorHAnsi" w:cstheme="majorHAnsi"/>
                <w:sz w:val="18"/>
                <w:szCs w:val="20"/>
              </w:rPr>
              <w:t>Działdowski</w:t>
            </w:r>
          </w:p>
        </w:tc>
        <w:tc>
          <w:tcPr>
            <w:tcW w:w="987" w:type="dxa"/>
            <w:tcBorders>
              <w:top w:val="nil"/>
              <w:left w:val="nil"/>
              <w:bottom w:val="single" w:sz="4" w:space="0" w:color="808080" w:themeColor="background1" w:themeShade="80"/>
              <w:right w:val="nil"/>
            </w:tcBorders>
            <w:vAlign w:val="center"/>
            <w:hideMark/>
          </w:tcPr>
          <w:p w14:paraId="342C796B" w14:textId="77777777" w:rsidR="00077C83" w:rsidRPr="00962762" w:rsidRDefault="00077C83" w:rsidP="00962762">
            <w:pPr>
              <w:jc w:val="center"/>
              <w:rPr>
                <w:rFonts w:asciiTheme="majorHAnsi" w:hAnsiTheme="majorHAnsi" w:cstheme="majorHAnsi"/>
                <w:sz w:val="18"/>
                <w:szCs w:val="20"/>
              </w:rPr>
            </w:pPr>
            <w:r w:rsidRPr="00962762">
              <w:rPr>
                <w:rFonts w:asciiTheme="majorHAnsi" w:hAnsiTheme="majorHAnsi" w:cstheme="majorHAnsi"/>
                <w:sz w:val="18"/>
                <w:szCs w:val="20"/>
              </w:rPr>
              <w:t>3</w:t>
            </w:r>
          </w:p>
        </w:tc>
      </w:tr>
      <w:tr w:rsidR="00077C83" w:rsidRPr="00962762" w14:paraId="4EC07435" w14:textId="77777777" w:rsidTr="00962762">
        <w:trPr>
          <w:trHeight w:val="20"/>
        </w:trPr>
        <w:tc>
          <w:tcPr>
            <w:tcW w:w="2263" w:type="dxa"/>
            <w:vMerge/>
            <w:tcBorders>
              <w:top w:val="single" w:sz="4" w:space="0" w:color="FFFFFF" w:themeColor="background1"/>
              <w:left w:val="single" w:sz="4" w:space="0" w:color="FFFFFF" w:themeColor="background1"/>
              <w:bottom w:val="single" w:sz="4" w:space="0" w:color="FFFFFF" w:themeColor="background1"/>
              <w:right w:val="nil"/>
            </w:tcBorders>
            <w:shd w:val="clear" w:color="auto" w:fill="DEEAF6" w:themeFill="accent1" w:themeFillTint="33"/>
            <w:vAlign w:val="center"/>
            <w:hideMark/>
          </w:tcPr>
          <w:p w14:paraId="4D81402F" w14:textId="77777777" w:rsidR="00077C83" w:rsidRPr="00962762" w:rsidRDefault="00077C83" w:rsidP="00962762">
            <w:pPr>
              <w:rPr>
                <w:rFonts w:asciiTheme="majorHAnsi" w:hAnsiTheme="majorHAnsi" w:cstheme="majorHAnsi"/>
                <w:sz w:val="18"/>
                <w:szCs w:val="20"/>
              </w:rPr>
            </w:pPr>
          </w:p>
        </w:tc>
        <w:tc>
          <w:tcPr>
            <w:tcW w:w="4536" w:type="dxa"/>
            <w:vMerge/>
            <w:tcBorders>
              <w:top w:val="single" w:sz="4" w:space="0" w:color="808080" w:themeColor="background1" w:themeShade="80"/>
              <w:left w:val="nil"/>
              <w:bottom w:val="single" w:sz="4" w:space="0" w:color="808080" w:themeColor="background1" w:themeShade="80"/>
              <w:right w:val="nil"/>
            </w:tcBorders>
            <w:vAlign w:val="center"/>
            <w:hideMark/>
          </w:tcPr>
          <w:p w14:paraId="72881926" w14:textId="77777777" w:rsidR="00077C83" w:rsidRPr="00962762" w:rsidRDefault="00077C83" w:rsidP="00962762">
            <w:pPr>
              <w:rPr>
                <w:rFonts w:asciiTheme="majorHAnsi" w:hAnsiTheme="majorHAnsi" w:cstheme="majorHAnsi"/>
                <w:sz w:val="18"/>
                <w:szCs w:val="20"/>
              </w:rPr>
            </w:pPr>
          </w:p>
        </w:tc>
        <w:tc>
          <w:tcPr>
            <w:tcW w:w="1276" w:type="dxa"/>
            <w:tcBorders>
              <w:top w:val="single" w:sz="4" w:space="0" w:color="808080" w:themeColor="background1" w:themeShade="80"/>
              <w:left w:val="nil"/>
              <w:bottom w:val="single" w:sz="4" w:space="0" w:color="808080" w:themeColor="background1" w:themeShade="80"/>
              <w:right w:val="nil"/>
            </w:tcBorders>
            <w:vAlign w:val="center"/>
            <w:hideMark/>
          </w:tcPr>
          <w:p w14:paraId="6A39AAFB" w14:textId="77777777" w:rsidR="00077C83" w:rsidRPr="00962762" w:rsidRDefault="00077C83" w:rsidP="00962762">
            <w:pPr>
              <w:jc w:val="both"/>
              <w:rPr>
                <w:rFonts w:asciiTheme="majorHAnsi" w:hAnsiTheme="majorHAnsi" w:cstheme="majorHAnsi"/>
                <w:sz w:val="18"/>
                <w:szCs w:val="20"/>
              </w:rPr>
            </w:pPr>
            <w:r w:rsidRPr="00962762">
              <w:rPr>
                <w:rFonts w:asciiTheme="majorHAnsi" w:hAnsiTheme="majorHAnsi" w:cstheme="majorHAnsi"/>
                <w:sz w:val="18"/>
                <w:szCs w:val="20"/>
              </w:rPr>
              <w:t>Nidzicki</w:t>
            </w:r>
          </w:p>
        </w:tc>
        <w:tc>
          <w:tcPr>
            <w:tcW w:w="987" w:type="dxa"/>
            <w:tcBorders>
              <w:top w:val="single" w:sz="4" w:space="0" w:color="808080" w:themeColor="background1" w:themeShade="80"/>
              <w:left w:val="nil"/>
              <w:bottom w:val="single" w:sz="4" w:space="0" w:color="808080" w:themeColor="background1" w:themeShade="80"/>
              <w:right w:val="nil"/>
            </w:tcBorders>
            <w:vAlign w:val="center"/>
            <w:hideMark/>
          </w:tcPr>
          <w:p w14:paraId="416159D7" w14:textId="77777777" w:rsidR="00077C83" w:rsidRPr="00962762" w:rsidRDefault="00077C83" w:rsidP="00962762">
            <w:pPr>
              <w:jc w:val="center"/>
              <w:rPr>
                <w:rFonts w:asciiTheme="majorHAnsi" w:hAnsiTheme="majorHAnsi" w:cstheme="majorHAnsi"/>
                <w:sz w:val="18"/>
                <w:szCs w:val="20"/>
              </w:rPr>
            </w:pPr>
            <w:r w:rsidRPr="00962762">
              <w:rPr>
                <w:rFonts w:asciiTheme="majorHAnsi" w:hAnsiTheme="majorHAnsi" w:cstheme="majorHAnsi"/>
                <w:sz w:val="18"/>
                <w:szCs w:val="20"/>
              </w:rPr>
              <w:t>1</w:t>
            </w:r>
          </w:p>
        </w:tc>
      </w:tr>
      <w:tr w:rsidR="00077C83" w:rsidRPr="00962762" w14:paraId="0A481D5C" w14:textId="77777777" w:rsidTr="00962762">
        <w:trPr>
          <w:trHeight w:val="20"/>
        </w:trPr>
        <w:tc>
          <w:tcPr>
            <w:tcW w:w="2263" w:type="dxa"/>
            <w:vMerge/>
            <w:tcBorders>
              <w:top w:val="single" w:sz="4" w:space="0" w:color="FFFFFF" w:themeColor="background1"/>
              <w:left w:val="single" w:sz="4" w:space="0" w:color="FFFFFF" w:themeColor="background1"/>
              <w:bottom w:val="single" w:sz="4" w:space="0" w:color="FFFFFF" w:themeColor="background1"/>
              <w:right w:val="nil"/>
            </w:tcBorders>
            <w:shd w:val="clear" w:color="auto" w:fill="DEEAF6" w:themeFill="accent1" w:themeFillTint="33"/>
            <w:vAlign w:val="center"/>
            <w:hideMark/>
          </w:tcPr>
          <w:p w14:paraId="4836ECB2" w14:textId="77777777" w:rsidR="00077C83" w:rsidRPr="00962762" w:rsidRDefault="00077C83" w:rsidP="00962762">
            <w:pPr>
              <w:rPr>
                <w:rFonts w:asciiTheme="majorHAnsi" w:hAnsiTheme="majorHAnsi" w:cstheme="majorHAnsi"/>
                <w:sz w:val="18"/>
                <w:szCs w:val="20"/>
              </w:rPr>
            </w:pPr>
          </w:p>
        </w:tc>
        <w:tc>
          <w:tcPr>
            <w:tcW w:w="4536" w:type="dxa"/>
            <w:vMerge/>
            <w:tcBorders>
              <w:top w:val="single" w:sz="4" w:space="0" w:color="808080" w:themeColor="background1" w:themeShade="80"/>
              <w:left w:val="nil"/>
              <w:bottom w:val="single" w:sz="4" w:space="0" w:color="808080" w:themeColor="background1" w:themeShade="80"/>
              <w:right w:val="nil"/>
            </w:tcBorders>
            <w:vAlign w:val="center"/>
            <w:hideMark/>
          </w:tcPr>
          <w:p w14:paraId="7E234187" w14:textId="77777777" w:rsidR="00077C83" w:rsidRPr="00962762" w:rsidRDefault="00077C83" w:rsidP="00962762">
            <w:pPr>
              <w:rPr>
                <w:rFonts w:asciiTheme="majorHAnsi" w:hAnsiTheme="majorHAnsi" w:cstheme="majorHAnsi"/>
                <w:sz w:val="18"/>
                <w:szCs w:val="20"/>
              </w:rPr>
            </w:pPr>
          </w:p>
        </w:tc>
        <w:tc>
          <w:tcPr>
            <w:tcW w:w="1276" w:type="dxa"/>
            <w:tcBorders>
              <w:top w:val="single" w:sz="4" w:space="0" w:color="808080" w:themeColor="background1" w:themeShade="80"/>
              <w:left w:val="nil"/>
              <w:bottom w:val="single" w:sz="4" w:space="0" w:color="808080" w:themeColor="background1" w:themeShade="80"/>
              <w:right w:val="nil"/>
            </w:tcBorders>
            <w:vAlign w:val="center"/>
            <w:hideMark/>
          </w:tcPr>
          <w:p w14:paraId="2995C238" w14:textId="77777777" w:rsidR="00077C83" w:rsidRPr="00962762" w:rsidRDefault="00077C83" w:rsidP="00962762">
            <w:pPr>
              <w:jc w:val="both"/>
              <w:rPr>
                <w:rFonts w:asciiTheme="majorHAnsi" w:hAnsiTheme="majorHAnsi" w:cstheme="majorHAnsi"/>
                <w:sz w:val="18"/>
                <w:szCs w:val="20"/>
              </w:rPr>
            </w:pPr>
            <w:r w:rsidRPr="00962762">
              <w:rPr>
                <w:rFonts w:asciiTheme="majorHAnsi" w:hAnsiTheme="majorHAnsi" w:cstheme="majorHAnsi"/>
                <w:sz w:val="18"/>
                <w:szCs w:val="20"/>
              </w:rPr>
              <w:t>Piski</w:t>
            </w:r>
          </w:p>
        </w:tc>
        <w:tc>
          <w:tcPr>
            <w:tcW w:w="987" w:type="dxa"/>
            <w:tcBorders>
              <w:top w:val="single" w:sz="4" w:space="0" w:color="808080" w:themeColor="background1" w:themeShade="80"/>
              <w:left w:val="nil"/>
              <w:bottom w:val="single" w:sz="4" w:space="0" w:color="808080" w:themeColor="background1" w:themeShade="80"/>
              <w:right w:val="nil"/>
            </w:tcBorders>
            <w:vAlign w:val="center"/>
            <w:hideMark/>
          </w:tcPr>
          <w:p w14:paraId="7148A0A7" w14:textId="77777777" w:rsidR="00077C83" w:rsidRPr="00962762" w:rsidRDefault="00077C83" w:rsidP="00962762">
            <w:pPr>
              <w:jc w:val="center"/>
              <w:rPr>
                <w:rFonts w:asciiTheme="majorHAnsi" w:hAnsiTheme="majorHAnsi" w:cstheme="majorHAnsi"/>
                <w:sz w:val="18"/>
                <w:szCs w:val="20"/>
              </w:rPr>
            </w:pPr>
            <w:r w:rsidRPr="00962762">
              <w:rPr>
                <w:rFonts w:asciiTheme="majorHAnsi" w:hAnsiTheme="majorHAnsi" w:cstheme="majorHAnsi"/>
                <w:sz w:val="18"/>
                <w:szCs w:val="20"/>
              </w:rPr>
              <w:t>2</w:t>
            </w:r>
          </w:p>
        </w:tc>
      </w:tr>
      <w:tr w:rsidR="00077C83" w:rsidRPr="00962762" w14:paraId="7E8A8455" w14:textId="77777777" w:rsidTr="00962762">
        <w:trPr>
          <w:trHeight w:val="20"/>
        </w:trPr>
        <w:tc>
          <w:tcPr>
            <w:tcW w:w="2263" w:type="dxa"/>
            <w:vMerge/>
            <w:tcBorders>
              <w:top w:val="single" w:sz="4" w:space="0" w:color="FFFFFF" w:themeColor="background1"/>
              <w:left w:val="single" w:sz="4" w:space="0" w:color="FFFFFF" w:themeColor="background1"/>
              <w:bottom w:val="single" w:sz="4" w:space="0" w:color="FFFFFF" w:themeColor="background1"/>
              <w:right w:val="nil"/>
            </w:tcBorders>
            <w:shd w:val="clear" w:color="auto" w:fill="DEEAF6" w:themeFill="accent1" w:themeFillTint="33"/>
            <w:vAlign w:val="center"/>
            <w:hideMark/>
          </w:tcPr>
          <w:p w14:paraId="0B9AFB1D" w14:textId="77777777" w:rsidR="00077C83" w:rsidRPr="00962762" w:rsidRDefault="00077C83" w:rsidP="00962762">
            <w:pPr>
              <w:rPr>
                <w:rFonts w:asciiTheme="majorHAnsi" w:hAnsiTheme="majorHAnsi" w:cstheme="majorHAnsi"/>
                <w:sz w:val="18"/>
                <w:szCs w:val="20"/>
              </w:rPr>
            </w:pPr>
          </w:p>
        </w:tc>
        <w:tc>
          <w:tcPr>
            <w:tcW w:w="4536" w:type="dxa"/>
            <w:vMerge/>
            <w:tcBorders>
              <w:top w:val="single" w:sz="4" w:space="0" w:color="808080" w:themeColor="background1" w:themeShade="80"/>
              <w:left w:val="nil"/>
              <w:bottom w:val="single" w:sz="4" w:space="0" w:color="808080" w:themeColor="background1" w:themeShade="80"/>
              <w:right w:val="nil"/>
            </w:tcBorders>
            <w:vAlign w:val="center"/>
            <w:hideMark/>
          </w:tcPr>
          <w:p w14:paraId="53A02CD9" w14:textId="77777777" w:rsidR="00077C83" w:rsidRPr="00962762" w:rsidRDefault="00077C83" w:rsidP="00962762">
            <w:pPr>
              <w:rPr>
                <w:rFonts w:asciiTheme="majorHAnsi" w:hAnsiTheme="majorHAnsi" w:cstheme="majorHAnsi"/>
                <w:sz w:val="18"/>
                <w:szCs w:val="20"/>
              </w:rPr>
            </w:pPr>
          </w:p>
        </w:tc>
        <w:tc>
          <w:tcPr>
            <w:tcW w:w="1276" w:type="dxa"/>
            <w:tcBorders>
              <w:top w:val="single" w:sz="4" w:space="0" w:color="808080" w:themeColor="background1" w:themeShade="80"/>
              <w:left w:val="nil"/>
              <w:bottom w:val="single" w:sz="4" w:space="0" w:color="808080" w:themeColor="background1" w:themeShade="80"/>
              <w:right w:val="nil"/>
            </w:tcBorders>
            <w:vAlign w:val="center"/>
            <w:hideMark/>
          </w:tcPr>
          <w:p w14:paraId="42E56C34" w14:textId="77777777" w:rsidR="00077C83" w:rsidRPr="00962762" w:rsidRDefault="00077C83" w:rsidP="00962762">
            <w:pPr>
              <w:jc w:val="both"/>
              <w:rPr>
                <w:rFonts w:asciiTheme="majorHAnsi" w:hAnsiTheme="majorHAnsi" w:cstheme="majorHAnsi"/>
                <w:sz w:val="18"/>
                <w:szCs w:val="20"/>
              </w:rPr>
            </w:pPr>
            <w:r w:rsidRPr="00962762">
              <w:rPr>
                <w:rFonts w:asciiTheme="majorHAnsi" w:hAnsiTheme="majorHAnsi" w:cstheme="majorHAnsi"/>
                <w:sz w:val="18"/>
                <w:szCs w:val="20"/>
              </w:rPr>
              <w:t>Szczycieński</w:t>
            </w:r>
          </w:p>
        </w:tc>
        <w:tc>
          <w:tcPr>
            <w:tcW w:w="987" w:type="dxa"/>
            <w:tcBorders>
              <w:top w:val="single" w:sz="4" w:space="0" w:color="808080" w:themeColor="background1" w:themeShade="80"/>
              <w:left w:val="nil"/>
              <w:bottom w:val="single" w:sz="4" w:space="0" w:color="808080" w:themeColor="background1" w:themeShade="80"/>
              <w:right w:val="nil"/>
            </w:tcBorders>
            <w:vAlign w:val="center"/>
            <w:hideMark/>
          </w:tcPr>
          <w:p w14:paraId="7674EBE4" w14:textId="77777777" w:rsidR="00077C83" w:rsidRPr="00962762" w:rsidRDefault="00077C83" w:rsidP="00962762">
            <w:pPr>
              <w:jc w:val="center"/>
              <w:rPr>
                <w:rFonts w:asciiTheme="majorHAnsi" w:hAnsiTheme="majorHAnsi" w:cstheme="majorHAnsi"/>
                <w:sz w:val="18"/>
                <w:szCs w:val="20"/>
              </w:rPr>
            </w:pPr>
            <w:r w:rsidRPr="00962762">
              <w:rPr>
                <w:rFonts w:asciiTheme="majorHAnsi" w:hAnsiTheme="majorHAnsi" w:cstheme="majorHAnsi"/>
                <w:sz w:val="18"/>
                <w:szCs w:val="20"/>
              </w:rPr>
              <w:t>4</w:t>
            </w:r>
          </w:p>
        </w:tc>
      </w:tr>
      <w:tr w:rsidR="00077C83" w:rsidRPr="00962762" w14:paraId="25FCE918" w14:textId="77777777" w:rsidTr="00962762">
        <w:trPr>
          <w:trHeight w:val="20"/>
        </w:trPr>
        <w:tc>
          <w:tcPr>
            <w:tcW w:w="2263" w:type="dxa"/>
            <w:vMerge/>
            <w:tcBorders>
              <w:top w:val="single" w:sz="4" w:space="0" w:color="FFFFFF" w:themeColor="background1"/>
              <w:left w:val="single" w:sz="4" w:space="0" w:color="FFFFFF" w:themeColor="background1"/>
              <w:bottom w:val="single" w:sz="4" w:space="0" w:color="FFFFFF" w:themeColor="background1"/>
              <w:right w:val="nil"/>
            </w:tcBorders>
            <w:shd w:val="clear" w:color="auto" w:fill="DEEAF6" w:themeFill="accent1" w:themeFillTint="33"/>
            <w:vAlign w:val="center"/>
            <w:hideMark/>
          </w:tcPr>
          <w:p w14:paraId="2303B07C" w14:textId="77777777" w:rsidR="00077C83" w:rsidRPr="00962762" w:rsidRDefault="00077C83" w:rsidP="00962762">
            <w:pPr>
              <w:rPr>
                <w:rFonts w:asciiTheme="majorHAnsi" w:hAnsiTheme="majorHAnsi" w:cstheme="majorHAnsi"/>
                <w:sz w:val="18"/>
                <w:szCs w:val="20"/>
              </w:rPr>
            </w:pPr>
          </w:p>
        </w:tc>
        <w:tc>
          <w:tcPr>
            <w:tcW w:w="4536" w:type="dxa"/>
            <w:vMerge w:val="restart"/>
            <w:tcBorders>
              <w:top w:val="single" w:sz="4" w:space="0" w:color="808080" w:themeColor="background1" w:themeShade="80"/>
              <w:left w:val="nil"/>
              <w:bottom w:val="single" w:sz="4" w:space="0" w:color="808080" w:themeColor="background1" w:themeShade="80"/>
              <w:right w:val="nil"/>
            </w:tcBorders>
            <w:vAlign w:val="center"/>
            <w:hideMark/>
          </w:tcPr>
          <w:p w14:paraId="5F964569" w14:textId="77777777" w:rsidR="00077C83" w:rsidRPr="00962762" w:rsidRDefault="00077C83" w:rsidP="00962762">
            <w:pPr>
              <w:rPr>
                <w:rFonts w:asciiTheme="majorHAnsi" w:hAnsiTheme="majorHAnsi" w:cstheme="majorHAnsi"/>
                <w:sz w:val="18"/>
                <w:szCs w:val="20"/>
              </w:rPr>
            </w:pPr>
            <w:r w:rsidRPr="00962762">
              <w:rPr>
                <w:rFonts w:asciiTheme="majorHAnsi" w:hAnsiTheme="majorHAnsi" w:cstheme="majorHAnsi"/>
                <w:sz w:val="18"/>
                <w:szCs w:val="20"/>
              </w:rPr>
              <w:t>Urodzenia na 1000 mieszkańców</w:t>
            </w:r>
          </w:p>
        </w:tc>
        <w:tc>
          <w:tcPr>
            <w:tcW w:w="1276" w:type="dxa"/>
            <w:tcBorders>
              <w:top w:val="single" w:sz="4" w:space="0" w:color="808080" w:themeColor="background1" w:themeShade="80"/>
              <w:left w:val="nil"/>
              <w:bottom w:val="single" w:sz="4" w:space="0" w:color="808080" w:themeColor="background1" w:themeShade="80"/>
              <w:right w:val="nil"/>
            </w:tcBorders>
            <w:vAlign w:val="center"/>
            <w:hideMark/>
          </w:tcPr>
          <w:p w14:paraId="22F1A81C" w14:textId="77777777" w:rsidR="00077C83" w:rsidRPr="00962762" w:rsidRDefault="00077C83" w:rsidP="00962762">
            <w:pPr>
              <w:jc w:val="both"/>
              <w:rPr>
                <w:rFonts w:asciiTheme="majorHAnsi" w:hAnsiTheme="majorHAnsi" w:cstheme="majorHAnsi"/>
                <w:sz w:val="18"/>
                <w:szCs w:val="20"/>
              </w:rPr>
            </w:pPr>
            <w:r w:rsidRPr="00962762">
              <w:rPr>
                <w:rFonts w:asciiTheme="majorHAnsi" w:hAnsiTheme="majorHAnsi" w:cstheme="majorHAnsi"/>
                <w:sz w:val="18"/>
                <w:szCs w:val="20"/>
              </w:rPr>
              <w:t>Działdowski</w:t>
            </w:r>
          </w:p>
        </w:tc>
        <w:tc>
          <w:tcPr>
            <w:tcW w:w="987" w:type="dxa"/>
            <w:tcBorders>
              <w:top w:val="single" w:sz="4" w:space="0" w:color="808080" w:themeColor="background1" w:themeShade="80"/>
              <w:left w:val="nil"/>
              <w:bottom w:val="single" w:sz="4" w:space="0" w:color="808080" w:themeColor="background1" w:themeShade="80"/>
              <w:right w:val="nil"/>
            </w:tcBorders>
            <w:vAlign w:val="center"/>
            <w:hideMark/>
          </w:tcPr>
          <w:p w14:paraId="2BCB0148" w14:textId="77777777" w:rsidR="00077C83" w:rsidRPr="00962762" w:rsidRDefault="00077C83" w:rsidP="00962762">
            <w:pPr>
              <w:jc w:val="center"/>
              <w:rPr>
                <w:rFonts w:asciiTheme="majorHAnsi" w:hAnsiTheme="majorHAnsi" w:cstheme="majorHAnsi"/>
                <w:sz w:val="18"/>
                <w:szCs w:val="20"/>
              </w:rPr>
            </w:pPr>
            <w:r w:rsidRPr="00962762">
              <w:rPr>
                <w:rFonts w:asciiTheme="majorHAnsi" w:hAnsiTheme="majorHAnsi" w:cstheme="majorHAnsi"/>
                <w:sz w:val="18"/>
                <w:szCs w:val="20"/>
              </w:rPr>
              <w:t>2</w:t>
            </w:r>
          </w:p>
        </w:tc>
      </w:tr>
      <w:tr w:rsidR="00077C83" w:rsidRPr="00962762" w14:paraId="66C299B4" w14:textId="77777777" w:rsidTr="00962762">
        <w:trPr>
          <w:trHeight w:val="20"/>
        </w:trPr>
        <w:tc>
          <w:tcPr>
            <w:tcW w:w="2263" w:type="dxa"/>
            <w:vMerge/>
            <w:tcBorders>
              <w:top w:val="single" w:sz="4" w:space="0" w:color="FFFFFF" w:themeColor="background1"/>
              <w:left w:val="single" w:sz="4" w:space="0" w:color="FFFFFF" w:themeColor="background1"/>
              <w:bottom w:val="single" w:sz="4" w:space="0" w:color="FFFFFF" w:themeColor="background1"/>
              <w:right w:val="nil"/>
            </w:tcBorders>
            <w:shd w:val="clear" w:color="auto" w:fill="DEEAF6" w:themeFill="accent1" w:themeFillTint="33"/>
            <w:vAlign w:val="center"/>
            <w:hideMark/>
          </w:tcPr>
          <w:p w14:paraId="72871190" w14:textId="77777777" w:rsidR="00077C83" w:rsidRPr="00962762" w:rsidRDefault="00077C83" w:rsidP="00962762">
            <w:pPr>
              <w:rPr>
                <w:rFonts w:asciiTheme="majorHAnsi" w:hAnsiTheme="majorHAnsi" w:cstheme="majorHAnsi"/>
                <w:sz w:val="18"/>
                <w:szCs w:val="20"/>
              </w:rPr>
            </w:pPr>
          </w:p>
        </w:tc>
        <w:tc>
          <w:tcPr>
            <w:tcW w:w="4536" w:type="dxa"/>
            <w:vMerge/>
            <w:tcBorders>
              <w:top w:val="single" w:sz="4" w:space="0" w:color="808080" w:themeColor="background1" w:themeShade="80"/>
              <w:left w:val="nil"/>
              <w:bottom w:val="single" w:sz="4" w:space="0" w:color="808080" w:themeColor="background1" w:themeShade="80"/>
              <w:right w:val="nil"/>
            </w:tcBorders>
            <w:vAlign w:val="center"/>
            <w:hideMark/>
          </w:tcPr>
          <w:p w14:paraId="42B9A4F8" w14:textId="77777777" w:rsidR="00077C83" w:rsidRPr="00962762" w:rsidRDefault="00077C83" w:rsidP="00962762">
            <w:pPr>
              <w:rPr>
                <w:rFonts w:asciiTheme="majorHAnsi" w:hAnsiTheme="majorHAnsi" w:cstheme="majorHAnsi"/>
                <w:sz w:val="18"/>
                <w:szCs w:val="20"/>
              </w:rPr>
            </w:pPr>
          </w:p>
        </w:tc>
        <w:tc>
          <w:tcPr>
            <w:tcW w:w="1276" w:type="dxa"/>
            <w:tcBorders>
              <w:top w:val="single" w:sz="4" w:space="0" w:color="808080" w:themeColor="background1" w:themeShade="80"/>
              <w:left w:val="nil"/>
              <w:bottom w:val="single" w:sz="4" w:space="0" w:color="808080" w:themeColor="background1" w:themeShade="80"/>
              <w:right w:val="nil"/>
            </w:tcBorders>
            <w:vAlign w:val="center"/>
            <w:hideMark/>
          </w:tcPr>
          <w:p w14:paraId="66FA880C" w14:textId="77777777" w:rsidR="00077C83" w:rsidRPr="00962762" w:rsidRDefault="00077C83" w:rsidP="00962762">
            <w:pPr>
              <w:jc w:val="both"/>
              <w:rPr>
                <w:rFonts w:asciiTheme="majorHAnsi" w:hAnsiTheme="majorHAnsi" w:cstheme="majorHAnsi"/>
                <w:sz w:val="18"/>
                <w:szCs w:val="20"/>
              </w:rPr>
            </w:pPr>
            <w:r w:rsidRPr="00962762">
              <w:rPr>
                <w:rFonts w:asciiTheme="majorHAnsi" w:hAnsiTheme="majorHAnsi" w:cstheme="majorHAnsi"/>
                <w:sz w:val="18"/>
                <w:szCs w:val="20"/>
              </w:rPr>
              <w:t>Nidzicki</w:t>
            </w:r>
          </w:p>
        </w:tc>
        <w:tc>
          <w:tcPr>
            <w:tcW w:w="987" w:type="dxa"/>
            <w:tcBorders>
              <w:top w:val="single" w:sz="4" w:space="0" w:color="808080" w:themeColor="background1" w:themeShade="80"/>
              <w:left w:val="nil"/>
              <w:bottom w:val="single" w:sz="4" w:space="0" w:color="808080" w:themeColor="background1" w:themeShade="80"/>
              <w:right w:val="nil"/>
            </w:tcBorders>
            <w:vAlign w:val="center"/>
            <w:hideMark/>
          </w:tcPr>
          <w:p w14:paraId="344218EA" w14:textId="77777777" w:rsidR="00077C83" w:rsidRPr="00962762" w:rsidRDefault="00077C83" w:rsidP="00962762">
            <w:pPr>
              <w:jc w:val="center"/>
              <w:rPr>
                <w:rFonts w:asciiTheme="majorHAnsi" w:hAnsiTheme="majorHAnsi" w:cstheme="majorHAnsi"/>
                <w:sz w:val="18"/>
                <w:szCs w:val="20"/>
              </w:rPr>
            </w:pPr>
            <w:r w:rsidRPr="00962762">
              <w:rPr>
                <w:rFonts w:asciiTheme="majorHAnsi" w:hAnsiTheme="majorHAnsi" w:cstheme="majorHAnsi"/>
                <w:sz w:val="18"/>
                <w:szCs w:val="20"/>
              </w:rPr>
              <w:t>4</w:t>
            </w:r>
          </w:p>
        </w:tc>
      </w:tr>
      <w:tr w:rsidR="00077C83" w:rsidRPr="00962762" w14:paraId="36E63150" w14:textId="77777777" w:rsidTr="00962762">
        <w:trPr>
          <w:trHeight w:val="20"/>
        </w:trPr>
        <w:tc>
          <w:tcPr>
            <w:tcW w:w="2263" w:type="dxa"/>
            <w:vMerge/>
            <w:tcBorders>
              <w:top w:val="single" w:sz="4" w:space="0" w:color="FFFFFF" w:themeColor="background1"/>
              <w:left w:val="single" w:sz="4" w:space="0" w:color="FFFFFF" w:themeColor="background1"/>
              <w:bottom w:val="single" w:sz="4" w:space="0" w:color="FFFFFF" w:themeColor="background1"/>
              <w:right w:val="nil"/>
            </w:tcBorders>
            <w:shd w:val="clear" w:color="auto" w:fill="DEEAF6" w:themeFill="accent1" w:themeFillTint="33"/>
            <w:vAlign w:val="center"/>
            <w:hideMark/>
          </w:tcPr>
          <w:p w14:paraId="528F8048" w14:textId="77777777" w:rsidR="00077C83" w:rsidRPr="00962762" w:rsidRDefault="00077C83" w:rsidP="00962762">
            <w:pPr>
              <w:rPr>
                <w:rFonts w:asciiTheme="majorHAnsi" w:hAnsiTheme="majorHAnsi" w:cstheme="majorHAnsi"/>
                <w:sz w:val="18"/>
                <w:szCs w:val="20"/>
              </w:rPr>
            </w:pPr>
          </w:p>
        </w:tc>
        <w:tc>
          <w:tcPr>
            <w:tcW w:w="4536" w:type="dxa"/>
            <w:vMerge/>
            <w:tcBorders>
              <w:top w:val="single" w:sz="4" w:space="0" w:color="808080" w:themeColor="background1" w:themeShade="80"/>
              <w:left w:val="nil"/>
              <w:bottom w:val="single" w:sz="4" w:space="0" w:color="808080" w:themeColor="background1" w:themeShade="80"/>
              <w:right w:val="nil"/>
            </w:tcBorders>
            <w:vAlign w:val="center"/>
            <w:hideMark/>
          </w:tcPr>
          <w:p w14:paraId="66392797" w14:textId="77777777" w:rsidR="00077C83" w:rsidRPr="00962762" w:rsidRDefault="00077C83" w:rsidP="00962762">
            <w:pPr>
              <w:rPr>
                <w:rFonts w:asciiTheme="majorHAnsi" w:hAnsiTheme="majorHAnsi" w:cstheme="majorHAnsi"/>
                <w:sz w:val="18"/>
                <w:szCs w:val="20"/>
              </w:rPr>
            </w:pPr>
          </w:p>
        </w:tc>
        <w:tc>
          <w:tcPr>
            <w:tcW w:w="1276" w:type="dxa"/>
            <w:tcBorders>
              <w:top w:val="single" w:sz="4" w:space="0" w:color="808080" w:themeColor="background1" w:themeShade="80"/>
              <w:left w:val="nil"/>
              <w:bottom w:val="single" w:sz="4" w:space="0" w:color="808080" w:themeColor="background1" w:themeShade="80"/>
              <w:right w:val="nil"/>
            </w:tcBorders>
            <w:vAlign w:val="center"/>
            <w:hideMark/>
          </w:tcPr>
          <w:p w14:paraId="39B0B91A" w14:textId="77777777" w:rsidR="00077C83" w:rsidRPr="00962762" w:rsidRDefault="00077C83" w:rsidP="00962762">
            <w:pPr>
              <w:jc w:val="both"/>
              <w:rPr>
                <w:rFonts w:asciiTheme="majorHAnsi" w:hAnsiTheme="majorHAnsi" w:cstheme="majorHAnsi"/>
                <w:sz w:val="18"/>
                <w:szCs w:val="20"/>
              </w:rPr>
            </w:pPr>
            <w:r w:rsidRPr="00962762">
              <w:rPr>
                <w:rFonts w:asciiTheme="majorHAnsi" w:hAnsiTheme="majorHAnsi" w:cstheme="majorHAnsi"/>
                <w:sz w:val="18"/>
                <w:szCs w:val="20"/>
              </w:rPr>
              <w:t>Piski</w:t>
            </w:r>
          </w:p>
        </w:tc>
        <w:tc>
          <w:tcPr>
            <w:tcW w:w="987" w:type="dxa"/>
            <w:tcBorders>
              <w:top w:val="single" w:sz="4" w:space="0" w:color="808080" w:themeColor="background1" w:themeShade="80"/>
              <w:left w:val="nil"/>
              <w:bottom w:val="single" w:sz="4" w:space="0" w:color="808080" w:themeColor="background1" w:themeShade="80"/>
              <w:right w:val="nil"/>
            </w:tcBorders>
            <w:vAlign w:val="center"/>
            <w:hideMark/>
          </w:tcPr>
          <w:p w14:paraId="4BB9EDD7" w14:textId="77777777" w:rsidR="00077C83" w:rsidRPr="00962762" w:rsidRDefault="00077C83" w:rsidP="00962762">
            <w:pPr>
              <w:jc w:val="center"/>
              <w:rPr>
                <w:rFonts w:asciiTheme="majorHAnsi" w:hAnsiTheme="majorHAnsi" w:cstheme="majorHAnsi"/>
                <w:sz w:val="18"/>
                <w:szCs w:val="20"/>
              </w:rPr>
            </w:pPr>
            <w:r w:rsidRPr="00962762">
              <w:rPr>
                <w:rFonts w:asciiTheme="majorHAnsi" w:hAnsiTheme="majorHAnsi" w:cstheme="majorHAnsi"/>
                <w:sz w:val="18"/>
                <w:szCs w:val="20"/>
              </w:rPr>
              <w:t>3</w:t>
            </w:r>
          </w:p>
        </w:tc>
      </w:tr>
      <w:tr w:rsidR="00077C83" w:rsidRPr="00962762" w14:paraId="646BA617" w14:textId="77777777" w:rsidTr="00962762">
        <w:trPr>
          <w:trHeight w:val="20"/>
        </w:trPr>
        <w:tc>
          <w:tcPr>
            <w:tcW w:w="2263" w:type="dxa"/>
            <w:vMerge/>
            <w:tcBorders>
              <w:top w:val="single" w:sz="4" w:space="0" w:color="FFFFFF" w:themeColor="background1"/>
              <w:left w:val="single" w:sz="4" w:space="0" w:color="FFFFFF" w:themeColor="background1"/>
              <w:bottom w:val="single" w:sz="4" w:space="0" w:color="FFFFFF" w:themeColor="background1"/>
              <w:right w:val="nil"/>
            </w:tcBorders>
            <w:shd w:val="clear" w:color="auto" w:fill="DEEAF6" w:themeFill="accent1" w:themeFillTint="33"/>
            <w:vAlign w:val="center"/>
            <w:hideMark/>
          </w:tcPr>
          <w:p w14:paraId="37FEAC98" w14:textId="77777777" w:rsidR="00077C83" w:rsidRPr="00962762" w:rsidRDefault="00077C83" w:rsidP="00962762">
            <w:pPr>
              <w:rPr>
                <w:rFonts w:asciiTheme="majorHAnsi" w:hAnsiTheme="majorHAnsi" w:cstheme="majorHAnsi"/>
                <w:sz w:val="18"/>
                <w:szCs w:val="20"/>
              </w:rPr>
            </w:pPr>
          </w:p>
        </w:tc>
        <w:tc>
          <w:tcPr>
            <w:tcW w:w="4536" w:type="dxa"/>
            <w:vMerge/>
            <w:tcBorders>
              <w:top w:val="single" w:sz="4" w:space="0" w:color="808080" w:themeColor="background1" w:themeShade="80"/>
              <w:left w:val="nil"/>
              <w:bottom w:val="single" w:sz="4" w:space="0" w:color="808080" w:themeColor="background1" w:themeShade="80"/>
              <w:right w:val="nil"/>
            </w:tcBorders>
            <w:vAlign w:val="center"/>
            <w:hideMark/>
          </w:tcPr>
          <w:p w14:paraId="40301797" w14:textId="77777777" w:rsidR="00077C83" w:rsidRPr="00962762" w:rsidRDefault="00077C83" w:rsidP="00962762">
            <w:pPr>
              <w:rPr>
                <w:rFonts w:asciiTheme="majorHAnsi" w:hAnsiTheme="majorHAnsi" w:cstheme="majorHAnsi"/>
                <w:sz w:val="18"/>
                <w:szCs w:val="20"/>
              </w:rPr>
            </w:pPr>
          </w:p>
        </w:tc>
        <w:tc>
          <w:tcPr>
            <w:tcW w:w="1276" w:type="dxa"/>
            <w:tcBorders>
              <w:top w:val="single" w:sz="4" w:space="0" w:color="808080" w:themeColor="background1" w:themeShade="80"/>
              <w:left w:val="nil"/>
              <w:bottom w:val="single" w:sz="4" w:space="0" w:color="808080" w:themeColor="background1" w:themeShade="80"/>
              <w:right w:val="nil"/>
            </w:tcBorders>
            <w:vAlign w:val="center"/>
            <w:hideMark/>
          </w:tcPr>
          <w:p w14:paraId="1005C391" w14:textId="77777777" w:rsidR="00077C83" w:rsidRPr="00962762" w:rsidRDefault="00077C83" w:rsidP="00962762">
            <w:pPr>
              <w:jc w:val="both"/>
              <w:rPr>
                <w:rFonts w:asciiTheme="majorHAnsi" w:hAnsiTheme="majorHAnsi" w:cstheme="majorHAnsi"/>
                <w:sz w:val="18"/>
                <w:szCs w:val="20"/>
              </w:rPr>
            </w:pPr>
            <w:r w:rsidRPr="00962762">
              <w:rPr>
                <w:rFonts w:asciiTheme="majorHAnsi" w:hAnsiTheme="majorHAnsi" w:cstheme="majorHAnsi"/>
                <w:sz w:val="18"/>
                <w:szCs w:val="20"/>
              </w:rPr>
              <w:t>Szczycieński</w:t>
            </w:r>
          </w:p>
        </w:tc>
        <w:tc>
          <w:tcPr>
            <w:tcW w:w="987" w:type="dxa"/>
            <w:tcBorders>
              <w:top w:val="single" w:sz="4" w:space="0" w:color="808080" w:themeColor="background1" w:themeShade="80"/>
              <w:left w:val="nil"/>
              <w:bottom w:val="single" w:sz="4" w:space="0" w:color="808080" w:themeColor="background1" w:themeShade="80"/>
              <w:right w:val="nil"/>
            </w:tcBorders>
            <w:vAlign w:val="center"/>
            <w:hideMark/>
          </w:tcPr>
          <w:p w14:paraId="482C3EA2" w14:textId="77777777" w:rsidR="00077C83" w:rsidRPr="00962762" w:rsidRDefault="00077C83" w:rsidP="00962762">
            <w:pPr>
              <w:jc w:val="center"/>
              <w:rPr>
                <w:rFonts w:asciiTheme="majorHAnsi" w:hAnsiTheme="majorHAnsi" w:cstheme="majorHAnsi"/>
                <w:sz w:val="18"/>
                <w:szCs w:val="20"/>
              </w:rPr>
            </w:pPr>
            <w:r w:rsidRPr="00962762">
              <w:rPr>
                <w:rFonts w:asciiTheme="majorHAnsi" w:hAnsiTheme="majorHAnsi" w:cstheme="majorHAnsi"/>
                <w:sz w:val="18"/>
                <w:szCs w:val="20"/>
              </w:rPr>
              <w:t>1</w:t>
            </w:r>
          </w:p>
        </w:tc>
      </w:tr>
      <w:tr w:rsidR="00077C83" w:rsidRPr="00962762" w14:paraId="5D8B2BB1" w14:textId="77777777" w:rsidTr="00962762">
        <w:trPr>
          <w:trHeight w:val="20"/>
        </w:trPr>
        <w:tc>
          <w:tcPr>
            <w:tcW w:w="2263" w:type="dxa"/>
            <w:vMerge/>
            <w:tcBorders>
              <w:top w:val="single" w:sz="4" w:space="0" w:color="FFFFFF" w:themeColor="background1"/>
              <w:left w:val="single" w:sz="4" w:space="0" w:color="FFFFFF" w:themeColor="background1"/>
              <w:bottom w:val="single" w:sz="4" w:space="0" w:color="FFFFFF" w:themeColor="background1"/>
              <w:right w:val="nil"/>
            </w:tcBorders>
            <w:shd w:val="clear" w:color="auto" w:fill="DEEAF6" w:themeFill="accent1" w:themeFillTint="33"/>
            <w:vAlign w:val="center"/>
            <w:hideMark/>
          </w:tcPr>
          <w:p w14:paraId="10CFA703" w14:textId="77777777" w:rsidR="00077C83" w:rsidRPr="00962762" w:rsidRDefault="00077C83" w:rsidP="00962762">
            <w:pPr>
              <w:rPr>
                <w:rFonts w:asciiTheme="majorHAnsi" w:hAnsiTheme="majorHAnsi" w:cstheme="majorHAnsi"/>
                <w:sz w:val="18"/>
                <w:szCs w:val="20"/>
              </w:rPr>
            </w:pPr>
          </w:p>
        </w:tc>
        <w:tc>
          <w:tcPr>
            <w:tcW w:w="4536" w:type="dxa"/>
            <w:vMerge w:val="restart"/>
            <w:tcBorders>
              <w:top w:val="single" w:sz="4" w:space="0" w:color="808080" w:themeColor="background1" w:themeShade="80"/>
              <w:left w:val="nil"/>
              <w:bottom w:val="single" w:sz="4" w:space="0" w:color="808080" w:themeColor="background1" w:themeShade="80"/>
              <w:right w:val="nil"/>
            </w:tcBorders>
            <w:vAlign w:val="center"/>
            <w:hideMark/>
          </w:tcPr>
          <w:p w14:paraId="0946CBBA" w14:textId="77777777" w:rsidR="00077C83" w:rsidRPr="00962762" w:rsidRDefault="00077C83" w:rsidP="00962762">
            <w:pPr>
              <w:rPr>
                <w:rFonts w:asciiTheme="majorHAnsi" w:hAnsiTheme="majorHAnsi" w:cstheme="majorHAnsi"/>
                <w:sz w:val="18"/>
                <w:szCs w:val="20"/>
              </w:rPr>
            </w:pPr>
            <w:r w:rsidRPr="00962762">
              <w:rPr>
                <w:rFonts w:asciiTheme="majorHAnsi" w:hAnsiTheme="majorHAnsi" w:cstheme="majorHAnsi"/>
                <w:sz w:val="18"/>
                <w:szCs w:val="20"/>
              </w:rPr>
              <w:t>Współczynnik obciążenia demograficznego</w:t>
            </w:r>
          </w:p>
        </w:tc>
        <w:tc>
          <w:tcPr>
            <w:tcW w:w="1276" w:type="dxa"/>
            <w:tcBorders>
              <w:top w:val="single" w:sz="4" w:space="0" w:color="808080" w:themeColor="background1" w:themeShade="80"/>
              <w:left w:val="nil"/>
              <w:bottom w:val="single" w:sz="4" w:space="0" w:color="808080" w:themeColor="background1" w:themeShade="80"/>
              <w:right w:val="nil"/>
            </w:tcBorders>
            <w:vAlign w:val="center"/>
            <w:hideMark/>
          </w:tcPr>
          <w:p w14:paraId="7C02436F" w14:textId="77777777" w:rsidR="00077C83" w:rsidRPr="00962762" w:rsidRDefault="00077C83" w:rsidP="00962762">
            <w:pPr>
              <w:jc w:val="both"/>
              <w:rPr>
                <w:rFonts w:asciiTheme="majorHAnsi" w:hAnsiTheme="majorHAnsi" w:cstheme="majorHAnsi"/>
                <w:sz w:val="18"/>
                <w:szCs w:val="20"/>
              </w:rPr>
            </w:pPr>
            <w:r w:rsidRPr="00962762">
              <w:rPr>
                <w:rFonts w:asciiTheme="majorHAnsi" w:hAnsiTheme="majorHAnsi" w:cstheme="majorHAnsi"/>
                <w:sz w:val="18"/>
                <w:szCs w:val="20"/>
              </w:rPr>
              <w:t>Działdowski</w:t>
            </w:r>
          </w:p>
        </w:tc>
        <w:tc>
          <w:tcPr>
            <w:tcW w:w="987" w:type="dxa"/>
            <w:tcBorders>
              <w:top w:val="single" w:sz="4" w:space="0" w:color="808080" w:themeColor="background1" w:themeShade="80"/>
              <w:left w:val="nil"/>
              <w:bottom w:val="single" w:sz="4" w:space="0" w:color="808080" w:themeColor="background1" w:themeShade="80"/>
              <w:right w:val="nil"/>
            </w:tcBorders>
            <w:vAlign w:val="center"/>
            <w:hideMark/>
          </w:tcPr>
          <w:p w14:paraId="7DE1E13F" w14:textId="77777777" w:rsidR="00077C83" w:rsidRPr="00962762" w:rsidRDefault="00077C83" w:rsidP="00962762">
            <w:pPr>
              <w:jc w:val="center"/>
              <w:rPr>
                <w:rFonts w:asciiTheme="majorHAnsi" w:hAnsiTheme="majorHAnsi" w:cstheme="majorHAnsi"/>
                <w:sz w:val="18"/>
                <w:szCs w:val="20"/>
              </w:rPr>
            </w:pPr>
            <w:r w:rsidRPr="00962762">
              <w:rPr>
                <w:rFonts w:asciiTheme="majorHAnsi" w:hAnsiTheme="majorHAnsi" w:cstheme="majorHAnsi"/>
                <w:sz w:val="18"/>
                <w:szCs w:val="20"/>
              </w:rPr>
              <w:t>4</w:t>
            </w:r>
          </w:p>
        </w:tc>
      </w:tr>
      <w:tr w:rsidR="00077C83" w:rsidRPr="00962762" w14:paraId="5188FEA9" w14:textId="77777777" w:rsidTr="00962762">
        <w:trPr>
          <w:trHeight w:val="20"/>
        </w:trPr>
        <w:tc>
          <w:tcPr>
            <w:tcW w:w="2263" w:type="dxa"/>
            <w:vMerge/>
            <w:tcBorders>
              <w:top w:val="single" w:sz="4" w:space="0" w:color="FFFFFF" w:themeColor="background1"/>
              <w:left w:val="single" w:sz="4" w:space="0" w:color="FFFFFF" w:themeColor="background1"/>
              <w:bottom w:val="single" w:sz="4" w:space="0" w:color="FFFFFF" w:themeColor="background1"/>
              <w:right w:val="nil"/>
            </w:tcBorders>
            <w:shd w:val="clear" w:color="auto" w:fill="DEEAF6" w:themeFill="accent1" w:themeFillTint="33"/>
            <w:vAlign w:val="center"/>
            <w:hideMark/>
          </w:tcPr>
          <w:p w14:paraId="3F17FE3E" w14:textId="77777777" w:rsidR="00077C83" w:rsidRPr="00962762" w:rsidRDefault="00077C83" w:rsidP="00962762">
            <w:pPr>
              <w:rPr>
                <w:rFonts w:asciiTheme="majorHAnsi" w:hAnsiTheme="majorHAnsi" w:cstheme="majorHAnsi"/>
                <w:sz w:val="18"/>
                <w:szCs w:val="20"/>
              </w:rPr>
            </w:pPr>
          </w:p>
        </w:tc>
        <w:tc>
          <w:tcPr>
            <w:tcW w:w="4536" w:type="dxa"/>
            <w:vMerge/>
            <w:tcBorders>
              <w:top w:val="single" w:sz="4" w:space="0" w:color="808080" w:themeColor="background1" w:themeShade="80"/>
              <w:left w:val="nil"/>
              <w:bottom w:val="single" w:sz="4" w:space="0" w:color="808080" w:themeColor="background1" w:themeShade="80"/>
              <w:right w:val="nil"/>
            </w:tcBorders>
            <w:vAlign w:val="center"/>
            <w:hideMark/>
          </w:tcPr>
          <w:p w14:paraId="16815B4E" w14:textId="77777777" w:rsidR="00077C83" w:rsidRPr="00962762" w:rsidRDefault="00077C83" w:rsidP="00962762">
            <w:pPr>
              <w:rPr>
                <w:rFonts w:asciiTheme="majorHAnsi" w:hAnsiTheme="majorHAnsi" w:cstheme="majorHAnsi"/>
                <w:sz w:val="18"/>
                <w:szCs w:val="20"/>
              </w:rPr>
            </w:pPr>
          </w:p>
        </w:tc>
        <w:tc>
          <w:tcPr>
            <w:tcW w:w="1276" w:type="dxa"/>
            <w:tcBorders>
              <w:top w:val="single" w:sz="4" w:space="0" w:color="808080" w:themeColor="background1" w:themeShade="80"/>
              <w:left w:val="nil"/>
              <w:bottom w:val="single" w:sz="4" w:space="0" w:color="808080" w:themeColor="background1" w:themeShade="80"/>
              <w:right w:val="nil"/>
            </w:tcBorders>
            <w:vAlign w:val="center"/>
            <w:hideMark/>
          </w:tcPr>
          <w:p w14:paraId="7B987D73" w14:textId="77777777" w:rsidR="00077C83" w:rsidRPr="00962762" w:rsidRDefault="00077C83" w:rsidP="00962762">
            <w:pPr>
              <w:jc w:val="both"/>
              <w:rPr>
                <w:rFonts w:asciiTheme="majorHAnsi" w:hAnsiTheme="majorHAnsi" w:cstheme="majorHAnsi"/>
                <w:sz w:val="18"/>
                <w:szCs w:val="20"/>
              </w:rPr>
            </w:pPr>
            <w:r w:rsidRPr="00962762">
              <w:rPr>
                <w:rFonts w:asciiTheme="majorHAnsi" w:hAnsiTheme="majorHAnsi" w:cstheme="majorHAnsi"/>
                <w:sz w:val="18"/>
                <w:szCs w:val="20"/>
              </w:rPr>
              <w:t>Nidzicki</w:t>
            </w:r>
          </w:p>
        </w:tc>
        <w:tc>
          <w:tcPr>
            <w:tcW w:w="987" w:type="dxa"/>
            <w:tcBorders>
              <w:top w:val="single" w:sz="4" w:space="0" w:color="808080" w:themeColor="background1" w:themeShade="80"/>
              <w:left w:val="nil"/>
              <w:bottom w:val="single" w:sz="4" w:space="0" w:color="808080" w:themeColor="background1" w:themeShade="80"/>
              <w:right w:val="nil"/>
            </w:tcBorders>
            <w:vAlign w:val="center"/>
            <w:hideMark/>
          </w:tcPr>
          <w:p w14:paraId="241194DF" w14:textId="77777777" w:rsidR="00077C83" w:rsidRPr="00962762" w:rsidRDefault="00077C83" w:rsidP="00962762">
            <w:pPr>
              <w:jc w:val="center"/>
              <w:rPr>
                <w:rFonts w:asciiTheme="majorHAnsi" w:hAnsiTheme="majorHAnsi" w:cstheme="majorHAnsi"/>
                <w:sz w:val="18"/>
                <w:szCs w:val="20"/>
              </w:rPr>
            </w:pPr>
            <w:r w:rsidRPr="00962762">
              <w:rPr>
                <w:rFonts w:asciiTheme="majorHAnsi" w:hAnsiTheme="majorHAnsi" w:cstheme="majorHAnsi"/>
                <w:sz w:val="18"/>
                <w:szCs w:val="20"/>
              </w:rPr>
              <w:t>3</w:t>
            </w:r>
          </w:p>
        </w:tc>
      </w:tr>
      <w:tr w:rsidR="00077C83" w:rsidRPr="00962762" w14:paraId="6391B38C" w14:textId="77777777" w:rsidTr="00962762">
        <w:trPr>
          <w:trHeight w:val="20"/>
        </w:trPr>
        <w:tc>
          <w:tcPr>
            <w:tcW w:w="2263" w:type="dxa"/>
            <w:vMerge/>
            <w:tcBorders>
              <w:top w:val="single" w:sz="4" w:space="0" w:color="FFFFFF" w:themeColor="background1"/>
              <w:left w:val="single" w:sz="4" w:space="0" w:color="FFFFFF" w:themeColor="background1"/>
              <w:bottom w:val="single" w:sz="4" w:space="0" w:color="FFFFFF" w:themeColor="background1"/>
              <w:right w:val="nil"/>
            </w:tcBorders>
            <w:shd w:val="clear" w:color="auto" w:fill="DEEAF6" w:themeFill="accent1" w:themeFillTint="33"/>
            <w:vAlign w:val="center"/>
            <w:hideMark/>
          </w:tcPr>
          <w:p w14:paraId="0F9E7675" w14:textId="77777777" w:rsidR="00077C83" w:rsidRPr="00962762" w:rsidRDefault="00077C83" w:rsidP="00962762">
            <w:pPr>
              <w:rPr>
                <w:rFonts w:asciiTheme="majorHAnsi" w:hAnsiTheme="majorHAnsi" w:cstheme="majorHAnsi"/>
                <w:sz w:val="18"/>
                <w:szCs w:val="20"/>
              </w:rPr>
            </w:pPr>
          </w:p>
        </w:tc>
        <w:tc>
          <w:tcPr>
            <w:tcW w:w="4536" w:type="dxa"/>
            <w:vMerge/>
            <w:tcBorders>
              <w:top w:val="single" w:sz="4" w:space="0" w:color="808080" w:themeColor="background1" w:themeShade="80"/>
              <w:left w:val="nil"/>
              <w:bottom w:val="single" w:sz="4" w:space="0" w:color="808080" w:themeColor="background1" w:themeShade="80"/>
              <w:right w:val="nil"/>
            </w:tcBorders>
            <w:vAlign w:val="center"/>
            <w:hideMark/>
          </w:tcPr>
          <w:p w14:paraId="4D3330E8" w14:textId="77777777" w:rsidR="00077C83" w:rsidRPr="00962762" w:rsidRDefault="00077C83" w:rsidP="00962762">
            <w:pPr>
              <w:rPr>
                <w:rFonts w:asciiTheme="majorHAnsi" w:hAnsiTheme="majorHAnsi" w:cstheme="majorHAnsi"/>
                <w:sz w:val="18"/>
                <w:szCs w:val="20"/>
              </w:rPr>
            </w:pPr>
          </w:p>
        </w:tc>
        <w:tc>
          <w:tcPr>
            <w:tcW w:w="1276" w:type="dxa"/>
            <w:tcBorders>
              <w:top w:val="single" w:sz="4" w:space="0" w:color="808080" w:themeColor="background1" w:themeShade="80"/>
              <w:left w:val="nil"/>
              <w:bottom w:val="single" w:sz="4" w:space="0" w:color="808080" w:themeColor="background1" w:themeShade="80"/>
              <w:right w:val="nil"/>
            </w:tcBorders>
            <w:vAlign w:val="center"/>
            <w:hideMark/>
          </w:tcPr>
          <w:p w14:paraId="3FE81C48" w14:textId="77777777" w:rsidR="00077C83" w:rsidRPr="00962762" w:rsidRDefault="00077C83" w:rsidP="00962762">
            <w:pPr>
              <w:jc w:val="both"/>
              <w:rPr>
                <w:rFonts w:asciiTheme="majorHAnsi" w:hAnsiTheme="majorHAnsi" w:cstheme="majorHAnsi"/>
                <w:sz w:val="18"/>
                <w:szCs w:val="20"/>
              </w:rPr>
            </w:pPr>
            <w:r w:rsidRPr="00962762">
              <w:rPr>
                <w:rFonts w:asciiTheme="majorHAnsi" w:hAnsiTheme="majorHAnsi" w:cstheme="majorHAnsi"/>
                <w:sz w:val="18"/>
                <w:szCs w:val="20"/>
              </w:rPr>
              <w:t>Piski</w:t>
            </w:r>
          </w:p>
        </w:tc>
        <w:tc>
          <w:tcPr>
            <w:tcW w:w="987" w:type="dxa"/>
            <w:tcBorders>
              <w:top w:val="single" w:sz="4" w:space="0" w:color="808080" w:themeColor="background1" w:themeShade="80"/>
              <w:left w:val="nil"/>
              <w:bottom w:val="single" w:sz="4" w:space="0" w:color="808080" w:themeColor="background1" w:themeShade="80"/>
              <w:right w:val="nil"/>
            </w:tcBorders>
            <w:vAlign w:val="center"/>
            <w:hideMark/>
          </w:tcPr>
          <w:p w14:paraId="4691D47E" w14:textId="77777777" w:rsidR="00077C83" w:rsidRPr="00962762" w:rsidRDefault="00077C83" w:rsidP="00962762">
            <w:pPr>
              <w:jc w:val="center"/>
              <w:rPr>
                <w:rFonts w:asciiTheme="majorHAnsi" w:hAnsiTheme="majorHAnsi" w:cstheme="majorHAnsi"/>
                <w:sz w:val="18"/>
                <w:szCs w:val="20"/>
              </w:rPr>
            </w:pPr>
            <w:r w:rsidRPr="00962762">
              <w:rPr>
                <w:rFonts w:asciiTheme="majorHAnsi" w:hAnsiTheme="majorHAnsi" w:cstheme="majorHAnsi"/>
                <w:sz w:val="18"/>
                <w:szCs w:val="20"/>
              </w:rPr>
              <w:t>2</w:t>
            </w:r>
          </w:p>
        </w:tc>
      </w:tr>
      <w:tr w:rsidR="00077C83" w:rsidRPr="00962762" w14:paraId="2567916B" w14:textId="77777777" w:rsidTr="00962762">
        <w:trPr>
          <w:trHeight w:val="20"/>
        </w:trPr>
        <w:tc>
          <w:tcPr>
            <w:tcW w:w="2263" w:type="dxa"/>
            <w:vMerge/>
            <w:tcBorders>
              <w:top w:val="single" w:sz="4" w:space="0" w:color="FFFFFF" w:themeColor="background1"/>
              <w:left w:val="single" w:sz="4" w:space="0" w:color="FFFFFF" w:themeColor="background1"/>
              <w:bottom w:val="single" w:sz="4" w:space="0" w:color="FFFFFF" w:themeColor="background1"/>
              <w:right w:val="nil"/>
            </w:tcBorders>
            <w:shd w:val="clear" w:color="auto" w:fill="DEEAF6" w:themeFill="accent1" w:themeFillTint="33"/>
            <w:vAlign w:val="center"/>
            <w:hideMark/>
          </w:tcPr>
          <w:p w14:paraId="67A1F087" w14:textId="77777777" w:rsidR="00077C83" w:rsidRPr="00962762" w:rsidRDefault="00077C83" w:rsidP="00962762">
            <w:pPr>
              <w:rPr>
                <w:rFonts w:asciiTheme="majorHAnsi" w:hAnsiTheme="majorHAnsi" w:cstheme="majorHAnsi"/>
                <w:sz w:val="18"/>
                <w:szCs w:val="20"/>
              </w:rPr>
            </w:pPr>
          </w:p>
        </w:tc>
        <w:tc>
          <w:tcPr>
            <w:tcW w:w="4536" w:type="dxa"/>
            <w:vMerge/>
            <w:tcBorders>
              <w:top w:val="single" w:sz="4" w:space="0" w:color="808080" w:themeColor="background1" w:themeShade="80"/>
              <w:left w:val="nil"/>
              <w:bottom w:val="single" w:sz="4" w:space="0" w:color="808080" w:themeColor="background1" w:themeShade="80"/>
              <w:right w:val="nil"/>
            </w:tcBorders>
            <w:vAlign w:val="center"/>
            <w:hideMark/>
          </w:tcPr>
          <w:p w14:paraId="4A954FBF" w14:textId="77777777" w:rsidR="00077C83" w:rsidRPr="00962762" w:rsidRDefault="00077C83" w:rsidP="00962762">
            <w:pPr>
              <w:rPr>
                <w:rFonts w:asciiTheme="majorHAnsi" w:hAnsiTheme="majorHAnsi" w:cstheme="majorHAnsi"/>
                <w:sz w:val="18"/>
                <w:szCs w:val="20"/>
              </w:rPr>
            </w:pPr>
          </w:p>
        </w:tc>
        <w:tc>
          <w:tcPr>
            <w:tcW w:w="1276" w:type="dxa"/>
            <w:tcBorders>
              <w:top w:val="single" w:sz="4" w:space="0" w:color="808080" w:themeColor="background1" w:themeShade="80"/>
              <w:left w:val="nil"/>
              <w:bottom w:val="single" w:sz="4" w:space="0" w:color="808080" w:themeColor="background1" w:themeShade="80"/>
              <w:right w:val="nil"/>
            </w:tcBorders>
            <w:vAlign w:val="center"/>
            <w:hideMark/>
          </w:tcPr>
          <w:p w14:paraId="5D213105" w14:textId="77777777" w:rsidR="00077C83" w:rsidRPr="00962762" w:rsidRDefault="00077C83" w:rsidP="00962762">
            <w:pPr>
              <w:jc w:val="both"/>
              <w:rPr>
                <w:rFonts w:asciiTheme="majorHAnsi" w:hAnsiTheme="majorHAnsi" w:cstheme="majorHAnsi"/>
                <w:sz w:val="18"/>
                <w:szCs w:val="20"/>
              </w:rPr>
            </w:pPr>
            <w:r w:rsidRPr="00962762">
              <w:rPr>
                <w:rFonts w:asciiTheme="majorHAnsi" w:hAnsiTheme="majorHAnsi" w:cstheme="majorHAnsi"/>
                <w:sz w:val="18"/>
                <w:szCs w:val="20"/>
              </w:rPr>
              <w:t>Szczycieński</w:t>
            </w:r>
          </w:p>
        </w:tc>
        <w:tc>
          <w:tcPr>
            <w:tcW w:w="987" w:type="dxa"/>
            <w:tcBorders>
              <w:top w:val="single" w:sz="4" w:space="0" w:color="808080" w:themeColor="background1" w:themeShade="80"/>
              <w:left w:val="nil"/>
              <w:bottom w:val="single" w:sz="4" w:space="0" w:color="808080" w:themeColor="background1" w:themeShade="80"/>
              <w:right w:val="nil"/>
            </w:tcBorders>
            <w:vAlign w:val="center"/>
            <w:hideMark/>
          </w:tcPr>
          <w:p w14:paraId="5D627677" w14:textId="77777777" w:rsidR="00077C83" w:rsidRPr="00962762" w:rsidRDefault="00077C83" w:rsidP="00962762">
            <w:pPr>
              <w:jc w:val="center"/>
              <w:rPr>
                <w:rFonts w:asciiTheme="majorHAnsi" w:hAnsiTheme="majorHAnsi" w:cstheme="majorHAnsi"/>
                <w:sz w:val="18"/>
                <w:szCs w:val="20"/>
              </w:rPr>
            </w:pPr>
            <w:r w:rsidRPr="00962762">
              <w:rPr>
                <w:rFonts w:asciiTheme="majorHAnsi" w:hAnsiTheme="majorHAnsi" w:cstheme="majorHAnsi"/>
                <w:sz w:val="18"/>
                <w:szCs w:val="20"/>
              </w:rPr>
              <w:t>1</w:t>
            </w:r>
          </w:p>
        </w:tc>
      </w:tr>
      <w:tr w:rsidR="00077C83" w:rsidRPr="00962762" w14:paraId="6539EF3E" w14:textId="77777777" w:rsidTr="00962762">
        <w:trPr>
          <w:trHeight w:val="20"/>
        </w:trPr>
        <w:tc>
          <w:tcPr>
            <w:tcW w:w="2263" w:type="dxa"/>
            <w:vMerge w:val="restart"/>
            <w:tcBorders>
              <w:top w:val="single" w:sz="4" w:space="0" w:color="FFFFFF" w:themeColor="background1"/>
              <w:left w:val="single" w:sz="4" w:space="0" w:color="FFFFFF" w:themeColor="background1"/>
              <w:bottom w:val="single" w:sz="4" w:space="0" w:color="FFFFFF" w:themeColor="background1"/>
              <w:right w:val="nil"/>
            </w:tcBorders>
            <w:shd w:val="clear" w:color="auto" w:fill="DEEAF6" w:themeFill="accent1" w:themeFillTint="33"/>
            <w:vAlign w:val="center"/>
            <w:hideMark/>
          </w:tcPr>
          <w:p w14:paraId="114275B7" w14:textId="77777777" w:rsidR="00077C83" w:rsidRPr="00962762" w:rsidRDefault="00077C83" w:rsidP="00962762">
            <w:pPr>
              <w:jc w:val="both"/>
              <w:rPr>
                <w:rFonts w:asciiTheme="majorHAnsi" w:hAnsiTheme="majorHAnsi" w:cstheme="majorHAnsi"/>
                <w:sz w:val="18"/>
                <w:szCs w:val="20"/>
              </w:rPr>
            </w:pPr>
            <w:r w:rsidRPr="00962762">
              <w:rPr>
                <w:rFonts w:asciiTheme="majorHAnsi" w:hAnsiTheme="majorHAnsi" w:cstheme="majorHAnsi"/>
                <w:sz w:val="18"/>
                <w:szCs w:val="20"/>
              </w:rPr>
              <w:t>Zdrowie</w:t>
            </w:r>
          </w:p>
        </w:tc>
        <w:tc>
          <w:tcPr>
            <w:tcW w:w="4536" w:type="dxa"/>
            <w:vMerge w:val="restart"/>
            <w:tcBorders>
              <w:top w:val="single" w:sz="4" w:space="0" w:color="808080" w:themeColor="background1" w:themeShade="80"/>
              <w:left w:val="nil"/>
              <w:bottom w:val="single" w:sz="4" w:space="0" w:color="808080" w:themeColor="background1" w:themeShade="80"/>
              <w:right w:val="nil"/>
            </w:tcBorders>
            <w:vAlign w:val="center"/>
            <w:hideMark/>
          </w:tcPr>
          <w:p w14:paraId="3DAA97AA" w14:textId="77777777" w:rsidR="00077C83" w:rsidRPr="00962762" w:rsidRDefault="00077C83" w:rsidP="00962762">
            <w:pPr>
              <w:rPr>
                <w:rFonts w:asciiTheme="majorHAnsi" w:hAnsiTheme="majorHAnsi" w:cstheme="majorHAnsi"/>
                <w:sz w:val="18"/>
                <w:szCs w:val="20"/>
              </w:rPr>
            </w:pPr>
            <w:r w:rsidRPr="00962762">
              <w:rPr>
                <w:rFonts w:asciiTheme="majorHAnsi" w:hAnsiTheme="majorHAnsi" w:cstheme="majorHAnsi"/>
                <w:sz w:val="18"/>
                <w:szCs w:val="20"/>
              </w:rPr>
              <w:t xml:space="preserve">Lekarze na 10 </w:t>
            </w:r>
            <w:proofErr w:type="spellStart"/>
            <w:r w:rsidRPr="00962762">
              <w:rPr>
                <w:rFonts w:asciiTheme="majorHAnsi" w:hAnsiTheme="majorHAnsi" w:cstheme="majorHAnsi"/>
                <w:sz w:val="18"/>
                <w:szCs w:val="20"/>
              </w:rPr>
              <w:t>tys</w:t>
            </w:r>
            <w:proofErr w:type="spellEnd"/>
            <w:r w:rsidRPr="00962762">
              <w:rPr>
                <w:rFonts w:asciiTheme="majorHAnsi" w:hAnsiTheme="majorHAnsi" w:cstheme="majorHAnsi"/>
                <w:sz w:val="18"/>
                <w:szCs w:val="20"/>
              </w:rPr>
              <w:t xml:space="preserve"> ludności</w:t>
            </w:r>
          </w:p>
        </w:tc>
        <w:tc>
          <w:tcPr>
            <w:tcW w:w="1276" w:type="dxa"/>
            <w:tcBorders>
              <w:top w:val="single" w:sz="4" w:space="0" w:color="808080" w:themeColor="background1" w:themeShade="80"/>
              <w:left w:val="nil"/>
              <w:bottom w:val="single" w:sz="4" w:space="0" w:color="808080" w:themeColor="background1" w:themeShade="80"/>
              <w:right w:val="nil"/>
            </w:tcBorders>
            <w:vAlign w:val="center"/>
            <w:hideMark/>
          </w:tcPr>
          <w:p w14:paraId="548938B6" w14:textId="77777777" w:rsidR="00077C83" w:rsidRPr="00962762" w:rsidRDefault="00077C83" w:rsidP="00962762">
            <w:pPr>
              <w:jc w:val="both"/>
              <w:rPr>
                <w:rFonts w:asciiTheme="majorHAnsi" w:hAnsiTheme="majorHAnsi" w:cstheme="majorHAnsi"/>
                <w:sz w:val="18"/>
                <w:szCs w:val="20"/>
              </w:rPr>
            </w:pPr>
            <w:r w:rsidRPr="00962762">
              <w:rPr>
                <w:rFonts w:asciiTheme="majorHAnsi" w:hAnsiTheme="majorHAnsi" w:cstheme="majorHAnsi"/>
                <w:sz w:val="18"/>
                <w:szCs w:val="20"/>
              </w:rPr>
              <w:t>Działdowski</w:t>
            </w:r>
          </w:p>
        </w:tc>
        <w:tc>
          <w:tcPr>
            <w:tcW w:w="987" w:type="dxa"/>
            <w:tcBorders>
              <w:top w:val="single" w:sz="4" w:space="0" w:color="808080" w:themeColor="background1" w:themeShade="80"/>
              <w:left w:val="nil"/>
              <w:bottom w:val="single" w:sz="4" w:space="0" w:color="808080" w:themeColor="background1" w:themeShade="80"/>
              <w:right w:val="nil"/>
            </w:tcBorders>
            <w:vAlign w:val="center"/>
            <w:hideMark/>
          </w:tcPr>
          <w:p w14:paraId="2F5183CC" w14:textId="77777777" w:rsidR="00077C83" w:rsidRPr="00962762" w:rsidRDefault="00077C83" w:rsidP="00962762">
            <w:pPr>
              <w:jc w:val="center"/>
              <w:rPr>
                <w:rFonts w:asciiTheme="majorHAnsi" w:hAnsiTheme="majorHAnsi" w:cstheme="majorHAnsi"/>
                <w:sz w:val="18"/>
                <w:szCs w:val="20"/>
              </w:rPr>
            </w:pPr>
            <w:r w:rsidRPr="00962762">
              <w:rPr>
                <w:rFonts w:asciiTheme="majorHAnsi" w:hAnsiTheme="majorHAnsi" w:cstheme="majorHAnsi"/>
                <w:sz w:val="18"/>
                <w:szCs w:val="20"/>
              </w:rPr>
              <w:t>2</w:t>
            </w:r>
          </w:p>
        </w:tc>
      </w:tr>
      <w:tr w:rsidR="00077C83" w:rsidRPr="00962762" w14:paraId="5DE33B5B" w14:textId="77777777" w:rsidTr="00962762">
        <w:trPr>
          <w:trHeight w:val="20"/>
        </w:trPr>
        <w:tc>
          <w:tcPr>
            <w:tcW w:w="2263" w:type="dxa"/>
            <w:vMerge/>
            <w:tcBorders>
              <w:top w:val="single" w:sz="4" w:space="0" w:color="FFFFFF" w:themeColor="background1"/>
              <w:left w:val="single" w:sz="4" w:space="0" w:color="FFFFFF" w:themeColor="background1"/>
              <w:bottom w:val="single" w:sz="4" w:space="0" w:color="FFFFFF" w:themeColor="background1"/>
              <w:right w:val="nil"/>
            </w:tcBorders>
            <w:shd w:val="clear" w:color="auto" w:fill="DEEAF6" w:themeFill="accent1" w:themeFillTint="33"/>
            <w:vAlign w:val="center"/>
            <w:hideMark/>
          </w:tcPr>
          <w:p w14:paraId="7A9BF7F5" w14:textId="77777777" w:rsidR="00077C83" w:rsidRPr="00962762" w:rsidRDefault="00077C83" w:rsidP="00962762">
            <w:pPr>
              <w:rPr>
                <w:rFonts w:asciiTheme="majorHAnsi" w:hAnsiTheme="majorHAnsi" w:cstheme="majorHAnsi"/>
                <w:sz w:val="18"/>
                <w:szCs w:val="20"/>
              </w:rPr>
            </w:pPr>
          </w:p>
        </w:tc>
        <w:tc>
          <w:tcPr>
            <w:tcW w:w="4536" w:type="dxa"/>
            <w:vMerge/>
            <w:tcBorders>
              <w:top w:val="single" w:sz="4" w:space="0" w:color="808080" w:themeColor="background1" w:themeShade="80"/>
              <w:left w:val="nil"/>
              <w:bottom w:val="single" w:sz="4" w:space="0" w:color="808080" w:themeColor="background1" w:themeShade="80"/>
              <w:right w:val="nil"/>
            </w:tcBorders>
            <w:vAlign w:val="center"/>
            <w:hideMark/>
          </w:tcPr>
          <w:p w14:paraId="4C847B6C" w14:textId="77777777" w:rsidR="00077C83" w:rsidRPr="00962762" w:rsidRDefault="00077C83" w:rsidP="00962762">
            <w:pPr>
              <w:rPr>
                <w:rFonts w:asciiTheme="majorHAnsi" w:hAnsiTheme="majorHAnsi" w:cstheme="majorHAnsi"/>
                <w:sz w:val="18"/>
                <w:szCs w:val="20"/>
              </w:rPr>
            </w:pPr>
          </w:p>
        </w:tc>
        <w:tc>
          <w:tcPr>
            <w:tcW w:w="1276" w:type="dxa"/>
            <w:tcBorders>
              <w:top w:val="single" w:sz="4" w:space="0" w:color="808080" w:themeColor="background1" w:themeShade="80"/>
              <w:left w:val="nil"/>
              <w:bottom w:val="single" w:sz="4" w:space="0" w:color="808080" w:themeColor="background1" w:themeShade="80"/>
              <w:right w:val="nil"/>
            </w:tcBorders>
            <w:vAlign w:val="center"/>
            <w:hideMark/>
          </w:tcPr>
          <w:p w14:paraId="117FBD2C" w14:textId="77777777" w:rsidR="00077C83" w:rsidRPr="00962762" w:rsidRDefault="00077C83" w:rsidP="00962762">
            <w:pPr>
              <w:jc w:val="both"/>
              <w:rPr>
                <w:rFonts w:asciiTheme="majorHAnsi" w:hAnsiTheme="majorHAnsi" w:cstheme="majorHAnsi"/>
                <w:sz w:val="18"/>
                <w:szCs w:val="20"/>
              </w:rPr>
            </w:pPr>
            <w:r w:rsidRPr="00962762">
              <w:rPr>
                <w:rFonts w:asciiTheme="majorHAnsi" w:hAnsiTheme="majorHAnsi" w:cstheme="majorHAnsi"/>
                <w:sz w:val="18"/>
                <w:szCs w:val="20"/>
              </w:rPr>
              <w:t>Nidzicki</w:t>
            </w:r>
          </w:p>
        </w:tc>
        <w:tc>
          <w:tcPr>
            <w:tcW w:w="987" w:type="dxa"/>
            <w:tcBorders>
              <w:top w:val="single" w:sz="4" w:space="0" w:color="808080" w:themeColor="background1" w:themeShade="80"/>
              <w:left w:val="nil"/>
              <w:bottom w:val="single" w:sz="4" w:space="0" w:color="808080" w:themeColor="background1" w:themeShade="80"/>
              <w:right w:val="nil"/>
            </w:tcBorders>
            <w:vAlign w:val="center"/>
            <w:hideMark/>
          </w:tcPr>
          <w:p w14:paraId="6C88F9C7" w14:textId="77777777" w:rsidR="00077C83" w:rsidRPr="00962762" w:rsidRDefault="00077C83" w:rsidP="00962762">
            <w:pPr>
              <w:jc w:val="center"/>
              <w:rPr>
                <w:rFonts w:asciiTheme="majorHAnsi" w:hAnsiTheme="majorHAnsi" w:cstheme="majorHAnsi"/>
                <w:sz w:val="18"/>
                <w:szCs w:val="20"/>
              </w:rPr>
            </w:pPr>
            <w:r w:rsidRPr="00962762">
              <w:rPr>
                <w:rFonts w:asciiTheme="majorHAnsi" w:hAnsiTheme="majorHAnsi" w:cstheme="majorHAnsi"/>
                <w:sz w:val="18"/>
                <w:szCs w:val="20"/>
              </w:rPr>
              <w:t>1</w:t>
            </w:r>
          </w:p>
        </w:tc>
      </w:tr>
      <w:tr w:rsidR="00077C83" w:rsidRPr="00962762" w14:paraId="3E82EA41" w14:textId="77777777" w:rsidTr="00962762">
        <w:trPr>
          <w:trHeight w:val="20"/>
        </w:trPr>
        <w:tc>
          <w:tcPr>
            <w:tcW w:w="2263" w:type="dxa"/>
            <w:vMerge/>
            <w:tcBorders>
              <w:top w:val="single" w:sz="4" w:space="0" w:color="FFFFFF" w:themeColor="background1"/>
              <w:left w:val="single" w:sz="4" w:space="0" w:color="FFFFFF" w:themeColor="background1"/>
              <w:bottom w:val="single" w:sz="4" w:space="0" w:color="FFFFFF" w:themeColor="background1"/>
              <w:right w:val="nil"/>
            </w:tcBorders>
            <w:shd w:val="clear" w:color="auto" w:fill="DEEAF6" w:themeFill="accent1" w:themeFillTint="33"/>
            <w:vAlign w:val="center"/>
            <w:hideMark/>
          </w:tcPr>
          <w:p w14:paraId="7168F9D5" w14:textId="77777777" w:rsidR="00077C83" w:rsidRPr="00962762" w:rsidRDefault="00077C83" w:rsidP="00962762">
            <w:pPr>
              <w:rPr>
                <w:rFonts w:asciiTheme="majorHAnsi" w:hAnsiTheme="majorHAnsi" w:cstheme="majorHAnsi"/>
                <w:sz w:val="18"/>
                <w:szCs w:val="20"/>
              </w:rPr>
            </w:pPr>
          </w:p>
        </w:tc>
        <w:tc>
          <w:tcPr>
            <w:tcW w:w="4536" w:type="dxa"/>
            <w:vMerge/>
            <w:tcBorders>
              <w:top w:val="single" w:sz="4" w:space="0" w:color="808080" w:themeColor="background1" w:themeShade="80"/>
              <w:left w:val="nil"/>
              <w:bottom w:val="single" w:sz="4" w:space="0" w:color="808080" w:themeColor="background1" w:themeShade="80"/>
              <w:right w:val="nil"/>
            </w:tcBorders>
            <w:vAlign w:val="center"/>
            <w:hideMark/>
          </w:tcPr>
          <w:p w14:paraId="6345502C" w14:textId="77777777" w:rsidR="00077C83" w:rsidRPr="00962762" w:rsidRDefault="00077C83" w:rsidP="00962762">
            <w:pPr>
              <w:rPr>
                <w:rFonts w:asciiTheme="majorHAnsi" w:hAnsiTheme="majorHAnsi" w:cstheme="majorHAnsi"/>
                <w:sz w:val="18"/>
                <w:szCs w:val="20"/>
              </w:rPr>
            </w:pPr>
          </w:p>
        </w:tc>
        <w:tc>
          <w:tcPr>
            <w:tcW w:w="1276" w:type="dxa"/>
            <w:tcBorders>
              <w:top w:val="single" w:sz="4" w:space="0" w:color="808080" w:themeColor="background1" w:themeShade="80"/>
              <w:left w:val="nil"/>
              <w:bottom w:val="single" w:sz="4" w:space="0" w:color="808080" w:themeColor="background1" w:themeShade="80"/>
              <w:right w:val="nil"/>
            </w:tcBorders>
            <w:vAlign w:val="center"/>
            <w:hideMark/>
          </w:tcPr>
          <w:p w14:paraId="7521821F" w14:textId="77777777" w:rsidR="00077C83" w:rsidRPr="00962762" w:rsidRDefault="00077C83" w:rsidP="00962762">
            <w:pPr>
              <w:jc w:val="both"/>
              <w:rPr>
                <w:rFonts w:asciiTheme="majorHAnsi" w:hAnsiTheme="majorHAnsi" w:cstheme="majorHAnsi"/>
                <w:sz w:val="18"/>
                <w:szCs w:val="20"/>
              </w:rPr>
            </w:pPr>
            <w:r w:rsidRPr="00962762">
              <w:rPr>
                <w:rFonts w:asciiTheme="majorHAnsi" w:hAnsiTheme="majorHAnsi" w:cstheme="majorHAnsi"/>
                <w:sz w:val="18"/>
                <w:szCs w:val="20"/>
              </w:rPr>
              <w:t>Piski</w:t>
            </w:r>
          </w:p>
        </w:tc>
        <w:tc>
          <w:tcPr>
            <w:tcW w:w="987" w:type="dxa"/>
            <w:tcBorders>
              <w:top w:val="single" w:sz="4" w:space="0" w:color="808080" w:themeColor="background1" w:themeShade="80"/>
              <w:left w:val="nil"/>
              <w:bottom w:val="single" w:sz="4" w:space="0" w:color="808080" w:themeColor="background1" w:themeShade="80"/>
              <w:right w:val="nil"/>
            </w:tcBorders>
            <w:vAlign w:val="center"/>
            <w:hideMark/>
          </w:tcPr>
          <w:p w14:paraId="2189CCCF" w14:textId="77777777" w:rsidR="00077C83" w:rsidRPr="00962762" w:rsidRDefault="00077C83" w:rsidP="00962762">
            <w:pPr>
              <w:jc w:val="center"/>
              <w:rPr>
                <w:rFonts w:asciiTheme="majorHAnsi" w:hAnsiTheme="majorHAnsi" w:cstheme="majorHAnsi"/>
                <w:sz w:val="18"/>
                <w:szCs w:val="20"/>
              </w:rPr>
            </w:pPr>
            <w:r w:rsidRPr="00962762">
              <w:rPr>
                <w:rFonts w:asciiTheme="majorHAnsi" w:hAnsiTheme="majorHAnsi" w:cstheme="majorHAnsi"/>
                <w:sz w:val="18"/>
                <w:szCs w:val="20"/>
              </w:rPr>
              <w:t>4</w:t>
            </w:r>
          </w:p>
        </w:tc>
      </w:tr>
      <w:tr w:rsidR="00077C83" w:rsidRPr="00962762" w14:paraId="3E4B2A38" w14:textId="77777777" w:rsidTr="00962762">
        <w:trPr>
          <w:trHeight w:val="20"/>
        </w:trPr>
        <w:tc>
          <w:tcPr>
            <w:tcW w:w="2263" w:type="dxa"/>
            <w:vMerge/>
            <w:tcBorders>
              <w:top w:val="single" w:sz="4" w:space="0" w:color="FFFFFF" w:themeColor="background1"/>
              <w:left w:val="single" w:sz="4" w:space="0" w:color="FFFFFF" w:themeColor="background1"/>
              <w:bottom w:val="single" w:sz="4" w:space="0" w:color="FFFFFF" w:themeColor="background1"/>
              <w:right w:val="nil"/>
            </w:tcBorders>
            <w:shd w:val="clear" w:color="auto" w:fill="DEEAF6" w:themeFill="accent1" w:themeFillTint="33"/>
            <w:vAlign w:val="center"/>
            <w:hideMark/>
          </w:tcPr>
          <w:p w14:paraId="3F619D46" w14:textId="77777777" w:rsidR="00077C83" w:rsidRPr="00962762" w:rsidRDefault="00077C83" w:rsidP="00962762">
            <w:pPr>
              <w:rPr>
                <w:rFonts w:asciiTheme="majorHAnsi" w:hAnsiTheme="majorHAnsi" w:cstheme="majorHAnsi"/>
                <w:sz w:val="18"/>
                <w:szCs w:val="20"/>
              </w:rPr>
            </w:pPr>
          </w:p>
        </w:tc>
        <w:tc>
          <w:tcPr>
            <w:tcW w:w="4536" w:type="dxa"/>
            <w:vMerge/>
            <w:tcBorders>
              <w:top w:val="single" w:sz="4" w:space="0" w:color="808080" w:themeColor="background1" w:themeShade="80"/>
              <w:left w:val="nil"/>
              <w:bottom w:val="single" w:sz="4" w:space="0" w:color="808080" w:themeColor="background1" w:themeShade="80"/>
              <w:right w:val="nil"/>
            </w:tcBorders>
            <w:vAlign w:val="center"/>
            <w:hideMark/>
          </w:tcPr>
          <w:p w14:paraId="1EDB6238" w14:textId="77777777" w:rsidR="00077C83" w:rsidRPr="00962762" w:rsidRDefault="00077C83" w:rsidP="00962762">
            <w:pPr>
              <w:rPr>
                <w:rFonts w:asciiTheme="majorHAnsi" w:hAnsiTheme="majorHAnsi" w:cstheme="majorHAnsi"/>
                <w:sz w:val="18"/>
                <w:szCs w:val="20"/>
              </w:rPr>
            </w:pPr>
          </w:p>
        </w:tc>
        <w:tc>
          <w:tcPr>
            <w:tcW w:w="1276" w:type="dxa"/>
            <w:tcBorders>
              <w:top w:val="single" w:sz="4" w:space="0" w:color="808080" w:themeColor="background1" w:themeShade="80"/>
              <w:left w:val="nil"/>
              <w:bottom w:val="single" w:sz="4" w:space="0" w:color="808080" w:themeColor="background1" w:themeShade="80"/>
              <w:right w:val="nil"/>
            </w:tcBorders>
            <w:vAlign w:val="center"/>
            <w:hideMark/>
          </w:tcPr>
          <w:p w14:paraId="6153C560" w14:textId="77777777" w:rsidR="00077C83" w:rsidRPr="00962762" w:rsidRDefault="00077C83" w:rsidP="00962762">
            <w:pPr>
              <w:jc w:val="both"/>
              <w:rPr>
                <w:rFonts w:asciiTheme="majorHAnsi" w:hAnsiTheme="majorHAnsi" w:cstheme="majorHAnsi"/>
                <w:sz w:val="18"/>
                <w:szCs w:val="20"/>
              </w:rPr>
            </w:pPr>
            <w:r w:rsidRPr="00962762">
              <w:rPr>
                <w:rFonts w:asciiTheme="majorHAnsi" w:hAnsiTheme="majorHAnsi" w:cstheme="majorHAnsi"/>
                <w:sz w:val="18"/>
                <w:szCs w:val="20"/>
              </w:rPr>
              <w:t>Szczycieński</w:t>
            </w:r>
          </w:p>
        </w:tc>
        <w:tc>
          <w:tcPr>
            <w:tcW w:w="987" w:type="dxa"/>
            <w:tcBorders>
              <w:top w:val="single" w:sz="4" w:space="0" w:color="808080" w:themeColor="background1" w:themeShade="80"/>
              <w:left w:val="nil"/>
              <w:bottom w:val="single" w:sz="4" w:space="0" w:color="808080" w:themeColor="background1" w:themeShade="80"/>
              <w:right w:val="nil"/>
            </w:tcBorders>
            <w:vAlign w:val="center"/>
            <w:hideMark/>
          </w:tcPr>
          <w:p w14:paraId="65C7D534" w14:textId="77777777" w:rsidR="00077C83" w:rsidRPr="00962762" w:rsidRDefault="00077C83" w:rsidP="00962762">
            <w:pPr>
              <w:jc w:val="center"/>
              <w:rPr>
                <w:rFonts w:asciiTheme="majorHAnsi" w:hAnsiTheme="majorHAnsi" w:cstheme="majorHAnsi"/>
                <w:sz w:val="18"/>
                <w:szCs w:val="20"/>
              </w:rPr>
            </w:pPr>
            <w:r w:rsidRPr="00962762">
              <w:rPr>
                <w:rFonts w:asciiTheme="majorHAnsi" w:hAnsiTheme="majorHAnsi" w:cstheme="majorHAnsi"/>
                <w:sz w:val="18"/>
                <w:szCs w:val="20"/>
              </w:rPr>
              <w:t>3</w:t>
            </w:r>
          </w:p>
        </w:tc>
      </w:tr>
      <w:tr w:rsidR="00077C83" w:rsidRPr="00962762" w14:paraId="3BA8DEB6" w14:textId="77777777" w:rsidTr="00962762">
        <w:trPr>
          <w:trHeight w:val="20"/>
        </w:trPr>
        <w:tc>
          <w:tcPr>
            <w:tcW w:w="2263" w:type="dxa"/>
            <w:vMerge/>
            <w:tcBorders>
              <w:top w:val="single" w:sz="4" w:space="0" w:color="FFFFFF" w:themeColor="background1"/>
              <w:left w:val="single" w:sz="4" w:space="0" w:color="FFFFFF" w:themeColor="background1"/>
              <w:bottom w:val="single" w:sz="4" w:space="0" w:color="FFFFFF" w:themeColor="background1"/>
              <w:right w:val="nil"/>
            </w:tcBorders>
            <w:shd w:val="clear" w:color="auto" w:fill="DEEAF6" w:themeFill="accent1" w:themeFillTint="33"/>
            <w:vAlign w:val="center"/>
            <w:hideMark/>
          </w:tcPr>
          <w:p w14:paraId="649F899F" w14:textId="77777777" w:rsidR="00077C83" w:rsidRPr="00962762" w:rsidRDefault="00077C83" w:rsidP="00962762">
            <w:pPr>
              <w:rPr>
                <w:rFonts w:asciiTheme="majorHAnsi" w:hAnsiTheme="majorHAnsi" w:cstheme="majorHAnsi"/>
                <w:sz w:val="18"/>
                <w:szCs w:val="20"/>
              </w:rPr>
            </w:pPr>
          </w:p>
        </w:tc>
        <w:tc>
          <w:tcPr>
            <w:tcW w:w="4536" w:type="dxa"/>
            <w:vMerge w:val="restart"/>
            <w:tcBorders>
              <w:top w:val="single" w:sz="4" w:space="0" w:color="808080" w:themeColor="background1" w:themeShade="80"/>
              <w:left w:val="nil"/>
              <w:bottom w:val="single" w:sz="4" w:space="0" w:color="808080" w:themeColor="background1" w:themeShade="80"/>
              <w:right w:val="nil"/>
            </w:tcBorders>
            <w:vAlign w:val="center"/>
            <w:hideMark/>
          </w:tcPr>
          <w:p w14:paraId="576F8C73" w14:textId="77777777" w:rsidR="00077C83" w:rsidRPr="00962762" w:rsidRDefault="00077C83" w:rsidP="00962762">
            <w:pPr>
              <w:rPr>
                <w:rFonts w:asciiTheme="majorHAnsi" w:hAnsiTheme="majorHAnsi" w:cstheme="majorHAnsi"/>
                <w:sz w:val="18"/>
                <w:szCs w:val="20"/>
              </w:rPr>
            </w:pPr>
            <w:r w:rsidRPr="00962762">
              <w:rPr>
                <w:rFonts w:asciiTheme="majorHAnsi" w:hAnsiTheme="majorHAnsi" w:cstheme="majorHAnsi"/>
                <w:sz w:val="18"/>
                <w:szCs w:val="20"/>
              </w:rPr>
              <w:t xml:space="preserve">Pielęgniarki na 10 </w:t>
            </w:r>
            <w:proofErr w:type="spellStart"/>
            <w:r w:rsidRPr="00962762">
              <w:rPr>
                <w:rFonts w:asciiTheme="majorHAnsi" w:hAnsiTheme="majorHAnsi" w:cstheme="majorHAnsi"/>
                <w:sz w:val="18"/>
                <w:szCs w:val="20"/>
              </w:rPr>
              <w:t>tys</w:t>
            </w:r>
            <w:proofErr w:type="spellEnd"/>
            <w:r w:rsidRPr="00962762">
              <w:rPr>
                <w:rFonts w:asciiTheme="majorHAnsi" w:hAnsiTheme="majorHAnsi" w:cstheme="majorHAnsi"/>
                <w:sz w:val="18"/>
                <w:szCs w:val="20"/>
              </w:rPr>
              <w:t xml:space="preserve"> ludności</w:t>
            </w:r>
          </w:p>
        </w:tc>
        <w:tc>
          <w:tcPr>
            <w:tcW w:w="1276" w:type="dxa"/>
            <w:tcBorders>
              <w:top w:val="single" w:sz="4" w:space="0" w:color="808080" w:themeColor="background1" w:themeShade="80"/>
              <w:left w:val="nil"/>
              <w:bottom w:val="single" w:sz="4" w:space="0" w:color="808080" w:themeColor="background1" w:themeShade="80"/>
              <w:right w:val="nil"/>
            </w:tcBorders>
            <w:vAlign w:val="center"/>
            <w:hideMark/>
          </w:tcPr>
          <w:p w14:paraId="6D6C02FF" w14:textId="77777777" w:rsidR="00077C83" w:rsidRPr="00962762" w:rsidRDefault="00077C83" w:rsidP="00962762">
            <w:pPr>
              <w:jc w:val="both"/>
              <w:rPr>
                <w:rFonts w:asciiTheme="majorHAnsi" w:hAnsiTheme="majorHAnsi" w:cstheme="majorHAnsi"/>
                <w:sz w:val="18"/>
                <w:szCs w:val="20"/>
              </w:rPr>
            </w:pPr>
            <w:r w:rsidRPr="00962762">
              <w:rPr>
                <w:rFonts w:asciiTheme="majorHAnsi" w:hAnsiTheme="majorHAnsi" w:cstheme="majorHAnsi"/>
                <w:sz w:val="18"/>
                <w:szCs w:val="20"/>
              </w:rPr>
              <w:t>Działdowski</w:t>
            </w:r>
          </w:p>
        </w:tc>
        <w:tc>
          <w:tcPr>
            <w:tcW w:w="987" w:type="dxa"/>
            <w:tcBorders>
              <w:top w:val="single" w:sz="4" w:space="0" w:color="808080" w:themeColor="background1" w:themeShade="80"/>
              <w:left w:val="nil"/>
              <w:bottom w:val="single" w:sz="4" w:space="0" w:color="808080" w:themeColor="background1" w:themeShade="80"/>
              <w:right w:val="nil"/>
            </w:tcBorders>
            <w:vAlign w:val="center"/>
            <w:hideMark/>
          </w:tcPr>
          <w:p w14:paraId="63BBEE11" w14:textId="77777777" w:rsidR="00077C83" w:rsidRPr="00962762" w:rsidRDefault="00077C83" w:rsidP="00962762">
            <w:pPr>
              <w:jc w:val="center"/>
              <w:rPr>
                <w:rFonts w:asciiTheme="majorHAnsi" w:hAnsiTheme="majorHAnsi" w:cstheme="majorHAnsi"/>
                <w:sz w:val="18"/>
                <w:szCs w:val="20"/>
              </w:rPr>
            </w:pPr>
            <w:r w:rsidRPr="00962762">
              <w:rPr>
                <w:rFonts w:asciiTheme="majorHAnsi" w:hAnsiTheme="majorHAnsi" w:cstheme="majorHAnsi"/>
                <w:sz w:val="18"/>
                <w:szCs w:val="20"/>
              </w:rPr>
              <w:t>1</w:t>
            </w:r>
          </w:p>
        </w:tc>
      </w:tr>
      <w:tr w:rsidR="00077C83" w:rsidRPr="00962762" w14:paraId="575BFD57" w14:textId="77777777" w:rsidTr="00962762">
        <w:trPr>
          <w:trHeight w:val="20"/>
        </w:trPr>
        <w:tc>
          <w:tcPr>
            <w:tcW w:w="2263" w:type="dxa"/>
            <w:vMerge/>
            <w:tcBorders>
              <w:top w:val="single" w:sz="4" w:space="0" w:color="FFFFFF" w:themeColor="background1"/>
              <w:left w:val="single" w:sz="4" w:space="0" w:color="FFFFFF" w:themeColor="background1"/>
              <w:bottom w:val="single" w:sz="4" w:space="0" w:color="FFFFFF" w:themeColor="background1"/>
              <w:right w:val="nil"/>
            </w:tcBorders>
            <w:shd w:val="clear" w:color="auto" w:fill="DEEAF6" w:themeFill="accent1" w:themeFillTint="33"/>
            <w:vAlign w:val="center"/>
            <w:hideMark/>
          </w:tcPr>
          <w:p w14:paraId="5874D278" w14:textId="77777777" w:rsidR="00077C83" w:rsidRPr="00962762" w:rsidRDefault="00077C83" w:rsidP="00962762">
            <w:pPr>
              <w:rPr>
                <w:rFonts w:asciiTheme="majorHAnsi" w:hAnsiTheme="majorHAnsi" w:cstheme="majorHAnsi"/>
                <w:sz w:val="18"/>
                <w:szCs w:val="20"/>
              </w:rPr>
            </w:pPr>
          </w:p>
        </w:tc>
        <w:tc>
          <w:tcPr>
            <w:tcW w:w="4536" w:type="dxa"/>
            <w:vMerge/>
            <w:tcBorders>
              <w:top w:val="single" w:sz="4" w:space="0" w:color="808080" w:themeColor="background1" w:themeShade="80"/>
              <w:left w:val="nil"/>
              <w:bottom w:val="single" w:sz="4" w:space="0" w:color="808080" w:themeColor="background1" w:themeShade="80"/>
              <w:right w:val="nil"/>
            </w:tcBorders>
            <w:vAlign w:val="center"/>
            <w:hideMark/>
          </w:tcPr>
          <w:p w14:paraId="14BB2415" w14:textId="77777777" w:rsidR="00077C83" w:rsidRPr="00962762" w:rsidRDefault="00077C83" w:rsidP="00962762">
            <w:pPr>
              <w:rPr>
                <w:rFonts w:asciiTheme="majorHAnsi" w:hAnsiTheme="majorHAnsi" w:cstheme="majorHAnsi"/>
                <w:sz w:val="18"/>
                <w:szCs w:val="20"/>
              </w:rPr>
            </w:pPr>
          </w:p>
        </w:tc>
        <w:tc>
          <w:tcPr>
            <w:tcW w:w="1276" w:type="dxa"/>
            <w:tcBorders>
              <w:top w:val="single" w:sz="4" w:space="0" w:color="808080" w:themeColor="background1" w:themeShade="80"/>
              <w:left w:val="nil"/>
              <w:bottom w:val="single" w:sz="4" w:space="0" w:color="808080" w:themeColor="background1" w:themeShade="80"/>
              <w:right w:val="nil"/>
            </w:tcBorders>
            <w:vAlign w:val="center"/>
            <w:hideMark/>
          </w:tcPr>
          <w:p w14:paraId="6A63EEFA" w14:textId="77777777" w:rsidR="00077C83" w:rsidRPr="00962762" w:rsidRDefault="00077C83" w:rsidP="00962762">
            <w:pPr>
              <w:jc w:val="both"/>
              <w:rPr>
                <w:rFonts w:asciiTheme="majorHAnsi" w:hAnsiTheme="majorHAnsi" w:cstheme="majorHAnsi"/>
                <w:sz w:val="18"/>
                <w:szCs w:val="20"/>
              </w:rPr>
            </w:pPr>
            <w:r w:rsidRPr="00962762">
              <w:rPr>
                <w:rFonts w:asciiTheme="majorHAnsi" w:hAnsiTheme="majorHAnsi" w:cstheme="majorHAnsi"/>
                <w:sz w:val="18"/>
                <w:szCs w:val="20"/>
              </w:rPr>
              <w:t>Nidzicki</w:t>
            </w:r>
          </w:p>
        </w:tc>
        <w:tc>
          <w:tcPr>
            <w:tcW w:w="987" w:type="dxa"/>
            <w:tcBorders>
              <w:top w:val="single" w:sz="4" w:space="0" w:color="808080" w:themeColor="background1" w:themeShade="80"/>
              <w:left w:val="nil"/>
              <w:bottom w:val="single" w:sz="4" w:space="0" w:color="808080" w:themeColor="background1" w:themeShade="80"/>
              <w:right w:val="nil"/>
            </w:tcBorders>
            <w:vAlign w:val="center"/>
            <w:hideMark/>
          </w:tcPr>
          <w:p w14:paraId="16D3D340" w14:textId="77777777" w:rsidR="00077C83" w:rsidRPr="00962762" w:rsidRDefault="00077C83" w:rsidP="00962762">
            <w:pPr>
              <w:jc w:val="center"/>
              <w:rPr>
                <w:rFonts w:asciiTheme="majorHAnsi" w:hAnsiTheme="majorHAnsi" w:cstheme="majorHAnsi"/>
                <w:sz w:val="18"/>
                <w:szCs w:val="20"/>
              </w:rPr>
            </w:pPr>
            <w:r w:rsidRPr="00962762">
              <w:rPr>
                <w:rFonts w:asciiTheme="majorHAnsi" w:hAnsiTheme="majorHAnsi" w:cstheme="majorHAnsi"/>
                <w:sz w:val="18"/>
                <w:szCs w:val="20"/>
              </w:rPr>
              <w:t>4</w:t>
            </w:r>
          </w:p>
        </w:tc>
      </w:tr>
      <w:tr w:rsidR="00077C83" w:rsidRPr="00962762" w14:paraId="1F55D8B3" w14:textId="77777777" w:rsidTr="00962762">
        <w:trPr>
          <w:trHeight w:val="20"/>
        </w:trPr>
        <w:tc>
          <w:tcPr>
            <w:tcW w:w="2263" w:type="dxa"/>
            <w:vMerge/>
            <w:tcBorders>
              <w:top w:val="single" w:sz="4" w:space="0" w:color="FFFFFF" w:themeColor="background1"/>
              <w:left w:val="single" w:sz="4" w:space="0" w:color="FFFFFF" w:themeColor="background1"/>
              <w:bottom w:val="single" w:sz="4" w:space="0" w:color="FFFFFF" w:themeColor="background1"/>
              <w:right w:val="nil"/>
            </w:tcBorders>
            <w:shd w:val="clear" w:color="auto" w:fill="DEEAF6" w:themeFill="accent1" w:themeFillTint="33"/>
            <w:vAlign w:val="center"/>
            <w:hideMark/>
          </w:tcPr>
          <w:p w14:paraId="7F12CA31" w14:textId="77777777" w:rsidR="00077C83" w:rsidRPr="00962762" w:rsidRDefault="00077C83" w:rsidP="00962762">
            <w:pPr>
              <w:rPr>
                <w:rFonts w:asciiTheme="majorHAnsi" w:hAnsiTheme="majorHAnsi" w:cstheme="majorHAnsi"/>
                <w:sz w:val="18"/>
                <w:szCs w:val="20"/>
              </w:rPr>
            </w:pPr>
          </w:p>
        </w:tc>
        <w:tc>
          <w:tcPr>
            <w:tcW w:w="4536" w:type="dxa"/>
            <w:vMerge/>
            <w:tcBorders>
              <w:top w:val="single" w:sz="4" w:space="0" w:color="808080" w:themeColor="background1" w:themeShade="80"/>
              <w:left w:val="nil"/>
              <w:bottom w:val="single" w:sz="4" w:space="0" w:color="808080" w:themeColor="background1" w:themeShade="80"/>
              <w:right w:val="nil"/>
            </w:tcBorders>
            <w:vAlign w:val="center"/>
            <w:hideMark/>
          </w:tcPr>
          <w:p w14:paraId="0EE3C6F8" w14:textId="77777777" w:rsidR="00077C83" w:rsidRPr="00962762" w:rsidRDefault="00077C83" w:rsidP="00962762">
            <w:pPr>
              <w:rPr>
                <w:rFonts w:asciiTheme="majorHAnsi" w:hAnsiTheme="majorHAnsi" w:cstheme="majorHAnsi"/>
                <w:sz w:val="18"/>
                <w:szCs w:val="20"/>
              </w:rPr>
            </w:pPr>
          </w:p>
        </w:tc>
        <w:tc>
          <w:tcPr>
            <w:tcW w:w="1276" w:type="dxa"/>
            <w:tcBorders>
              <w:top w:val="single" w:sz="4" w:space="0" w:color="808080" w:themeColor="background1" w:themeShade="80"/>
              <w:left w:val="nil"/>
              <w:bottom w:val="single" w:sz="4" w:space="0" w:color="808080" w:themeColor="background1" w:themeShade="80"/>
              <w:right w:val="nil"/>
            </w:tcBorders>
            <w:vAlign w:val="center"/>
            <w:hideMark/>
          </w:tcPr>
          <w:p w14:paraId="5354D3A9" w14:textId="77777777" w:rsidR="00077C83" w:rsidRPr="00962762" w:rsidRDefault="00077C83" w:rsidP="00962762">
            <w:pPr>
              <w:jc w:val="both"/>
              <w:rPr>
                <w:rFonts w:asciiTheme="majorHAnsi" w:hAnsiTheme="majorHAnsi" w:cstheme="majorHAnsi"/>
                <w:sz w:val="18"/>
                <w:szCs w:val="20"/>
              </w:rPr>
            </w:pPr>
            <w:r w:rsidRPr="00962762">
              <w:rPr>
                <w:rFonts w:asciiTheme="majorHAnsi" w:hAnsiTheme="majorHAnsi" w:cstheme="majorHAnsi"/>
                <w:sz w:val="18"/>
                <w:szCs w:val="20"/>
              </w:rPr>
              <w:t>Piski</w:t>
            </w:r>
          </w:p>
        </w:tc>
        <w:tc>
          <w:tcPr>
            <w:tcW w:w="987" w:type="dxa"/>
            <w:tcBorders>
              <w:top w:val="single" w:sz="4" w:space="0" w:color="808080" w:themeColor="background1" w:themeShade="80"/>
              <w:left w:val="nil"/>
              <w:bottom w:val="single" w:sz="4" w:space="0" w:color="808080" w:themeColor="background1" w:themeShade="80"/>
              <w:right w:val="nil"/>
            </w:tcBorders>
            <w:vAlign w:val="center"/>
            <w:hideMark/>
          </w:tcPr>
          <w:p w14:paraId="7848E3BE" w14:textId="77777777" w:rsidR="00077C83" w:rsidRPr="00962762" w:rsidRDefault="00077C83" w:rsidP="00962762">
            <w:pPr>
              <w:jc w:val="center"/>
              <w:rPr>
                <w:rFonts w:asciiTheme="majorHAnsi" w:hAnsiTheme="majorHAnsi" w:cstheme="majorHAnsi"/>
                <w:sz w:val="18"/>
                <w:szCs w:val="20"/>
              </w:rPr>
            </w:pPr>
            <w:r w:rsidRPr="00962762">
              <w:rPr>
                <w:rFonts w:asciiTheme="majorHAnsi" w:hAnsiTheme="majorHAnsi" w:cstheme="majorHAnsi"/>
                <w:sz w:val="18"/>
                <w:szCs w:val="20"/>
              </w:rPr>
              <w:t>2</w:t>
            </w:r>
          </w:p>
        </w:tc>
      </w:tr>
      <w:tr w:rsidR="00077C83" w:rsidRPr="00962762" w14:paraId="36F79951" w14:textId="77777777" w:rsidTr="00962762">
        <w:trPr>
          <w:trHeight w:val="20"/>
        </w:trPr>
        <w:tc>
          <w:tcPr>
            <w:tcW w:w="2263" w:type="dxa"/>
            <w:vMerge/>
            <w:tcBorders>
              <w:top w:val="single" w:sz="4" w:space="0" w:color="FFFFFF" w:themeColor="background1"/>
              <w:left w:val="single" w:sz="4" w:space="0" w:color="FFFFFF" w:themeColor="background1"/>
              <w:bottom w:val="single" w:sz="4" w:space="0" w:color="FFFFFF" w:themeColor="background1"/>
              <w:right w:val="nil"/>
            </w:tcBorders>
            <w:shd w:val="clear" w:color="auto" w:fill="DEEAF6" w:themeFill="accent1" w:themeFillTint="33"/>
            <w:vAlign w:val="center"/>
            <w:hideMark/>
          </w:tcPr>
          <w:p w14:paraId="3B671B6D" w14:textId="77777777" w:rsidR="00077C83" w:rsidRPr="00962762" w:rsidRDefault="00077C83" w:rsidP="00962762">
            <w:pPr>
              <w:rPr>
                <w:rFonts w:asciiTheme="majorHAnsi" w:hAnsiTheme="majorHAnsi" w:cstheme="majorHAnsi"/>
                <w:sz w:val="18"/>
                <w:szCs w:val="20"/>
              </w:rPr>
            </w:pPr>
          </w:p>
        </w:tc>
        <w:tc>
          <w:tcPr>
            <w:tcW w:w="4536" w:type="dxa"/>
            <w:vMerge/>
            <w:tcBorders>
              <w:top w:val="single" w:sz="4" w:space="0" w:color="808080" w:themeColor="background1" w:themeShade="80"/>
              <w:left w:val="nil"/>
              <w:bottom w:val="single" w:sz="4" w:space="0" w:color="808080" w:themeColor="background1" w:themeShade="80"/>
              <w:right w:val="nil"/>
            </w:tcBorders>
            <w:vAlign w:val="center"/>
            <w:hideMark/>
          </w:tcPr>
          <w:p w14:paraId="7D93FA9D" w14:textId="77777777" w:rsidR="00077C83" w:rsidRPr="00962762" w:rsidRDefault="00077C83" w:rsidP="00962762">
            <w:pPr>
              <w:rPr>
                <w:rFonts w:asciiTheme="majorHAnsi" w:hAnsiTheme="majorHAnsi" w:cstheme="majorHAnsi"/>
                <w:sz w:val="18"/>
                <w:szCs w:val="20"/>
              </w:rPr>
            </w:pPr>
          </w:p>
        </w:tc>
        <w:tc>
          <w:tcPr>
            <w:tcW w:w="1276" w:type="dxa"/>
            <w:tcBorders>
              <w:top w:val="single" w:sz="4" w:space="0" w:color="808080" w:themeColor="background1" w:themeShade="80"/>
              <w:left w:val="nil"/>
              <w:bottom w:val="single" w:sz="4" w:space="0" w:color="808080" w:themeColor="background1" w:themeShade="80"/>
              <w:right w:val="nil"/>
            </w:tcBorders>
            <w:vAlign w:val="center"/>
            <w:hideMark/>
          </w:tcPr>
          <w:p w14:paraId="310246F5" w14:textId="77777777" w:rsidR="00077C83" w:rsidRPr="00962762" w:rsidRDefault="00077C83" w:rsidP="00962762">
            <w:pPr>
              <w:jc w:val="both"/>
              <w:rPr>
                <w:rFonts w:asciiTheme="majorHAnsi" w:hAnsiTheme="majorHAnsi" w:cstheme="majorHAnsi"/>
                <w:sz w:val="18"/>
                <w:szCs w:val="20"/>
              </w:rPr>
            </w:pPr>
            <w:r w:rsidRPr="00962762">
              <w:rPr>
                <w:rFonts w:asciiTheme="majorHAnsi" w:hAnsiTheme="majorHAnsi" w:cstheme="majorHAnsi"/>
                <w:sz w:val="18"/>
                <w:szCs w:val="20"/>
              </w:rPr>
              <w:t>Szczycieński</w:t>
            </w:r>
          </w:p>
        </w:tc>
        <w:tc>
          <w:tcPr>
            <w:tcW w:w="987" w:type="dxa"/>
            <w:tcBorders>
              <w:top w:val="single" w:sz="4" w:space="0" w:color="808080" w:themeColor="background1" w:themeShade="80"/>
              <w:left w:val="nil"/>
              <w:bottom w:val="single" w:sz="4" w:space="0" w:color="808080" w:themeColor="background1" w:themeShade="80"/>
              <w:right w:val="nil"/>
            </w:tcBorders>
            <w:vAlign w:val="center"/>
            <w:hideMark/>
          </w:tcPr>
          <w:p w14:paraId="3F68EA76" w14:textId="77777777" w:rsidR="00077C83" w:rsidRPr="00962762" w:rsidRDefault="00077C83" w:rsidP="00962762">
            <w:pPr>
              <w:jc w:val="center"/>
              <w:rPr>
                <w:rFonts w:asciiTheme="majorHAnsi" w:hAnsiTheme="majorHAnsi" w:cstheme="majorHAnsi"/>
                <w:sz w:val="18"/>
                <w:szCs w:val="20"/>
              </w:rPr>
            </w:pPr>
            <w:r w:rsidRPr="00962762">
              <w:rPr>
                <w:rFonts w:asciiTheme="majorHAnsi" w:hAnsiTheme="majorHAnsi" w:cstheme="majorHAnsi"/>
                <w:sz w:val="18"/>
                <w:szCs w:val="20"/>
              </w:rPr>
              <w:t>3</w:t>
            </w:r>
          </w:p>
        </w:tc>
      </w:tr>
      <w:tr w:rsidR="00077C83" w:rsidRPr="00962762" w14:paraId="6C4F4153" w14:textId="77777777" w:rsidTr="00962762">
        <w:trPr>
          <w:trHeight w:val="20"/>
        </w:trPr>
        <w:tc>
          <w:tcPr>
            <w:tcW w:w="2263" w:type="dxa"/>
            <w:vMerge/>
            <w:tcBorders>
              <w:top w:val="single" w:sz="4" w:space="0" w:color="FFFFFF" w:themeColor="background1"/>
              <w:left w:val="single" w:sz="4" w:space="0" w:color="FFFFFF" w:themeColor="background1"/>
              <w:bottom w:val="single" w:sz="4" w:space="0" w:color="FFFFFF" w:themeColor="background1"/>
              <w:right w:val="nil"/>
            </w:tcBorders>
            <w:shd w:val="clear" w:color="auto" w:fill="DEEAF6" w:themeFill="accent1" w:themeFillTint="33"/>
            <w:vAlign w:val="center"/>
            <w:hideMark/>
          </w:tcPr>
          <w:p w14:paraId="53C19A35" w14:textId="77777777" w:rsidR="00077C83" w:rsidRPr="00962762" w:rsidRDefault="00077C83" w:rsidP="00962762">
            <w:pPr>
              <w:rPr>
                <w:rFonts w:asciiTheme="majorHAnsi" w:hAnsiTheme="majorHAnsi" w:cstheme="majorHAnsi"/>
                <w:sz w:val="18"/>
                <w:szCs w:val="20"/>
              </w:rPr>
            </w:pPr>
          </w:p>
        </w:tc>
        <w:tc>
          <w:tcPr>
            <w:tcW w:w="4536" w:type="dxa"/>
            <w:vMerge w:val="restart"/>
            <w:tcBorders>
              <w:top w:val="single" w:sz="4" w:space="0" w:color="808080" w:themeColor="background1" w:themeShade="80"/>
              <w:left w:val="nil"/>
              <w:bottom w:val="single" w:sz="4" w:space="0" w:color="808080" w:themeColor="background1" w:themeShade="80"/>
              <w:right w:val="nil"/>
            </w:tcBorders>
            <w:vAlign w:val="center"/>
            <w:hideMark/>
          </w:tcPr>
          <w:p w14:paraId="4545BEAB" w14:textId="77777777" w:rsidR="00077C83" w:rsidRPr="00962762" w:rsidRDefault="00077C83" w:rsidP="00962762">
            <w:pPr>
              <w:rPr>
                <w:rFonts w:asciiTheme="majorHAnsi" w:hAnsiTheme="majorHAnsi" w:cstheme="majorHAnsi"/>
                <w:sz w:val="18"/>
                <w:szCs w:val="20"/>
              </w:rPr>
            </w:pPr>
            <w:r w:rsidRPr="00962762">
              <w:rPr>
                <w:rFonts w:asciiTheme="majorHAnsi" w:hAnsiTheme="majorHAnsi" w:cstheme="majorHAnsi"/>
                <w:sz w:val="18"/>
                <w:szCs w:val="20"/>
              </w:rPr>
              <w:t>Ludność na aptekę</w:t>
            </w:r>
          </w:p>
        </w:tc>
        <w:tc>
          <w:tcPr>
            <w:tcW w:w="1276" w:type="dxa"/>
            <w:tcBorders>
              <w:top w:val="single" w:sz="4" w:space="0" w:color="808080" w:themeColor="background1" w:themeShade="80"/>
              <w:left w:val="nil"/>
              <w:bottom w:val="single" w:sz="4" w:space="0" w:color="808080" w:themeColor="background1" w:themeShade="80"/>
              <w:right w:val="nil"/>
            </w:tcBorders>
            <w:vAlign w:val="center"/>
            <w:hideMark/>
          </w:tcPr>
          <w:p w14:paraId="1FB070AD" w14:textId="77777777" w:rsidR="00077C83" w:rsidRPr="00962762" w:rsidRDefault="00077C83" w:rsidP="00962762">
            <w:pPr>
              <w:jc w:val="both"/>
              <w:rPr>
                <w:rFonts w:asciiTheme="majorHAnsi" w:hAnsiTheme="majorHAnsi" w:cstheme="majorHAnsi"/>
                <w:sz w:val="18"/>
                <w:szCs w:val="20"/>
              </w:rPr>
            </w:pPr>
            <w:r w:rsidRPr="00962762">
              <w:rPr>
                <w:rFonts w:asciiTheme="majorHAnsi" w:hAnsiTheme="majorHAnsi" w:cstheme="majorHAnsi"/>
                <w:sz w:val="18"/>
                <w:szCs w:val="20"/>
              </w:rPr>
              <w:t>Działdowski</w:t>
            </w:r>
          </w:p>
        </w:tc>
        <w:tc>
          <w:tcPr>
            <w:tcW w:w="987" w:type="dxa"/>
            <w:tcBorders>
              <w:top w:val="single" w:sz="4" w:space="0" w:color="808080" w:themeColor="background1" w:themeShade="80"/>
              <w:left w:val="nil"/>
              <w:bottom w:val="single" w:sz="4" w:space="0" w:color="808080" w:themeColor="background1" w:themeShade="80"/>
              <w:right w:val="nil"/>
            </w:tcBorders>
            <w:vAlign w:val="center"/>
            <w:hideMark/>
          </w:tcPr>
          <w:p w14:paraId="4EDF6C6C" w14:textId="77777777" w:rsidR="00077C83" w:rsidRPr="00962762" w:rsidRDefault="00077C83" w:rsidP="00962762">
            <w:pPr>
              <w:jc w:val="center"/>
              <w:rPr>
                <w:rFonts w:asciiTheme="majorHAnsi" w:hAnsiTheme="majorHAnsi" w:cstheme="majorHAnsi"/>
                <w:sz w:val="18"/>
                <w:szCs w:val="20"/>
              </w:rPr>
            </w:pPr>
            <w:r w:rsidRPr="00962762">
              <w:rPr>
                <w:rFonts w:asciiTheme="majorHAnsi" w:hAnsiTheme="majorHAnsi" w:cstheme="majorHAnsi"/>
                <w:sz w:val="18"/>
                <w:szCs w:val="20"/>
              </w:rPr>
              <w:t>1</w:t>
            </w:r>
          </w:p>
        </w:tc>
      </w:tr>
      <w:tr w:rsidR="00077C83" w:rsidRPr="00962762" w14:paraId="7B69CA45" w14:textId="77777777" w:rsidTr="00962762">
        <w:trPr>
          <w:trHeight w:val="20"/>
        </w:trPr>
        <w:tc>
          <w:tcPr>
            <w:tcW w:w="2263" w:type="dxa"/>
            <w:vMerge/>
            <w:tcBorders>
              <w:top w:val="single" w:sz="4" w:space="0" w:color="FFFFFF" w:themeColor="background1"/>
              <w:left w:val="single" w:sz="4" w:space="0" w:color="FFFFFF" w:themeColor="background1"/>
              <w:bottom w:val="single" w:sz="4" w:space="0" w:color="FFFFFF" w:themeColor="background1"/>
              <w:right w:val="nil"/>
            </w:tcBorders>
            <w:shd w:val="clear" w:color="auto" w:fill="DEEAF6" w:themeFill="accent1" w:themeFillTint="33"/>
            <w:vAlign w:val="center"/>
            <w:hideMark/>
          </w:tcPr>
          <w:p w14:paraId="378A020B" w14:textId="77777777" w:rsidR="00077C83" w:rsidRPr="00962762" w:rsidRDefault="00077C83" w:rsidP="00962762">
            <w:pPr>
              <w:rPr>
                <w:rFonts w:asciiTheme="majorHAnsi" w:hAnsiTheme="majorHAnsi" w:cstheme="majorHAnsi"/>
                <w:sz w:val="18"/>
                <w:szCs w:val="20"/>
              </w:rPr>
            </w:pPr>
          </w:p>
        </w:tc>
        <w:tc>
          <w:tcPr>
            <w:tcW w:w="4536" w:type="dxa"/>
            <w:vMerge/>
            <w:tcBorders>
              <w:top w:val="single" w:sz="4" w:space="0" w:color="808080" w:themeColor="background1" w:themeShade="80"/>
              <w:left w:val="nil"/>
              <w:bottom w:val="single" w:sz="4" w:space="0" w:color="808080" w:themeColor="background1" w:themeShade="80"/>
              <w:right w:val="nil"/>
            </w:tcBorders>
            <w:vAlign w:val="center"/>
            <w:hideMark/>
          </w:tcPr>
          <w:p w14:paraId="447D2142" w14:textId="77777777" w:rsidR="00077C83" w:rsidRPr="00962762" w:rsidRDefault="00077C83" w:rsidP="00962762">
            <w:pPr>
              <w:rPr>
                <w:rFonts w:asciiTheme="majorHAnsi" w:hAnsiTheme="majorHAnsi" w:cstheme="majorHAnsi"/>
                <w:sz w:val="18"/>
                <w:szCs w:val="20"/>
              </w:rPr>
            </w:pPr>
          </w:p>
        </w:tc>
        <w:tc>
          <w:tcPr>
            <w:tcW w:w="1276" w:type="dxa"/>
            <w:tcBorders>
              <w:top w:val="single" w:sz="4" w:space="0" w:color="808080" w:themeColor="background1" w:themeShade="80"/>
              <w:left w:val="nil"/>
              <w:bottom w:val="single" w:sz="4" w:space="0" w:color="808080" w:themeColor="background1" w:themeShade="80"/>
              <w:right w:val="nil"/>
            </w:tcBorders>
            <w:vAlign w:val="center"/>
            <w:hideMark/>
          </w:tcPr>
          <w:p w14:paraId="0F71C2D6" w14:textId="77777777" w:rsidR="00077C83" w:rsidRPr="00962762" w:rsidRDefault="00077C83" w:rsidP="00962762">
            <w:pPr>
              <w:jc w:val="both"/>
              <w:rPr>
                <w:rFonts w:asciiTheme="majorHAnsi" w:hAnsiTheme="majorHAnsi" w:cstheme="majorHAnsi"/>
                <w:sz w:val="18"/>
                <w:szCs w:val="20"/>
              </w:rPr>
            </w:pPr>
            <w:r w:rsidRPr="00962762">
              <w:rPr>
                <w:rFonts w:asciiTheme="majorHAnsi" w:hAnsiTheme="majorHAnsi" w:cstheme="majorHAnsi"/>
                <w:sz w:val="18"/>
                <w:szCs w:val="20"/>
              </w:rPr>
              <w:t>Nidzicki</w:t>
            </w:r>
          </w:p>
        </w:tc>
        <w:tc>
          <w:tcPr>
            <w:tcW w:w="987" w:type="dxa"/>
            <w:tcBorders>
              <w:top w:val="single" w:sz="4" w:space="0" w:color="808080" w:themeColor="background1" w:themeShade="80"/>
              <w:left w:val="nil"/>
              <w:bottom w:val="single" w:sz="4" w:space="0" w:color="808080" w:themeColor="background1" w:themeShade="80"/>
              <w:right w:val="nil"/>
            </w:tcBorders>
            <w:vAlign w:val="center"/>
            <w:hideMark/>
          </w:tcPr>
          <w:p w14:paraId="1A4C47C3" w14:textId="77777777" w:rsidR="00077C83" w:rsidRPr="00962762" w:rsidRDefault="00077C83" w:rsidP="00962762">
            <w:pPr>
              <w:jc w:val="center"/>
              <w:rPr>
                <w:rFonts w:asciiTheme="majorHAnsi" w:hAnsiTheme="majorHAnsi" w:cstheme="majorHAnsi"/>
                <w:sz w:val="18"/>
                <w:szCs w:val="20"/>
              </w:rPr>
            </w:pPr>
            <w:r w:rsidRPr="00962762">
              <w:rPr>
                <w:rFonts w:asciiTheme="majorHAnsi" w:hAnsiTheme="majorHAnsi" w:cstheme="majorHAnsi"/>
                <w:sz w:val="18"/>
                <w:szCs w:val="20"/>
              </w:rPr>
              <w:t>3</w:t>
            </w:r>
          </w:p>
        </w:tc>
      </w:tr>
      <w:tr w:rsidR="00077C83" w:rsidRPr="00962762" w14:paraId="7B449699" w14:textId="77777777" w:rsidTr="00962762">
        <w:trPr>
          <w:trHeight w:val="20"/>
        </w:trPr>
        <w:tc>
          <w:tcPr>
            <w:tcW w:w="2263" w:type="dxa"/>
            <w:vMerge/>
            <w:tcBorders>
              <w:top w:val="single" w:sz="4" w:space="0" w:color="FFFFFF" w:themeColor="background1"/>
              <w:left w:val="single" w:sz="4" w:space="0" w:color="FFFFFF" w:themeColor="background1"/>
              <w:bottom w:val="single" w:sz="4" w:space="0" w:color="FFFFFF" w:themeColor="background1"/>
              <w:right w:val="nil"/>
            </w:tcBorders>
            <w:shd w:val="clear" w:color="auto" w:fill="DEEAF6" w:themeFill="accent1" w:themeFillTint="33"/>
            <w:vAlign w:val="center"/>
            <w:hideMark/>
          </w:tcPr>
          <w:p w14:paraId="2481AF61" w14:textId="77777777" w:rsidR="00077C83" w:rsidRPr="00962762" w:rsidRDefault="00077C83" w:rsidP="00962762">
            <w:pPr>
              <w:rPr>
                <w:rFonts w:asciiTheme="majorHAnsi" w:hAnsiTheme="majorHAnsi" w:cstheme="majorHAnsi"/>
                <w:sz w:val="18"/>
                <w:szCs w:val="20"/>
              </w:rPr>
            </w:pPr>
          </w:p>
        </w:tc>
        <w:tc>
          <w:tcPr>
            <w:tcW w:w="4536" w:type="dxa"/>
            <w:vMerge/>
            <w:tcBorders>
              <w:top w:val="single" w:sz="4" w:space="0" w:color="808080" w:themeColor="background1" w:themeShade="80"/>
              <w:left w:val="nil"/>
              <w:bottom w:val="single" w:sz="4" w:space="0" w:color="808080" w:themeColor="background1" w:themeShade="80"/>
              <w:right w:val="nil"/>
            </w:tcBorders>
            <w:vAlign w:val="center"/>
            <w:hideMark/>
          </w:tcPr>
          <w:p w14:paraId="1E31EEE3" w14:textId="77777777" w:rsidR="00077C83" w:rsidRPr="00962762" w:rsidRDefault="00077C83" w:rsidP="00962762">
            <w:pPr>
              <w:rPr>
                <w:rFonts w:asciiTheme="majorHAnsi" w:hAnsiTheme="majorHAnsi" w:cstheme="majorHAnsi"/>
                <w:sz w:val="18"/>
                <w:szCs w:val="20"/>
              </w:rPr>
            </w:pPr>
          </w:p>
        </w:tc>
        <w:tc>
          <w:tcPr>
            <w:tcW w:w="1276" w:type="dxa"/>
            <w:tcBorders>
              <w:top w:val="single" w:sz="4" w:space="0" w:color="808080" w:themeColor="background1" w:themeShade="80"/>
              <w:left w:val="nil"/>
              <w:bottom w:val="single" w:sz="4" w:space="0" w:color="808080" w:themeColor="background1" w:themeShade="80"/>
              <w:right w:val="nil"/>
            </w:tcBorders>
            <w:vAlign w:val="center"/>
            <w:hideMark/>
          </w:tcPr>
          <w:p w14:paraId="7CA63B59" w14:textId="77777777" w:rsidR="00077C83" w:rsidRPr="00962762" w:rsidRDefault="00077C83" w:rsidP="00962762">
            <w:pPr>
              <w:jc w:val="both"/>
              <w:rPr>
                <w:rFonts w:asciiTheme="majorHAnsi" w:hAnsiTheme="majorHAnsi" w:cstheme="majorHAnsi"/>
                <w:sz w:val="18"/>
                <w:szCs w:val="20"/>
              </w:rPr>
            </w:pPr>
            <w:r w:rsidRPr="00962762">
              <w:rPr>
                <w:rFonts w:asciiTheme="majorHAnsi" w:hAnsiTheme="majorHAnsi" w:cstheme="majorHAnsi"/>
                <w:sz w:val="18"/>
                <w:szCs w:val="20"/>
              </w:rPr>
              <w:t>Piski</w:t>
            </w:r>
          </w:p>
        </w:tc>
        <w:tc>
          <w:tcPr>
            <w:tcW w:w="987" w:type="dxa"/>
            <w:tcBorders>
              <w:top w:val="single" w:sz="4" w:space="0" w:color="808080" w:themeColor="background1" w:themeShade="80"/>
              <w:left w:val="nil"/>
              <w:bottom w:val="single" w:sz="4" w:space="0" w:color="808080" w:themeColor="background1" w:themeShade="80"/>
              <w:right w:val="nil"/>
            </w:tcBorders>
            <w:vAlign w:val="center"/>
            <w:hideMark/>
          </w:tcPr>
          <w:p w14:paraId="103FD114" w14:textId="77777777" w:rsidR="00077C83" w:rsidRPr="00962762" w:rsidRDefault="00077C83" w:rsidP="00962762">
            <w:pPr>
              <w:jc w:val="center"/>
              <w:rPr>
                <w:rFonts w:asciiTheme="majorHAnsi" w:hAnsiTheme="majorHAnsi" w:cstheme="majorHAnsi"/>
                <w:sz w:val="18"/>
                <w:szCs w:val="20"/>
              </w:rPr>
            </w:pPr>
            <w:r w:rsidRPr="00962762">
              <w:rPr>
                <w:rFonts w:asciiTheme="majorHAnsi" w:hAnsiTheme="majorHAnsi" w:cstheme="majorHAnsi"/>
                <w:sz w:val="18"/>
                <w:szCs w:val="20"/>
              </w:rPr>
              <w:t>4</w:t>
            </w:r>
          </w:p>
        </w:tc>
      </w:tr>
      <w:tr w:rsidR="00077C83" w:rsidRPr="00962762" w14:paraId="319B7D52" w14:textId="77777777" w:rsidTr="00962762">
        <w:trPr>
          <w:trHeight w:val="20"/>
        </w:trPr>
        <w:tc>
          <w:tcPr>
            <w:tcW w:w="2263" w:type="dxa"/>
            <w:vMerge/>
            <w:tcBorders>
              <w:top w:val="single" w:sz="4" w:space="0" w:color="FFFFFF" w:themeColor="background1"/>
              <w:left w:val="single" w:sz="4" w:space="0" w:color="FFFFFF" w:themeColor="background1"/>
              <w:bottom w:val="single" w:sz="4" w:space="0" w:color="FFFFFF" w:themeColor="background1"/>
              <w:right w:val="nil"/>
            </w:tcBorders>
            <w:shd w:val="clear" w:color="auto" w:fill="DEEAF6" w:themeFill="accent1" w:themeFillTint="33"/>
            <w:vAlign w:val="center"/>
            <w:hideMark/>
          </w:tcPr>
          <w:p w14:paraId="11525D7A" w14:textId="77777777" w:rsidR="00077C83" w:rsidRPr="00962762" w:rsidRDefault="00077C83" w:rsidP="00962762">
            <w:pPr>
              <w:rPr>
                <w:rFonts w:asciiTheme="majorHAnsi" w:hAnsiTheme="majorHAnsi" w:cstheme="majorHAnsi"/>
                <w:sz w:val="18"/>
                <w:szCs w:val="20"/>
              </w:rPr>
            </w:pPr>
          </w:p>
        </w:tc>
        <w:tc>
          <w:tcPr>
            <w:tcW w:w="4536" w:type="dxa"/>
            <w:vMerge/>
            <w:tcBorders>
              <w:top w:val="single" w:sz="4" w:space="0" w:color="808080" w:themeColor="background1" w:themeShade="80"/>
              <w:left w:val="nil"/>
              <w:bottom w:val="single" w:sz="4" w:space="0" w:color="808080" w:themeColor="background1" w:themeShade="80"/>
              <w:right w:val="nil"/>
            </w:tcBorders>
            <w:vAlign w:val="center"/>
            <w:hideMark/>
          </w:tcPr>
          <w:p w14:paraId="1FD8C865" w14:textId="77777777" w:rsidR="00077C83" w:rsidRPr="00962762" w:rsidRDefault="00077C83" w:rsidP="00962762">
            <w:pPr>
              <w:rPr>
                <w:rFonts w:asciiTheme="majorHAnsi" w:hAnsiTheme="majorHAnsi" w:cstheme="majorHAnsi"/>
                <w:sz w:val="18"/>
                <w:szCs w:val="20"/>
              </w:rPr>
            </w:pPr>
          </w:p>
        </w:tc>
        <w:tc>
          <w:tcPr>
            <w:tcW w:w="1276" w:type="dxa"/>
            <w:tcBorders>
              <w:top w:val="single" w:sz="4" w:space="0" w:color="808080" w:themeColor="background1" w:themeShade="80"/>
              <w:left w:val="nil"/>
              <w:bottom w:val="single" w:sz="4" w:space="0" w:color="808080" w:themeColor="background1" w:themeShade="80"/>
              <w:right w:val="nil"/>
            </w:tcBorders>
            <w:vAlign w:val="center"/>
            <w:hideMark/>
          </w:tcPr>
          <w:p w14:paraId="5A8C9193" w14:textId="77777777" w:rsidR="00077C83" w:rsidRPr="00962762" w:rsidRDefault="00077C83" w:rsidP="00962762">
            <w:pPr>
              <w:jc w:val="both"/>
              <w:rPr>
                <w:rFonts w:asciiTheme="majorHAnsi" w:hAnsiTheme="majorHAnsi" w:cstheme="majorHAnsi"/>
                <w:sz w:val="18"/>
                <w:szCs w:val="20"/>
              </w:rPr>
            </w:pPr>
            <w:r w:rsidRPr="00962762">
              <w:rPr>
                <w:rFonts w:asciiTheme="majorHAnsi" w:hAnsiTheme="majorHAnsi" w:cstheme="majorHAnsi"/>
                <w:sz w:val="18"/>
                <w:szCs w:val="20"/>
              </w:rPr>
              <w:t>Szczycieński</w:t>
            </w:r>
          </w:p>
        </w:tc>
        <w:tc>
          <w:tcPr>
            <w:tcW w:w="987" w:type="dxa"/>
            <w:tcBorders>
              <w:top w:val="single" w:sz="4" w:space="0" w:color="808080" w:themeColor="background1" w:themeShade="80"/>
              <w:left w:val="nil"/>
              <w:bottom w:val="single" w:sz="4" w:space="0" w:color="808080" w:themeColor="background1" w:themeShade="80"/>
              <w:right w:val="nil"/>
            </w:tcBorders>
            <w:vAlign w:val="center"/>
            <w:hideMark/>
          </w:tcPr>
          <w:p w14:paraId="5DB987CC" w14:textId="77777777" w:rsidR="00077C83" w:rsidRPr="00962762" w:rsidRDefault="00077C83" w:rsidP="00962762">
            <w:pPr>
              <w:jc w:val="center"/>
              <w:rPr>
                <w:rFonts w:asciiTheme="majorHAnsi" w:hAnsiTheme="majorHAnsi" w:cstheme="majorHAnsi"/>
                <w:sz w:val="18"/>
                <w:szCs w:val="20"/>
              </w:rPr>
            </w:pPr>
            <w:r w:rsidRPr="00962762">
              <w:rPr>
                <w:rFonts w:asciiTheme="majorHAnsi" w:hAnsiTheme="majorHAnsi" w:cstheme="majorHAnsi"/>
                <w:sz w:val="18"/>
                <w:szCs w:val="20"/>
              </w:rPr>
              <w:t>2</w:t>
            </w:r>
          </w:p>
        </w:tc>
      </w:tr>
      <w:tr w:rsidR="00077C83" w:rsidRPr="00962762" w14:paraId="0BC1BF05" w14:textId="77777777" w:rsidTr="00962762">
        <w:trPr>
          <w:trHeight w:val="20"/>
        </w:trPr>
        <w:tc>
          <w:tcPr>
            <w:tcW w:w="2263" w:type="dxa"/>
            <w:vMerge/>
            <w:tcBorders>
              <w:top w:val="single" w:sz="4" w:space="0" w:color="FFFFFF" w:themeColor="background1"/>
              <w:left w:val="single" w:sz="4" w:space="0" w:color="FFFFFF" w:themeColor="background1"/>
              <w:bottom w:val="single" w:sz="4" w:space="0" w:color="FFFFFF" w:themeColor="background1"/>
              <w:right w:val="nil"/>
            </w:tcBorders>
            <w:shd w:val="clear" w:color="auto" w:fill="DEEAF6" w:themeFill="accent1" w:themeFillTint="33"/>
            <w:vAlign w:val="center"/>
            <w:hideMark/>
          </w:tcPr>
          <w:p w14:paraId="35236EF5" w14:textId="77777777" w:rsidR="00077C83" w:rsidRPr="00962762" w:rsidRDefault="00077C83" w:rsidP="00962762">
            <w:pPr>
              <w:rPr>
                <w:rFonts w:asciiTheme="majorHAnsi" w:hAnsiTheme="majorHAnsi" w:cstheme="majorHAnsi"/>
                <w:sz w:val="18"/>
                <w:szCs w:val="20"/>
              </w:rPr>
            </w:pPr>
          </w:p>
        </w:tc>
        <w:tc>
          <w:tcPr>
            <w:tcW w:w="4536" w:type="dxa"/>
            <w:vMerge w:val="restart"/>
            <w:tcBorders>
              <w:top w:val="single" w:sz="4" w:space="0" w:color="808080" w:themeColor="background1" w:themeShade="80"/>
              <w:left w:val="nil"/>
              <w:bottom w:val="single" w:sz="4" w:space="0" w:color="808080" w:themeColor="background1" w:themeShade="80"/>
              <w:right w:val="nil"/>
            </w:tcBorders>
            <w:vAlign w:val="center"/>
            <w:hideMark/>
          </w:tcPr>
          <w:p w14:paraId="2B648160" w14:textId="77777777" w:rsidR="00077C83" w:rsidRPr="00962762" w:rsidRDefault="00077C83" w:rsidP="00962762">
            <w:pPr>
              <w:rPr>
                <w:rFonts w:asciiTheme="majorHAnsi" w:hAnsiTheme="majorHAnsi" w:cstheme="majorHAnsi"/>
                <w:sz w:val="18"/>
                <w:szCs w:val="20"/>
              </w:rPr>
            </w:pPr>
            <w:r w:rsidRPr="00962762">
              <w:rPr>
                <w:rFonts w:asciiTheme="majorHAnsi" w:hAnsiTheme="majorHAnsi" w:cstheme="majorHAnsi"/>
                <w:sz w:val="18"/>
                <w:szCs w:val="20"/>
              </w:rPr>
              <w:t>Ludność na łóżko szpitalne</w:t>
            </w:r>
          </w:p>
        </w:tc>
        <w:tc>
          <w:tcPr>
            <w:tcW w:w="1276" w:type="dxa"/>
            <w:tcBorders>
              <w:top w:val="single" w:sz="4" w:space="0" w:color="808080" w:themeColor="background1" w:themeShade="80"/>
              <w:left w:val="nil"/>
              <w:bottom w:val="single" w:sz="4" w:space="0" w:color="808080" w:themeColor="background1" w:themeShade="80"/>
              <w:right w:val="nil"/>
            </w:tcBorders>
            <w:vAlign w:val="center"/>
            <w:hideMark/>
          </w:tcPr>
          <w:p w14:paraId="49C40795" w14:textId="77777777" w:rsidR="00077C83" w:rsidRPr="00962762" w:rsidRDefault="00077C83" w:rsidP="00962762">
            <w:pPr>
              <w:jc w:val="both"/>
              <w:rPr>
                <w:rFonts w:asciiTheme="majorHAnsi" w:hAnsiTheme="majorHAnsi" w:cstheme="majorHAnsi"/>
                <w:sz w:val="18"/>
                <w:szCs w:val="20"/>
              </w:rPr>
            </w:pPr>
            <w:r w:rsidRPr="00962762">
              <w:rPr>
                <w:rFonts w:asciiTheme="majorHAnsi" w:hAnsiTheme="majorHAnsi" w:cstheme="majorHAnsi"/>
                <w:sz w:val="18"/>
                <w:szCs w:val="20"/>
              </w:rPr>
              <w:t>Działdowski</w:t>
            </w:r>
          </w:p>
        </w:tc>
        <w:tc>
          <w:tcPr>
            <w:tcW w:w="987" w:type="dxa"/>
            <w:tcBorders>
              <w:top w:val="single" w:sz="4" w:space="0" w:color="808080" w:themeColor="background1" w:themeShade="80"/>
              <w:left w:val="nil"/>
              <w:bottom w:val="single" w:sz="4" w:space="0" w:color="808080" w:themeColor="background1" w:themeShade="80"/>
              <w:right w:val="nil"/>
            </w:tcBorders>
            <w:vAlign w:val="center"/>
            <w:hideMark/>
          </w:tcPr>
          <w:p w14:paraId="0063B274" w14:textId="77777777" w:rsidR="00077C83" w:rsidRPr="00962762" w:rsidRDefault="00077C83" w:rsidP="00962762">
            <w:pPr>
              <w:jc w:val="center"/>
              <w:rPr>
                <w:rFonts w:asciiTheme="majorHAnsi" w:hAnsiTheme="majorHAnsi" w:cstheme="majorHAnsi"/>
                <w:sz w:val="18"/>
                <w:szCs w:val="20"/>
              </w:rPr>
            </w:pPr>
            <w:r w:rsidRPr="00962762">
              <w:rPr>
                <w:rFonts w:asciiTheme="majorHAnsi" w:hAnsiTheme="majorHAnsi" w:cstheme="majorHAnsi"/>
                <w:sz w:val="18"/>
                <w:szCs w:val="20"/>
              </w:rPr>
              <w:t>1</w:t>
            </w:r>
          </w:p>
        </w:tc>
      </w:tr>
      <w:tr w:rsidR="00077C83" w:rsidRPr="00962762" w14:paraId="5741251A" w14:textId="77777777" w:rsidTr="00962762">
        <w:trPr>
          <w:trHeight w:val="20"/>
        </w:trPr>
        <w:tc>
          <w:tcPr>
            <w:tcW w:w="2263" w:type="dxa"/>
            <w:vMerge/>
            <w:tcBorders>
              <w:top w:val="single" w:sz="4" w:space="0" w:color="FFFFFF" w:themeColor="background1"/>
              <w:left w:val="single" w:sz="4" w:space="0" w:color="FFFFFF" w:themeColor="background1"/>
              <w:bottom w:val="single" w:sz="4" w:space="0" w:color="FFFFFF" w:themeColor="background1"/>
              <w:right w:val="nil"/>
            </w:tcBorders>
            <w:shd w:val="clear" w:color="auto" w:fill="DEEAF6" w:themeFill="accent1" w:themeFillTint="33"/>
            <w:vAlign w:val="center"/>
            <w:hideMark/>
          </w:tcPr>
          <w:p w14:paraId="22C9E31C" w14:textId="77777777" w:rsidR="00077C83" w:rsidRPr="00962762" w:rsidRDefault="00077C83" w:rsidP="00962762">
            <w:pPr>
              <w:rPr>
                <w:rFonts w:asciiTheme="majorHAnsi" w:hAnsiTheme="majorHAnsi" w:cstheme="majorHAnsi"/>
                <w:sz w:val="18"/>
                <w:szCs w:val="20"/>
              </w:rPr>
            </w:pPr>
          </w:p>
        </w:tc>
        <w:tc>
          <w:tcPr>
            <w:tcW w:w="4536" w:type="dxa"/>
            <w:vMerge/>
            <w:tcBorders>
              <w:top w:val="single" w:sz="4" w:space="0" w:color="808080" w:themeColor="background1" w:themeShade="80"/>
              <w:left w:val="nil"/>
              <w:bottom w:val="single" w:sz="4" w:space="0" w:color="808080" w:themeColor="background1" w:themeShade="80"/>
              <w:right w:val="nil"/>
            </w:tcBorders>
            <w:vAlign w:val="center"/>
            <w:hideMark/>
          </w:tcPr>
          <w:p w14:paraId="361A652E" w14:textId="77777777" w:rsidR="00077C83" w:rsidRPr="00962762" w:rsidRDefault="00077C83" w:rsidP="00962762">
            <w:pPr>
              <w:rPr>
                <w:rFonts w:asciiTheme="majorHAnsi" w:hAnsiTheme="majorHAnsi" w:cstheme="majorHAnsi"/>
                <w:sz w:val="18"/>
                <w:szCs w:val="20"/>
              </w:rPr>
            </w:pPr>
          </w:p>
        </w:tc>
        <w:tc>
          <w:tcPr>
            <w:tcW w:w="1276" w:type="dxa"/>
            <w:tcBorders>
              <w:top w:val="single" w:sz="4" w:space="0" w:color="808080" w:themeColor="background1" w:themeShade="80"/>
              <w:left w:val="nil"/>
              <w:bottom w:val="single" w:sz="4" w:space="0" w:color="808080" w:themeColor="background1" w:themeShade="80"/>
              <w:right w:val="nil"/>
            </w:tcBorders>
            <w:vAlign w:val="center"/>
            <w:hideMark/>
          </w:tcPr>
          <w:p w14:paraId="2DA87343" w14:textId="77777777" w:rsidR="00077C83" w:rsidRPr="00962762" w:rsidRDefault="00077C83" w:rsidP="00962762">
            <w:pPr>
              <w:jc w:val="both"/>
              <w:rPr>
                <w:rFonts w:asciiTheme="majorHAnsi" w:hAnsiTheme="majorHAnsi" w:cstheme="majorHAnsi"/>
                <w:sz w:val="18"/>
                <w:szCs w:val="20"/>
              </w:rPr>
            </w:pPr>
            <w:r w:rsidRPr="00962762">
              <w:rPr>
                <w:rFonts w:asciiTheme="majorHAnsi" w:hAnsiTheme="majorHAnsi" w:cstheme="majorHAnsi"/>
                <w:sz w:val="18"/>
                <w:szCs w:val="20"/>
              </w:rPr>
              <w:t>Nidzicki</w:t>
            </w:r>
          </w:p>
        </w:tc>
        <w:tc>
          <w:tcPr>
            <w:tcW w:w="987" w:type="dxa"/>
            <w:tcBorders>
              <w:top w:val="single" w:sz="4" w:space="0" w:color="808080" w:themeColor="background1" w:themeShade="80"/>
              <w:left w:val="nil"/>
              <w:bottom w:val="single" w:sz="4" w:space="0" w:color="808080" w:themeColor="background1" w:themeShade="80"/>
              <w:right w:val="nil"/>
            </w:tcBorders>
            <w:vAlign w:val="center"/>
            <w:hideMark/>
          </w:tcPr>
          <w:p w14:paraId="325A8F88" w14:textId="77777777" w:rsidR="00077C83" w:rsidRPr="00962762" w:rsidRDefault="00077C83" w:rsidP="00962762">
            <w:pPr>
              <w:jc w:val="center"/>
              <w:rPr>
                <w:rFonts w:asciiTheme="majorHAnsi" w:hAnsiTheme="majorHAnsi" w:cstheme="majorHAnsi"/>
                <w:sz w:val="18"/>
                <w:szCs w:val="20"/>
              </w:rPr>
            </w:pPr>
            <w:r w:rsidRPr="00962762">
              <w:rPr>
                <w:rFonts w:asciiTheme="majorHAnsi" w:hAnsiTheme="majorHAnsi" w:cstheme="majorHAnsi"/>
                <w:sz w:val="18"/>
                <w:szCs w:val="20"/>
              </w:rPr>
              <w:t>3</w:t>
            </w:r>
          </w:p>
        </w:tc>
      </w:tr>
      <w:tr w:rsidR="00077C83" w:rsidRPr="00962762" w14:paraId="5E0690C8" w14:textId="77777777" w:rsidTr="00962762">
        <w:trPr>
          <w:trHeight w:val="20"/>
        </w:trPr>
        <w:tc>
          <w:tcPr>
            <w:tcW w:w="2263" w:type="dxa"/>
            <w:vMerge/>
            <w:tcBorders>
              <w:top w:val="single" w:sz="4" w:space="0" w:color="FFFFFF" w:themeColor="background1"/>
              <w:left w:val="single" w:sz="4" w:space="0" w:color="FFFFFF" w:themeColor="background1"/>
              <w:bottom w:val="single" w:sz="4" w:space="0" w:color="FFFFFF" w:themeColor="background1"/>
              <w:right w:val="nil"/>
            </w:tcBorders>
            <w:shd w:val="clear" w:color="auto" w:fill="DEEAF6" w:themeFill="accent1" w:themeFillTint="33"/>
            <w:vAlign w:val="center"/>
            <w:hideMark/>
          </w:tcPr>
          <w:p w14:paraId="79394855" w14:textId="77777777" w:rsidR="00077C83" w:rsidRPr="00962762" w:rsidRDefault="00077C83" w:rsidP="00962762">
            <w:pPr>
              <w:rPr>
                <w:rFonts w:asciiTheme="majorHAnsi" w:hAnsiTheme="majorHAnsi" w:cstheme="majorHAnsi"/>
                <w:sz w:val="18"/>
                <w:szCs w:val="20"/>
              </w:rPr>
            </w:pPr>
          </w:p>
        </w:tc>
        <w:tc>
          <w:tcPr>
            <w:tcW w:w="4536" w:type="dxa"/>
            <w:vMerge/>
            <w:tcBorders>
              <w:top w:val="single" w:sz="4" w:space="0" w:color="808080" w:themeColor="background1" w:themeShade="80"/>
              <w:left w:val="nil"/>
              <w:bottom w:val="single" w:sz="4" w:space="0" w:color="808080" w:themeColor="background1" w:themeShade="80"/>
              <w:right w:val="nil"/>
            </w:tcBorders>
            <w:vAlign w:val="center"/>
            <w:hideMark/>
          </w:tcPr>
          <w:p w14:paraId="2598E8AE" w14:textId="77777777" w:rsidR="00077C83" w:rsidRPr="00962762" w:rsidRDefault="00077C83" w:rsidP="00962762">
            <w:pPr>
              <w:rPr>
                <w:rFonts w:asciiTheme="majorHAnsi" w:hAnsiTheme="majorHAnsi" w:cstheme="majorHAnsi"/>
                <w:sz w:val="18"/>
                <w:szCs w:val="20"/>
              </w:rPr>
            </w:pPr>
          </w:p>
        </w:tc>
        <w:tc>
          <w:tcPr>
            <w:tcW w:w="1276" w:type="dxa"/>
            <w:tcBorders>
              <w:top w:val="single" w:sz="4" w:space="0" w:color="808080" w:themeColor="background1" w:themeShade="80"/>
              <w:left w:val="nil"/>
              <w:bottom w:val="single" w:sz="4" w:space="0" w:color="808080" w:themeColor="background1" w:themeShade="80"/>
              <w:right w:val="nil"/>
            </w:tcBorders>
            <w:vAlign w:val="center"/>
            <w:hideMark/>
          </w:tcPr>
          <w:p w14:paraId="7623222A" w14:textId="77777777" w:rsidR="00077C83" w:rsidRPr="00962762" w:rsidRDefault="00077C83" w:rsidP="00962762">
            <w:pPr>
              <w:jc w:val="both"/>
              <w:rPr>
                <w:rFonts w:asciiTheme="majorHAnsi" w:hAnsiTheme="majorHAnsi" w:cstheme="majorHAnsi"/>
                <w:sz w:val="18"/>
                <w:szCs w:val="20"/>
              </w:rPr>
            </w:pPr>
            <w:r w:rsidRPr="00962762">
              <w:rPr>
                <w:rFonts w:asciiTheme="majorHAnsi" w:hAnsiTheme="majorHAnsi" w:cstheme="majorHAnsi"/>
                <w:sz w:val="18"/>
                <w:szCs w:val="20"/>
              </w:rPr>
              <w:t>Piski</w:t>
            </w:r>
          </w:p>
        </w:tc>
        <w:tc>
          <w:tcPr>
            <w:tcW w:w="987" w:type="dxa"/>
            <w:tcBorders>
              <w:top w:val="single" w:sz="4" w:space="0" w:color="808080" w:themeColor="background1" w:themeShade="80"/>
              <w:left w:val="nil"/>
              <w:bottom w:val="single" w:sz="4" w:space="0" w:color="808080" w:themeColor="background1" w:themeShade="80"/>
              <w:right w:val="nil"/>
            </w:tcBorders>
            <w:vAlign w:val="center"/>
            <w:hideMark/>
          </w:tcPr>
          <w:p w14:paraId="3CE2A5FC" w14:textId="77777777" w:rsidR="00077C83" w:rsidRPr="00962762" w:rsidRDefault="00077C83" w:rsidP="00962762">
            <w:pPr>
              <w:jc w:val="center"/>
              <w:rPr>
                <w:rFonts w:asciiTheme="majorHAnsi" w:hAnsiTheme="majorHAnsi" w:cstheme="majorHAnsi"/>
                <w:sz w:val="18"/>
                <w:szCs w:val="20"/>
              </w:rPr>
            </w:pPr>
            <w:r w:rsidRPr="00962762">
              <w:rPr>
                <w:rFonts w:asciiTheme="majorHAnsi" w:hAnsiTheme="majorHAnsi" w:cstheme="majorHAnsi"/>
                <w:sz w:val="18"/>
                <w:szCs w:val="20"/>
              </w:rPr>
              <w:t>2</w:t>
            </w:r>
          </w:p>
        </w:tc>
      </w:tr>
      <w:tr w:rsidR="00077C83" w:rsidRPr="00962762" w14:paraId="3110D7AA" w14:textId="77777777" w:rsidTr="00962762">
        <w:trPr>
          <w:trHeight w:val="20"/>
        </w:trPr>
        <w:tc>
          <w:tcPr>
            <w:tcW w:w="2263" w:type="dxa"/>
            <w:vMerge/>
            <w:tcBorders>
              <w:top w:val="single" w:sz="4" w:space="0" w:color="FFFFFF" w:themeColor="background1"/>
              <w:left w:val="single" w:sz="4" w:space="0" w:color="FFFFFF" w:themeColor="background1"/>
              <w:bottom w:val="single" w:sz="4" w:space="0" w:color="FFFFFF" w:themeColor="background1"/>
              <w:right w:val="nil"/>
            </w:tcBorders>
            <w:shd w:val="clear" w:color="auto" w:fill="DEEAF6" w:themeFill="accent1" w:themeFillTint="33"/>
            <w:vAlign w:val="center"/>
            <w:hideMark/>
          </w:tcPr>
          <w:p w14:paraId="3CED3980" w14:textId="77777777" w:rsidR="00077C83" w:rsidRPr="00962762" w:rsidRDefault="00077C83" w:rsidP="00962762">
            <w:pPr>
              <w:rPr>
                <w:rFonts w:asciiTheme="majorHAnsi" w:hAnsiTheme="majorHAnsi" w:cstheme="majorHAnsi"/>
                <w:sz w:val="18"/>
                <w:szCs w:val="20"/>
              </w:rPr>
            </w:pPr>
          </w:p>
        </w:tc>
        <w:tc>
          <w:tcPr>
            <w:tcW w:w="4536" w:type="dxa"/>
            <w:vMerge/>
            <w:tcBorders>
              <w:top w:val="single" w:sz="4" w:space="0" w:color="808080" w:themeColor="background1" w:themeShade="80"/>
              <w:left w:val="nil"/>
              <w:bottom w:val="single" w:sz="4" w:space="0" w:color="808080" w:themeColor="background1" w:themeShade="80"/>
              <w:right w:val="nil"/>
            </w:tcBorders>
            <w:vAlign w:val="center"/>
            <w:hideMark/>
          </w:tcPr>
          <w:p w14:paraId="73C3AC1A" w14:textId="77777777" w:rsidR="00077C83" w:rsidRPr="00962762" w:rsidRDefault="00077C83" w:rsidP="00962762">
            <w:pPr>
              <w:rPr>
                <w:rFonts w:asciiTheme="majorHAnsi" w:hAnsiTheme="majorHAnsi" w:cstheme="majorHAnsi"/>
                <w:sz w:val="18"/>
                <w:szCs w:val="20"/>
              </w:rPr>
            </w:pPr>
          </w:p>
        </w:tc>
        <w:tc>
          <w:tcPr>
            <w:tcW w:w="1276" w:type="dxa"/>
            <w:tcBorders>
              <w:top w:val="single" w:sz="4" w:space="0" w:color="808080" w:themeColor="background1" w:themeShade="80"/>
              <w:left w:val="nil"/>
              <w:bottom w:val="single" w:sz="4" w:space="0" w:color="808080" w:themeColor="background1" w:themeShade="80"/>
              <w:right w:val="nil"/>
            </w:tcBorders>
            <w:vAlign w:val="center"/>
            <w:hideMark/>
          </w:tcPr>
          <w:p w14:paraId="34AE6206" w14:textId="77777777" w:rsidR="00077C83" w:rsidRPr="00962762" w:rsidRDefault="00077C83" w:rsidP="00962762">
            <w:pPr>
              <w:jc w:val="both"/>
              <w:rPr>
                <w:rFonts w:asciiTheme="majorHAnsi" w:hAnsiTheme="majorHAnsi" w:cstheme="majorHAnsi"/>
                <w:sz w:val="18"/>
                <w:szCs w:val="20"/>
              </w:rPr>
            </w:pPr>
            <w:r w:rsidRPr="00962762">
              <w:rPr>
                <w:rFonts w:asciiTheme="majorHAnsi" w:hAnsiTheme="majorHAnsi" w:cstheme="majorHAnsi"/>
                <w:sz w:val="18"/>
                <w:szCs w:val="20"/>
              </w:rPr>
              <w:t>Szczycieński</w:t>
            </w:r>
          </w:p>
        </w:tc>
        <w:tc>
          <w:tcPr>
            <w:tcW w:w="987" w:type="dxa"/>
            <w:tcBorders>
              <w:top w:val="single" w:sz="4" w:space="0" w:color="808080" w:themeColor="background1" w:themeShade="80"/>
              <w:left w:val="nil"/>
              <w:bottom w:val="single" w:sz="4" w:space="0" w:color="808080" w:themeColor="background1" w:themeShade="80"/>
              <w:right w:val="nil"/>
            </w:tcBorders>
            <w:vAlign w:val="center"/>
            <w:hideMark/>
          </w:tcPr>
          <w:p w14:paraId="20F34E55" w14:textId="77777777" w:rsidR="00077C83" w:rsidRPr="00962762" w:rsidRDefault="00077C83" w:rsidP="00962762">
            <w:pPr>
              <w:jc w:val="center"/>
              <w:rPr>
                <w:rFonts w:asciiTheme="majorHAnsi" w:hAnsiTheme="majorHAnsi" w:cstheme="majorHAnsi"/>
                <w:sz w:val="18"/>
                <w:szCs w:val="20"/>
              </w:rPr>
            </w:pPr>
            <w:r w:rsidRPr="00962762">
              <w:rPr>
                <w:rFonts w:asciiTheme="majorHAnsi" w:hAnsiTheme="majorHAnsi" w:cstheme="majorHAnsi"/>
                <w:sz w:val="18"/>
                <w:szCs w:val="20"/>
              </w:rPr>
              <w:t>4</w:t>
            </w:r>
          </w:p>
        </w:tc>
      </w:tr>
      <w:tr w:rsidR="00077C83" w:rsidRPr="00962762" w14:paraId="5CAECAA3" w14:textId="77777777" w:rsidTr="00962762">
        <w:trPr>
          <w:trHeight w:val="20"/>
        </w:trPr>
        <w:tc>
          <w:tcPr>
            <w:tcW w:w="2263" w:type="dxa"/>
            <w:vMerge w:val="restart"/>
            <w:tcBorders>
              <w:top w:val="single" w:sz="4" w:space="0" w:color="FFFFFF" w:themeColor="background1"/>
              <w:left w:val="single" w:sz="4" w:space="0" w:color="FFFFFF" w:themeColor="background1"/>
              <w:bottom w:val="single" w:sz="4" w:space="0" w:color="FFFFFF" w:themeColor="background1"/>
              <w:right w:val="nil"/>
            </w:tcBorders>
            <w:shd w:val="clear" w:color="auto" w:fill="DEEAF6" w:themeFill="accent1" w:themeFillTint="33"/>
            <w:vAlign w:val="center"/>
            <w:hideMark/>
          </w:tcPr>
          <w:p w14:paraId="6E2E64DB" w14:textId="77777777" w:rsidR="00077C83" w:rsidRPr="00962762" w:rsidRDefault="00077C83" w:rsidP="00962762">
            <w:pPr>
              <w:jc w:val="both"/>
              <w:rPr>
                <w:rFonts w:asciiTheme="majorHAnsi" w:hAnsiTheme="majorHAnsi" w:cstheme="majorHAnsi"/>
                <w:sz w:val="18"/>
                <w:szCs w:val="20"/>
              </w:rPr>
            </w:pPr>
            <w:bookmarkStart w:id="102" w:name="_Hlk57968652"/>
            <w:r w:rsidRPr="00962762">
              <w:rPr>
                <w:rFonts w:asciiTheme="majorHAnsi" w:hAnsiTheme="majorHAnsi" w:cstheme="majorHAnsi"/>
                <w:sz w:val="18"/>
                <w:szCs w:val="20"/>
              </w:rPr>
              <w:t>Edukacja</w:t>
            </w:r>
          </w:p>
        </w:tc>
        <w:tc>
          <w:tcPr>
            <w:tcW w:w="4536" w:type="dxa"/>
            <w:vMerge w:val="restart"/>
            <w:tcBorders>
              <w:top w:val="single" w:sz="4" w:space="0" w:color="808080" w:themeColor="background1" w:themeShade="80"/>
              <w:left w:val="nil"/>
              <w:bottom w:val="single" w:sz="4" w:space="0" w:color="808080" w:themeColor="background1" w:themeShade="80"/>
              <w:right w:val="nil"/>
            </w:tcBorders>
            <w:vAlign w:val="center"/>
            <w:hideMark/>
          </w:tcPr>
          <w:p w14:paraId="04E00612" w14:textId="77777777" w:rsidR="00077C83" w:rsidRPr="00962762" w:rsidRDefault="00077C83" w:rsidP="00962762">
            <w:pPr>
              <w:rPr>
                <w:rFonts w:asciiTheme="majorHAnsi" w:hAnsiTheme="majorHAnsi" w:cstheme="majorHAnsi"/>
                <w:sz w:val="18"/>
                <w:szCs w:val="20"/>
              </w:rPr>
            </w:pPr>
            <w:r w:rsidRPr="00962762">
              <w:rPr>
                <w:rFonts w:asciiTheme="majorHAnsi" w:hAnsiTheme="majorHAnsi" w:cstheme="majorHAnsi"/>
                <w:sz w:val="18"/>
                <w:szCs w:val="20"/>
              </w:rPr>
              <w:t xml:space="preserve">Współczynnik </w:t>
            </w:r>
            <w:proofErr w:type="spellStart"/>
            <w:r w:rsidRPr="00962762">
              <w:rPr>
                <w:rFonts w:asciiTheme="majorHAnsi" w:hAnsiTheme="majorHAnsi" w:cstheme="majorHAnsi"/>
                <w:sz w:val="18"/>
                <w:szCs w:val="20"/>
              </w:rPr>
              <w:t>skolaryzacji</w:t>
            </w:r>
            <w:proofErr w:type="spellEnd"/>
            <w:r w:rsidRPr="00962762">
              <w:rPr>
                <w:rFonts w:asciiTheme="majorHAnsi" w:hAnsiTheme="majorHAnsi" w:cstheme="majorHAnsi"/>
                <w:sz w:val="18"/>
                <w:szCs w:val="20"/>
              </w:rPr>
              <w:t xml:space="preserve"> netto</w:t>
            </w:r>
            <w:r w:rsidR="00512DE6" w:rsidRPr="00962762">
              <w:rPr>
                <w:rFonts w:asciiTheme="majorHAnsi" w:hAnsiTheme="majorHAnsi" w:cstheme="majorHAnsi"/>
                <w:sz w:val="18"/>
                <w:szCs w:val="20"/>
              </w:rPr>
              <w:t xml:space="preserve"> - </w:t>
            </w:r>
            <w:r w:rsidRPr="00962762">
              <w:rPr>
                <w:rFonts w:asciiTheme="majorHAnsi" w:hAnsiTheme="majorHAnsi" w:cstheme="majorHAnsi"/>
                <w:sz w:val="18"/>
                <w:szCs w:val="20"/>
              </w:rPr>
              <w:t>szkoły podstawowe</w:t>
            </w:r>
          </w:p>
        </w:tc>
        <w:tc>
          <w:tcPr>
            <w:tcW w:w="1276" w:type="dxa"/>
            <w:tcBorders>
              <w:top w:val="single" w:sz="4" w:space="0" w:color="808080" w:themeColor="background1" w:themeShade="80"/>
              <w:left w:val="nil"/>
              <w:bottom w:val="single" w:sz="4" w:space="0" w:color="808080" w:themeColor="background1" w:themeShade="80"/>
              <w:right w:val="nil"/>
            </w:tcBorders>
            <w:vAlign w:val="center"/>
            <w:hideMark/>
          </w:tcPr>
          <w:p w14:paraId="21559238" w14:textId="77777777" w:rsidR="00077C83" w:rsidRPr="00962762" w:rsidRDefault="00077C83" w:rsidP="00962762">
            <w:pPr>
              <w:jc w:val="both"/>
              <w:rPr>
                <w:rFonts w:asciiTheme="majorHAnsi" w:hAnsiTheme="majorHAnsi" w:cstheme="majorHAnsi"/>
                <w:sz w:val="18"/>
                <w:szCs w:val="20"/>
              </w:rPr>
            </w:pPr>
            <w:r w:rsidRPr="00962762">
              <w:rPr>
                <w:rFonts w:asciiTheme="majorHAnsi" w:hAnsiTheme="majorHAnsi" w:cstheme="majorHAnsi"/>
                <w:sz w:val="18"/>
                <w:szCs w:val="20"/>
              </w:rPr>
              <w:t>Działdowski</w:t>
            </w:r>
          </w:p>
        </w:tc>
        <w:tc>
          <w:tcPr>
            <w:tcW w:w="987" w:type="dxa"/>
            <w:tcBorders>
              <w:top w:val="single" w:sz="4" w:space="0" w:color="808080" w:themeColor="background1" w:themeShade="80"/>
              <w:left w:val="nil"/>
              <w:bottom w:val="single" w:sz="4" w:space="0" w:color="808080" w:themeColor="background1" w:themeShade="80"/>
              <w:right w:val="nil"/>
            </w:tcBorders>
            <w:vAlign w:val="center"/>
            <w:hideMark/>
          </w:tcPr>
          <w:p w14:paraId="6AD7323A" w14:textId="77777777" w:rsidR="00077C83" w:rsidRPr="00962762" w:rsidRDefault="00077C83" w:rsidP="00962762">
            <w:pPr>
              <w:jc w:val="center"/>
              <w:rPr>
                <w:rFonts w:asciiTheme="majorHAnsi" w:hAnsiTheme="majorHAnsi" w:cstheme="majorHAnsi"/>
                <w:sz w:val="18"/>
                <w:szCs w:val="20"/>
              </w:rPr>
            </w:pPr>
            <w:r w:rsidRPr="00962762">
              <w:rPr>
                <w:rFonts w:asciiTheme="majorHAnsi" w:hAnsiTheme="majorHAnsi" w:cstheme="majorHAnsi"/>
                <w:sz w:val="18"/>
                <w:szCs w:val="20"/>
              </w:rPr>
              <w:t>1</w:t>
            </w:r>
          </w:p>
        </w:tc>
      </w:tr>
      <w:tr w:rsidR="00077C83" w:rsidRPr="00962762" w14:paraId="21CB2EF3" w14:textId="77777777" w:rsidTr="00962762">
        <w:trPr>
          <w:trHeight w:val="20"/>
        </w:trPr>
        <w:tc>
          <w:tcPr>
            <w:tcW w:w="2263" w:type="dxa"/>
            <w:vMerge/>
            <w:tcBorders>
              <w:top w:val="single" w:sz="4" w:space="0" w:color="FFFFFF" w:themeColor="background1"/>
              <w:left w:val="single" w:sz="4" w:space="0" w:color="FFFFFF" w:themeColor="background1"/>
              <w:bottom w:val="single" w:sz="4" w:space="0" w:color="FFFFFF" w:themeColor="background1"/>
              <w:right w:val="nil"/>
            </w:tcBorders>
            <w:shd w:val="clear" w:color="auto" w:fill="DEEAF6" w:themeFill="accent1" w:themeFillTint="33"/>
            <w:vAlign w:val="center"/>
            <w:hideMark/>
          </w:tcPr>
          <w:p w14:paraId="38A0BAE3" w14:textId="77777777" w:rsidR="00077C83" w:rsidRPr="00962762" w:rsidRDefault="00077C83" w:rsidP="00962762">
            <w:pPr>
              <w:rPr>
                <w:rFonts w:asciiTheme="majorHAnsi" w:hAnsiTheme="majorHAnsi" w:cstheme="majorHAnsi"/>
                <w:sz w:val="18"/>
                <w:szCs w:val="20"/>
              </w:rPr>
            </w:pPr>
          </w:p>
        </w:tc>
        <w:tc>
          <w:tcPr>
            <w:tcW w:w="4536" w:type="dxa"/>
            <w:vMerge/>
            <w:tcBorders>
              <w:top w:val="single" w:sz="4" w:space="0" w:color="808080" w:themeColor="background1" w:themeShade="80"/>
              <w:left w:val="nil"/>
              <w:bottom w:val="single" w:sz="4" w:space="0" w:color="808080" w:themeColor="background1" w:themeShade="80"/>
              <w:right w:val="nil"/>
            </w:tcBorders>
            <w:vAlign w:val="center"/>
            <w:hideMark/>
          </w:tcPr>
          <w:p w14:paraId="092E70FB" w14:textId="77777777" w:rsidR="00077C83" w:rsidRPr="00962762" w:rsidRDefault="00077C83" w:rsidP="00962762">
            <w:pPr>
              <w:rPr>
                <w:rFonts w:asciiTheme="majorHAnsi" w:hAnsiTheme="majorHAnsi" w:cstheme="majorHAnsi"/>
                <w:sz w:val="18"/>
                <w:szCs w:val="20"/>
              </w:rPr>
            </w:pPr>
          </w:p>
        </w:tc>
        <w:tc>
          <w:tcPr>
            <w:tcW w:w="1276" w:type="dxa"/>
            <w:tcBorders>
              <w:top w:val="single" w:sz="4" w:space="0" w:color="808080" w:themeColor="background1" w:themeShade="80"/>
              <w:left w:val="nil"/>
              <w:bottom w:val="single" w:sz="4" w:space="0" w:color="808080" w:themeColor="background1" w:themeShade="80"/>
              <w:right w:val="nil"/>
            </w:tcBorders>
            <w:vAlign w:val="center"/>
            <w:hideMark/>
          </w:tcPr>
          <w:p w14:paraId="55B110D8" w14:textId="77777777" w:rsidR="00077C83" w:rsidRPr="00962762" w:rsidRDefault="00077C83" w:rsidP="00962762">
            <w:pPr>
              <w:jc w:val="both"/>
              <w:rPr>
                <w:rFonts w:asciiTheme="majorHAnsi" w:hAnsiTheme="majorHAnsi" w:cstheme="majorHAnsi"/>
                <w:sz w:val="18"/>
                <w:szCs w:val="20"/>
              </w:rPr>
            </w:pPr>
            <w:r w:rsidRPr="00962762">
              <w:rPr>
                <w:rFonts w:asciiTheme="majorHAnsi" w:hAnsiTheme="majorHAnsi" w:cstheme="majorHAnsi"/>
                <w:sz w:val="18"/>
                <w:szCs w:val="20"/>
              </w:rPr>
              <w:t>Nidzicki</w:t>
            </w:r>
          </w:p>
        </w:tc>
        <w:tc>
          <w:tcPr>
            <w:tcW w:w="987" w:type="dxa"/>
            <w:tcBorders>
              <w:top w:val="single" w:sz="4" w:space="0" w:color="808080" w:themeColor="background1" w:themeShade="80"/>
              <w:left w:val="nil"/>
              <w:bottom w:val="single" w:sz="4" w:space="0" w:color="808080" w:themeColor="background1" w:themeShade="80"/>
              <w:right w:val="nil"/>
            </w:tcBorders>
            <w:vAlign w:val="center"/>
            <w:hideMark/>
          </w:tcPr>
          <w:p w14:paraId="04E00923" w14:textId="77777777" w:rsidR="00077C83" w:rsidRPr="00962762" w:rsidRDefault="00077C83" w:rsidP="00962762">
            <w:pPr>
              <w:jc w:val="center"/>
              <w:rPr>
                <w:rFonts w:asciiTheme="majorHAnsi" w:hAnsiTheme="majorHAnsi" w:cstheme="majorHAnsi"/>
                <w:sz w:val="18"/>
                <w:szCs w:val="20"/>
              </w:rPr>
            </w:pPr>
            <w:r w:rsidRPr="00962762">
              <w:rPr>
                <w:rFonts w:asciiTheme="majorHAnsi" w:hAnsiTheme="majorHAnsi" w:cstheme="majorHAnsi"/>
                <w:sz w:val="18"/>
                <w:szCs w:val="20"/>
              </w:rPr>
              <w:t>3</w:t>
            </w:r>
          </w:p>
        </w:tc>
      </w:tr>
      <w:tr w:rsidR="00077C83" w:rsidRPr="00962762" w14:paraId="3B6349A9" w14:textId="77777777" w:rsidTr="00962762">
        <w:trPr>
          <w:trHeight w:val="20"/>
        </w:trPr>
        <w:tc>
          <w:tcPr>
            <w:tcW w:w="2263" w:type="dxa"/>
            <w:vMerge/>
            <w:tcBorders>
              <w:top w:val="single" w:sz="4" w:space="0" w:color="FFFFFF" w:themeColor="background1"/>
              <w:left w:val="single" w:sz="4" w:space="0" w:color="FFFFFF" w:themeColor="background1"/>
              <w:bottom w:val="single" w:sz="4" w:space="0" w:color="FFFFFF" w:themeColor="background1"/>
              <w:right w:val="nil"/>
            </w:tcBorders>
            <w:shd w:val="clear" w:color="auto" w:fill="DEEAF6" w:themeFill="accent1" w:themeFillTint="33"/>
            <w:vAlign w:val="center"/>
            <w:hideMark/>
          </w:tcPr>
          <w:p w14:paraId="0AD4F2B4" w14:textId="77777777" w:rsidR="00077C83" w:rsidRPr="00962762" w:rsidRDefault="00077C83" w:rsidP="00962762">
            <w:pPr>
              <w:rPr>
                <w:rFonts w:asciiTheme="majorHAnsi" w:hAnsiTheme="majorHAnsi" w:cstheme="majorHAnsi"/>
                <w:sz w:val="18"/>
                <w:szCs w:val="20"/>
              </w:rPr>
            </w:pPr>
          </w:p>
        </w:tc>
        <w:tc>
          <w:tcPr>
            <w:tcW w:w="4536" w:type="dxa"/>
            <w:vMerge/>
            <w:tcBorders>
              <w:top w:val="single" w:sz="4" w:space="0" w:color="808080" w:themeColor="background1" w:themeShade="80"/>
              <w:left w:val="nil"/>
              <w:bottom w:val="single" w:sz="4" w:space="0" w:color="808080" w:themeColor="background1" w:themeShade="80"/>
              <w:right w:val="nil"/>
            </w:tcBorders>
            <w:vAlign w:val="center"/>
            <w:hideMark/>
          </w:tcPr>
          <w:p w14:paraId="266F8F60" w14:textId="77777777" w:rsidR="00077C83" w:rsidRPr="00962762" w:rsidRDefault="00077C83" w:rsidP="00962762">
            <w:pPr>
              <w:rPr>
                <w:rFonts w:asciiTheme="majorHAnsi" w:hAnsiTheme="majorHAnsi" w:cstheme="majorHAnsi"/>
                <w:sz w:val="18"/>
                <w:szCs w:val="20"/>
              </w:rPr>
            </w:pPr>
          </w:p>
        </w:tc>
        <w:tc>
          <w:tcPr>
            <w:tcW w:w="1276" w:type="dxa"/>
            <w:tcBorders>
              <w:top w:val="single" w:sz="4" w:space="0" w:color="808080" w:themeColor="background1" w:themeShade="80"/>
              <w:left w:val="nil"/>
              <w:bottom w:val="single" w:sz="4" w:space="0" w:color="808080" w:themeColor="background1" w:themeShade="80"/>
              <w:right w:val="nil"/>
            </w:tcBorders>
            <w:vAlign w:val="center"/>
            <w:hideMark/>
          </w:tcPr>
          <w:p w14:paraId="20DC2141" w14:textId="77777777" w:rsidR="00077C83" w:rsidRPr="00962762" w:rsidRDefault="00077C83" w:rsidP="00962762">
            <w:pPr>
              <w:jc w:val="both"/>
              <w:rPr>
                <w:rFonts w:asciiTheme="majorHAnsi" w:hAnsiTheme="majorHAnsi" w:cstheme="majorHAnsi"/>
                <w:sz w:val="18"/>
                <w:szCs w:val="20"/>
              </w:rPr>
            </w:pPr>
            <w:r w:rsidRPr="00962762">
              <w:rPr>
                <w:rFonts w:asciiTheme="majorHAnsi" w:hAnsiTheme="majorHAnsi" w:cstheme="majorHAnsi"/>
                <w:sz w:val="18"/>
                <w:szCs w:val="20"/>
              </w:rPr>
              <w:t>Piski</w:t>
            </w:r>
          </w:p>
        </w:tc>
        <w:tc>
          <w:tcPr>
            <w:tcW w:w="987" w:type="dxa"/>
            <w:tcBorders>
              <w:top w:val="single" w:sz="4" w:space="0" w:color="808080" w:themeColor="background1" w:themeShade="80"/>
              <w:left w:val="nil"/>
              <w:bottom w:val="single" w:sz="4" w:space="0" w:color="808080" w:themeColor="background1" w:themeShade="80"/>
              <w:right w:val="nil"/>
            </w:tcBorders>
            <w:vAlign w:val="center"/>
            <w:hideMark/>
          </w:tcPr>
          <w:p w14:paraId="37F48A1D" w14:textId="77777777" w:rsidR="00077C83" w:rsidRPr="00962762" w:rsidRDefault="00077C83" w:rsidP="00962762">
            <w:pPr>
              <w:jc w:val="center"/>
              <w:rPr>
                <w:rFonts w:asciiTheme="majorHAnsi" w:hAnsiTheme="majorHAnsi" w:cstheme="majorHAnsi"/>
                <w:sz w:val="18"/>
                <w:szCs w:val="20"/>
              </w:rPr>
            </w:pPr>
            <w:r w:rsidRPr="00962762">
              <w:rPr>
                <w:rFonts w:asciiTheme="majorHAnsi" w:hAnsiTheme="majorHAnsi" w:cstheme="majorHAnsi"/>
                <w:sz w:val="18"/>
                <w:szCs w:val="20"/>
              </w:rPr>
              <w:t>4</w:t>
            </w:r>
          </w:p>
        </w:tc>
        <w:bookmarkEnd w:id="102"/>
      </w:tr>
      <w:tr w:rsidR="00077C83" w:rsidRPr="00962762" w14:paraId="6EF5060A" w14:textId="77777777" w:rsidTr="00962762">
        <w:trPr>
          <w:trHeight w:val="20"/>
        </w:trPr>
        <w:tc>
          <w:tcPr>
            <w:tcW w:w="2263" w:type="dxa"/>
            <w:vMerge/>
            <w:tcBorders>
              <w:top w:val="single" w:sz="4" w:space="0" w:color="FFFFFF" w:themeColor="background1"/>
              <w:left w:val="single" w:sz="4" w:space="0" w:color="FFFFFF" w:themeColor="background1"/>
              <w:bottom w:val="single" w:sz="4" w:space="0" w:color="FFFFFF" w:themeColor="background1"/>
              <w:right w:val="nil"/>
            </w:tcBorders>
            <w:shd w:val="clear" w:color="auto" w:fill="DEEAF6" w:themeFill="accent1" w:themeFillTint="33"/>
            <w:vAlign w:val="center"/>
            <w:hideMark/>
          </w:tcPr>
          <w:p w14:paraId="6B0DAB0A" w14:textId="77777777" w:rsidR="00077C83" w:rsidRPr="00962762" w:rsidRDefault="00077C83" w:rsidP="00962762">
            <w:pPr>
              <w:rPr>
                <w:rFonts w:asciiTheme="majorHAnsi" w:hAnsiTheme="majorHAnsi" w:cstheme="majorHAnsi"/>
                <w:sz w:val="18"/>
                <w:szCs w:val="20"/>
              </w:rPr>
            </w:pPr>
          </w:p>
        </w:tc>
        <w:tc>
          <w:tcPr>
            <w:tcW w:w="4536" w:type="dxa"/>
            <w:vMerge/>
            <w:tcBorders>
              <w:top w:val="single" w:sz="4" w:space="0" w:color="808080" w:themeColor="background1" w:themeShade="80"/>
              <w:left w:val="nil"/>
              <w:bottom w:val="single" w:sz="4" w:space="0" w:color="808080" w:themeColor="background1" w:themeShade="80"/>
              <w:right w:val="nil"/>
            </w:tcBorders>
            <w:vAlign w:val="center"/>
            <w:hideMark/>
          </w:tcPr>
          <w:p w14:paraId="066785E3" w14:textId="77777777" w:rsidR="00077C83" w:rsidRPr="00962762" w:rsidRDefault="00077C83" w:rsidP="00962762">
            <w:pPr>
              <w:rPr>
                <w:rFonts w:asciiTheme="majorHAnsi" w:hAnsiTheme="majorHAnsi" w:cstheme="majorHAnsi"/>
                <w:sz w:val="18"/>
                <w:szCs w:val="20"/>
              </w:rPr>
            </w:pPr>
          </w:p>
        </w:tc>
        <w:tc>
          <w:tcPr>
            <w:tcW w:w="1276" w:type="dxa"/>
            <w:tcBorders>
              <w:top w:val="single" w:sz="4" w:space="0" w:color="808080" w:themeColor="background1" w:themeShade="80"/>
              <w:left w:val="nil"/>
              <w:bottom w:val="single" w:sz="4" w:space="0" w:color="808080" w:themeColor="background1" w:themeShade="80"/>
              <w:right w:val="nil"/>
            </w:tcBorders>
            <w:vAlign w:val="center"/>
            <w:hideMark/>
          </w:tcPr>
          <w:p w14:paraId="4C8814A1" w14:textId="77777777" w:rsidR="00077C83" w:rsidRPr="00962762" w:rsidRDefault="00077C83" w:rsidP="00962762">
            <w:pPr>
              <w:jc w:val="both"/>
              <w:rPr>
                <w:rFonts w:asciiTheme="majorHAnsi" w:hAnsiTheme="majorHAnsi" w:cstheme="majorHAnsi"/>
                <w:sz w:val="18"/>
                <w:szCs w:val="20"/>
              </w:rPr>
            </w:pPr>
            <w:r w:rsidRPr="00962762">
              <w:rPr>
                <w:rFonts w:asciiTheme="majorHAnsi" w:hAnsiTheme="majorHAnsi" w:cstheme="majorHAnsi"/>
                <w:sz w:val="18"/>
                <w:szCs w:val="20"/>
              </w:rPr>
              <w:t>Szczycieński</w:t>
            </w:r>
          </w:p>
        </w:tc>
        <w:tc>
          <w:tcPr>
            <w:tcW w:w="987" w:type="dxa"/>
            <w:tcBorders>
              <w:top w:val="single" w:sz="4" w:space="0" w:color="808080" w:themeColor="background1" w:themeShade="80"/>
              <w:left w:val="nil"/>
              <w:bottom w:val="single" w:sz="4" w:space="0" w:color="808080" w:themeColor="background1" w:themeShade="80"/>
              <w:right w:val="nil"/>
            </w:tcBorders>
            <w:vAlign w:val="center"/>
            <w:hideMark/>
          </w:tcPr>
          <w:p w14:paraId="1B8C430D" w14:textId="77777777" w:rsidR="00077C83" w:rsidRPr="00962762" w:rsidRDefault="00077C83" w:rsidP="00962762">
            <w:pPr>
              <w:jc w:val="center"/>
              <w:rPr>
                <w:rFonts w:asciiTheme="majorHAnsi" w:hAnsiTheme="majorHAnsi" w:cstheme="majorHAnsi"/>
                <w:sz w:val="18"/>
                <w:szCs w:val="20"/>
              </w:rPr>
            </w:pPr>
            <w:r w:rsidRPr="00962762">
              <w:rPr>
                <w:rFonts w:asciiTheme="majorHAnsi" w:hAnsiTheme="majorHAnsi" w:cstheme="majorHAnsi"/>
                <w:sz w:val="18"/>
                <w:szCs w:val="20"/>
              </w:rPr>
              <w:t>2</w:t>
            </w:r>
          </w:p>
        </w:tc>
      </w:tr>
      <w:tr w:rsidR="00077C83" w:rsidRPr="00962762" w14:paraId="6AE8A82E" w14:textId="77777777" w:rsidTr="00962762">
        <w:trPr>
          <w:trHeight w:val="20"/>
        </w:trPr>
        <w:tc>
          <w:tcPr>
            <w:tcW w:w="2263" w:type="dxa"/>
            <w:vMerge/>
            <w:tcBorders>
              <w:top w:val="single" w:sz="4" w:space="0" w:color="FFFFFF" w:themeColor="background1"/>
              <w:left w:val="single" w:sz="4" w:space="0" w:color="FFFFFF" w:themeColor="background1"/>
              <w:bottom w:val="single" w:sz="4" w:space="0" w:color="FFFFFF" w:themeColor="background1"/>
              <w:right w:val="nil"/>
            </w:tcBorders>
            <w:shd w:val="clear" w:color="auto" w:fill="DEEAF6" w:themeFill="accent1" w:themeFillTint="33"/>
            <w:vAlign w:val="center"/>
            <w:hideMark/>
          </w:tcPr>
          <w:p w14:paraId="48F58FF0" w14:textId="77777777" w:rsidR="00077C83" w:rsidRPr="00962762" w:rsidRDefault="00077C83" w:rsidP="00962762">
            <w:pPr>
              <w:rPr>
                <w:rFonts w:asciiTheme="majorHAnsi" w:hAnsiTheme="majorHAnsi" w:cstheme="majorHAnsi"/>
                <w:sz w:val="18"/>
                <w:szCs w:val="20"/>
              </w:rPr>
            </w:pPr>
          </w:p>
        </w:tc>
        <w:tc>
          <w:tcPr>
            <w:tcW w:w="4536" w:type="dxa"/>
            <w:vMerge w:val="restart"/>
            <w:tcBorders>
              <w:top w:val="single" w:sz="4" w:space="0" w:color="808080" w:themeColor="background1" w:themeShade="80"/>
              <w:left w:val="nil"/>
              <w:bottom w:val="single" w:sz="4" w:space="0" w:color="808080" w:themeColor="background1" w:themeShade="80"/>
              <w:right w:val="nil"/>
            </w:tcBorders>
            <w:vAlign w:val="center"/>
            <w:hideMark/>
          </w:tcPr>
          <w:p w14:paraId="0F9FD005" w14:textId="77777777" w:rsidR="00077C83" w:rsidRPr="00962762" w:rsidRDefault="00077C83" w:rsidP="00962762">
            <w:pPr>
              <w:rPr>
                <w:rFonts w:asciiTheme="majorHAnsi" w:hAnsiTheme="majorHAnsi" w:cstheme="majorHAnsi"/>
                <w:sz w:val="18"/>
                <w:szCs w:val="20"/>
              </w:rPr>
            </w:pPr>
            <w:r w:rsidRPr="00962762">
              <w:rPr>
                <w:rFonts w:asciiTheme="majorHAnsi" w:hAnsiTheme="majorHAnsi" w:cstheme="majorHAnsi"/>
                <w:sz w:val="18"/>
                <w:szCs w:val="20"/>
              </w:rPr>
              <w:t>Liczba uczniów przypadająca na oddział</w:t>
            </w:r>
            <w:r w:rsidR="00512DE6" w:rsidRPr="00962762">
              <w:rPr>
                <w:rFonts w:asciiTheme="majorHAnsi" w:hAnsiTheme="majorHAnsi" w:cstheme="majorHAnsi"/>
                <w:sz w:val="18"/>
                <w:szCs w:val="20"/>
              </w:rPr>
              <w:t xml:space="preserve"> - </w:t>
            </w:r>
            <w:r w:rsidRPr="00962762">
              <w:rPr>
                <w:rFonts w:asciiTheme="majorHAnsi" w:hAnsiTheme="majorHAnsi" w:cstheme="majorHAnsi"/>
                <w:sz w:val="18"/>
                <w:szCs w:val="20"/>
              </w:rPr>
              <w:t>szkoły podstawowe</w:t>
            </w:r>
          </w:p>
        </w:tc>
        <w:tc>
          <w:tcPr>
            <w:tcW w:w="1276" w:type="dxa"/>
            <w:tcBorders>
              <w:top w:val="single" w:sz="4" w:space="0" w:color="808080" w:themeColor="background1" w:themeShade="80"/>
              <w:left w:val="nil"/>
              <w:bottom w:val="single" w:sz="4" w:space="0" w:color="808080" w:themeColor="background1" w:themeShade="80"/>
              <w:right w:val="nil"/>
            </w:tcBorders>
            <w:vAlign w:val="center"/>
            <w:hideMark/>
          </w:tcPr>
          <w:p w14:paraId="00FBFD87" w14:textId="77777777" w:rsidR="00077C83" w:rsidRPr="00962762" w:rsidRDefault="00077C83" w:rsidP="00962762">
            <w:pPr>
              <w:jc w:val="both"/>
              <w:rPr>
                <w:rFonts w:asciiTheme="majorHAnsi" w:hAnsiTheme="majorHAnsi" w:cstheme="majorHAnsi"/>
                <w:sz w:val="18"/>
                <w:szCs w:val="20"/>
              </w:rPr>
            </w:pPr>
            <w:r w:rsidRPr="00962762">
              <w:rPr>
                <w:rFonts w:asciiTheme="majorHAnsi" w:hAnsiTheme="majorHAnsi" w:cstheme="majorHAnsi"/>
                <w:sz w:val="18"/>
                <w:szCs w:val="20"/>
              </w:rPr>
              <w:t>Działdowski</w:t>
            </w:r>
          </w:p>
        </w:tc>
        <w:tc>
          <w:tcPr>
            <w:tcW w:w="987" w:type="dxa"/>
            <w:tcBorders>
              <w:top w:val="single" w:sz="4" w:space="0" w:color="808080" w:themeColor="background1" w:themeShade="80"/>
              <w:left w:val="nil"/>
              <w:bottom w:val="single" w:sz="4" w:space="0" w:color="808080" w:themeColor="background1" w:themeShade="80"/>
              <w:right w:val="nil"/>
            </w:tcBorders>
            <w:vAlign w:val="center"/>
            <w:hideMark/>
          </w:tcPr>
          <w:p w14:paraId="5E39CFE0" w14:textId="77777777" w:rsidR="00077C83" w:rsidRPr="00962762" w:rsidRDefault="00077C83" w:rsidP="00962762">
            <w:pPr>
              <w:jc w:val="center"/>
              <w:rPr>
                <w:rFonts w:asciiTheme="majorHAnsi" w:hAnsiTheme="majorHAnsi" w:cstheme="majorHAnsi"/>
                <w:sz w:val="18"/>
                <w:szCs w:val="20"/>
              </w:rPr>
            </w:pPr>
            <w:r w:rsidRPr="00962762">
              <w:rPr>
                <w:rFonts w:asciiTheme="majorHAnsi" w:hAnsiTheme="majorHAnsi" w:cstheme="majorHAnsi"/>
                <w:sz w:val="18"/>
                <w:szCs w:val="20"/>
              </w:rPr>
              <w:t>4</w:t>
            </w:r>
          </w:p>
        </w:tc>
      </w:tr>
      <w:tr w:rsidR="00077C83" w:rsidRPr="00962762" w14:paraId="2CD395B3" w14:textId="77777777" w:rsidTr="00962762">
        <w:trPr>
          <w:trHeight w:val="20"/>
        </w:trPr>
        <w:tc>
          <w:tcPr>
            <w:tcW w:w="2263" w:type="dxa"/>
            <w:vMerge/>
            <w:tcBorders>
              <w:top w:val="single" w:sz="4" w:space="0" w:color="FFFFFF" w:themeColor="background1"/>
              <w:left w:val="single" w:sz="4" w:space="0" w:color="FFFFFF" w:themeColor="background1"/>
              <w:bottom w:val="single" w:sz="4" w:space="0" w:color="FFFFFF" w:themeColor="background1"/>
              <w:right w:val="nil"/>
            </w:tcBorders>
            <w:shd w:val="clear" w:color="auto" w:fill="DEEAF6" w:themeFill="accent1" w:themeFillTint="33"/>
            <w:vAlign w:val="center"/>
            <w:hideMark/>
          </w:tcPr>
          <w:p w14:paraId="7A88CFEA" w14:textId="77777777" w:rsidR="00077C83" w:rsidRPr="00962762" w:rsidRDefault="00077C83" w:rsidP="00962762">
            <w:pPr>
              <w:rPr>
                <w:rFonts w:asciiTheme="majorHAnsi" w:hAnsiTheme="majorHAnsi" w:cstheme="majorHAnsi"/>
                <w:sz w:val="18"/>
                <w:szCs w:val="20"/>
              </w:rPr>
            </w:pPr>
          </w:p>
        </w:tc>
        <w:tc>
          <w:tcPr>
            <w:tcW w:w="4536" w:type="dxa"/>
            <w:vMerge/>
            <w:tcBorders>
              <w:top w:val="single" w:sz="4" w:space="0" w:color="808080" w:themeColor="background1" w:themeShade="80"/>
              <w:left w:val="nil"/>
              <w:bottom w:val="single" w:sz="4" w:space="0" w:color="808080" w:themeColor="background1" w:themeShade="80"/>
              <w:right w:val="nil"/>
            </w:tcBorders>
            <w:vAlign w:val="center"/>
            <w:hideMark/>
          </w:tcPr>
          <w:p w14:paraId="6D9D30BA" w14:textId="77777777" w:rsidR="00077C83" w:rsidRPr="00962762" w:rsidRDefault="00077C83" w:rsidP="00962762">
            <w:pPr>
              <w:rPr>
                <w:rFonts w:asciiTheme="majorHAnsi" w:hAnsiTheme="majorHAnsi" w:cstheme="majorHAnsi"/>
                <w:sz w:val="18"/>
                <w:szCs w:val="20"/>
              </w:rPr>
            </w:pPr>
          </w:p>
        </w:tc>
        <w:tc>
          <w:tcPr>
            <w:tcW w:w="1276" w:type="dxa"/>
            <w:tcBorders>
              <w:top w:val="single" w:sz="4" w:space="0" w:color="808080" w:themeColor="background1" w:themeShade="80"/>
              <w:left w:val="nil"/>
              <w:bottom w:val="single" w:sz="4" w:space="0" w:color="808080" w:themeColor="background1" w:themeShade="80"/>
              <w:right w:val="nil"/>
            </w:tcBorders>
            <w:vAlign w:val="center"/>
            <w:hideMark/>
          </w:tcPr>
          <w:p w14:paraId="42633EFD" w14:textId="77777777" w:rsidR="00077C83" w:rsidRPr="00962762" w:rsidRDefault="00077C83" w:rsidP="00962762">
            <w:pPr>
              <w:jc w:val="both"/>
              <w:rPr>
                <w:rFonts w:asciiTheme="majorHAnsi" w:hAnsiTheme="majorHAnsi" w:cstheme="majorHAnsi"/>
                <w:sz w:val="18"/>
                <w:szCs w:val="20"/>
              </w:rPr>
            </w:pPr>
            <w:r w:rsidRPr="00962762">
              <w:rPr>
                <w:rFonts w:asciiTheme="majorHAnsi" w:hAnsiTheme="majorHAnsi" w:cstheme="majorHAnsi"/>
                <w:sz w:val="18"/>
                <w:szCs w:val="20"/>
              </w:rPr>
              <w:t>Nidzicki</w:t>
            </w:r>
          </w:p>
        </w:tc>
        <w:tc>
          <w:tcPr>
            <w:tcW w:w="987" w:type="dxa"/>
            <w:tcBorders>
              <w:top w:val="single" w:sz="4" w:space="0" w:color="808080" w:themeColor="background1" w:themeShade="80"/>
              <w:left w:val="nil"/>
              <w:bottom w:val="single" w:sz="4" w:space="0" w:color="808080" w:themeColor="background1" w:themeShade="80"/>
              <w:right w:val="nil"/>
            </w:tcBorders>
            <w:vAlign w:val="center"/>
            <w:hideMark/>
          </w:tcPr>
          <w:p w14:paraId="74744DA4" w14:textId="77777777" w:rsidR="00077C83" w:rsidRPr="00962762" w:rsidRDefault="00077C83" w:rsidP="00962762">
            <w:pPr>
              <w:jc w:val="center"/>
              <w:rPr>
                <w:rFonts w:asciiTheme="majorHAnsi" w:hAnsiTheme="majorHAnsi" w:cstheme="majorHAnsi"/>
                <w:sz w:val="18"/>
                <w:szCs w:val="20"/>
              </w:rPr>
            </w:pPr>
            <w:r w:rsidRPr="00962762">
              <w:rPr>
                <w:rFonts w:asciiTheme="majorHAnsi" w:hAnsiTheme="majorHAnsi" w:cstheme="majorHAnsi"/>
                <w:sz w:val="18"/>
                <w:szCs w:val="20"/>
              </w:rPr>
              <w:t>1</w:t>
            </w:r>
          </w:p>
        </w:tc>
      </w:tr>
      <w:tr w:rsidR="00077C83" w:rsidRPr="00962762" w14:paraId="6555D2A2" w14:textId="77777777" w:rsidTr="00962762">
        <w:trPr>
          <w:trHeight w:val="20"/>
        </w:trPr>
        <w:tc>
          <w:tcPr>
            <w:tcW w:w="2263" w:type="dxa"/>
            <w:vMerge/>
            <w:tcBorders>
              <w:top w:val="single" w:sz="4" w:space="0" w:color="FFFFFF" w:themeColor="background1"/>
              <w:left w:val="single" w:sz="4" w:space="0" w:color="FFFFFF" w:themeColor="background1"/>
              <w:bottom w:val="single" w:sz="4" w:space="0" w:color="FFFFFF" w:themeColor="background1"/>
              <w:right w:val="nil"/>
            </w:tcBorders>
            <w:shd w:val="clear" w:color="auto" w:fill="DEEAF6" w:themeFill="accent1" w:themeFillTint="33"/>
            <w:vAlign w:val="center"/>
            <w:hideMark/>
          </w:tcPr>
          <w:p w14:paraId="4C22B716" w14:textId="77777777" w:rsidR="00077C83" w:rsidRPr="00962762" w:rsidRDefault="00077C83" w:rsidP="00962762">
            <w:pPr>
              <w:rPr>
                <w:rFonts w:asciiTheme="majorHAnsi" w:hAnsiTheme="majorHAnsi" w:cstheme="majorHAnsi"/>
                <w:sz w:val="18"/>
                <w:szCs w:val="20"/>
              </w:rPr>
            </w:pPr>
          </w:p>
        </w:tc>
        <w:tc>
          <w:tcPr>
            <w:tcW w:w="4536" w:type="dxa"/>
            <w:vMerge/>
            <w:tcBorders>
              <w:top w:val="single" w:sz="4" w:space="0" w:color="808080" w:themeColor="background1" w:themeShade="80"/>
              <w:left w:val="nil"/>
              <w:bottom w:val="single" w:sz="4" w:space="0" w:color="808080" w:themeColor="background1" w:themeShade="80"/>
              <w:right w:val="nil"/>
            </w:tcBorders>
            <w:vAlign w:val="center"/>
            <w:hideMark/>
          </w:tcPr>
          <w:p w14:paraId="6AD6B6A2" w14:textId="77777777" w:rsidR="00077C83" w:rsidRPr="00962762" w:rsidRDefault="00077C83" w:rsidP="00962762">
            <w:pPr>
              <w:rPr>
                <w:rFonts w:asciiTheme="majorHAnsi" w:hAnsiTheme="majorHAnsi" w:cstheme="majorHAnsi"/>
                <w:sz w:val="18"/>
                <w:szCs w:val="20"/>
              </w:rPr>
            </w:pPr>
          </w:p>
        </w:tc>
        <w:tc>
          <w:tcPr>
            <w:tcW w:w="1276" w:type="dxa"/>
            <w:tcBorders>
              <w:top w:val="single" w:sz="4" w:space="0" w:color="808080" w:themeColor="background1" w:themeShade="80"/>
              <w:left w:val="nil"/>
              <w:bottom w:val="single" w:sz="4" w:space="0" w:color="808080" w:themeColor="background1" w:themeShade="80"/>
              <w:right w:val="nil"/>
            </w:tcBorders>
            <w:vAlign w:val="center"/>
            <w:hideMark/>
          </w:tcPr>
          <w:p w14:paraId="4A29576B" w14:textId="77777777" w:rsidR="00077C83" w:rsidRPr="00962762" w:rsidRDefault="00077C83" w:rsidP="00962762">
            <w:pPr>
              <w:jc w:val="both"/>
              <w:rPr>
                <w:rFonts w:asciiTheme="majorHAnsi" w:hAnsiTheme="majorHAnsi" w:cstheme="majorHAnsi"/>
                <w:sz w:val="18"/>
                <w:szCs w:val="20"/>
              </w:rPr>
            </w:pPr>
            <w:r w:rsidRPr="00962762">
              <w:rPr>
                <w:rFonts w:asciiTheme="majorHAnsi" w:hAnsiTheme="majorHAnsi" w:cstheme="majorHAnsi"/>
                <w:sz w:val="18"/>
                <w:szCs w:val="20"/>
              </w:rPr>
              <w:t>Piski</w:t>
            </w:r>
          </w:p>
        </w:tc>
        <w:tc>
          <w:tcPr>
            <w:tcW w:w="987" w:type="dxa"/>
            <w:tcBorders>
              <w:top w:val="single" w:sz="4" w:space="0" w:color="808080" w:themeColor="background1" w:themeShade="80"/>
              <w:left w:val="nil"/>
              <w:bottom w:val="single" w:sz="4" w:space="0" w:color="808080" w:themeColor="background1" w:themeShade="80"/>
              <w:right w:val="nil"/>
            </w:tcBorders>
            <w:vAlign w:val="center"/>
            <w:hideMark/>
          </w:tcPr>
          <w:p w14:paraId="2F0B735F" w14:textId="77777777" w:rsidR="00077C83" w:rsidRPr="00962762" w:rsidRDefault="00077C83" w:rsidP="00962762">
            <w:pPr>
              <w:jc w:val="center"/>
              <w:rPr>
                <w:rFonts w:asciiTheme="majorHAnsi" w:hAnsiTheme="majorHAnsi" w:cstheme="majorHAnsi"/>
                <w:sz w:val="18"/>
                <w:szCs w:val="20"/>
              </w:rPr>
            </w:pPr>
            <w:r w:rsidRPr="00962762">
              <w:rPr>
                <w:rFonts w:asciiTheme="majorHAnsi" w:hAnsiTheme="majorHAnsi" w:cstheme="majorHAnsi"/>
                <w:sz w:val="18"/>
                <w:szCs w:val="20"/>
              </w:rPr>
              <w:t>2</w:t>
            </w:r>
          </w:p>
        </w:tc>
      </w:tr>
      <w:tr w:rsidR="00077C83" w:rsidRPr="00962762" w14:paraId="187499B5" w14:textId="77777777" w:rsidTr="00962762">
        <w:trPr>
          <w:trHeight w:val="20"/>
        </w:trPr>
        <w:tc>
          <w:tcPr>
            <w:tcW w:w="2263" w:type="dxa"/>
            <w:vMerge/>
            <w:tcBorders>
              <w:top w:val="single" w:sz="4" w:space="0" w:color="FFFFFF" w:themeColor="background1"/>
              <w:left w:val="single" w:sz="4" w:space="0" w:color="FFFFFF" w:themeColor="background1"/>
              <w:bottom w:val="single" w:sz="4" w:space="0" w:color="FFFFFF" w:themeColor="background1"/>
              <w:right w:val="nil"/>
            </w:tcBorders>
            <w:shd w:val="clear" w:color="auto" w:fill="DEEAF6" w:themeFill="accent1" w:themeFillTint="33"/>
            <w:vAlign w:val="center"/>
            <w:hideMark/>
          </w:tcPr>
          <w:p w14:paraId="287E89DD" w14:textId="77777777" w:rsidR="00077C83" w:rsidRPr="00962762" w:rsidRDefault="00077C83" w:rsidP="00962762">
            <w:pPr>
              <w:rPr>
                <w:rFonts w:asciiTheme="majorHAnsi" w:hAnsiTheme="majorHAnsi" w:cstheme="majorHAnsi"/>
                <w:sz w:val="18"/>
                <w:szCs w:val="20"/>
              </w:rPr>
            </w:pPr>
          </w:p>
        </w:tc>
        <w:tc>
          <w:tcPr>
            <w:tcW w:w="4536" w:type="dxa"/>
            <w:vMerge/>
            <w:tcBorders>
              <w:top w:val="single" w:sz="4" w:space="0" w:color="808080" w:themeColor="background1" w:themeShade="80"/>
              <w:left w:val="nil"/>
              <w:bottom w:val="single" w:sz="4" w:space="0" w:color="808080" w:themeColor="background1" w:themeShade="80"/>
              <w:right w:val="nil"/>
            </w:tcBorders>
            <w:vAlign w:val="center"/>
            <w:hideMark/>
          </w:tcPr>
          <w:p w14:paraId="197BA42D" w14:textId="77777777" w:rsidR="00077C83" w:rsidRPr="00962762" w:rsidRDefault="00077C83" w:rsidP="00962762">
            <w:pPr>
              <w:rPr>
                <w:rFonts w:asciiTheme="majorHAnsi" w:hAnsiTheme="majorHAnsi" w:cstheme="majorHAnsi"/>
                <w:sz w:val="18"/>
                <w:szCs w:val="20"/>
              </w:rPr>
            </w:pPr>
          </w:p>
        </w:tc>
        <w:tc>
          <w:tcPr>
            <w:tcW w:w="1276" w:type="dxa"/>
            <w:tcBorders>
              <w:top w:val="single" w:sz="4" w:space="0" w:color="808080" w:themeColor="background1" w:themeShade="80"/>
              <w:left w:val="nil"/>
              <w:bottom w:val="single" w:sz="4" w:space="0" w:color="808080" w:themeColor="background1" w:themeShade="80"/>
              <w:right w:val="nil"/>
            </w:tcBorders>
            <w:vAlign w:val="center"/>
            <w:hideMark/>
          </w:tcPr>
          <w:p w14:paraId="3756115D" w14:textId="77777777" w:rsidR="00077C83" w:rsidRPr="00962762" w:rsidRDefault="00077C83" w:rsidP="00962762">
            <w:pPr>
              <w:jc w:val="both"/>
              <w:rPr>
                <w:rFonts w:asciiTheme="majorHAnsi" w:hAnsiTheme="majorHAnsi" w:cstheme="majorHAnsi"/>
                <w:sz w:val="18"/>
                <w:szCs w:val="20"/>
              </w:rPr>
            </w:pPr>
            <w:r w:rsidRPr="00962762">
              <w:rPr>
                <w:rFonts w:asciiTheme="majorHAnsi" w:hAnsiTheme="majorHAnsi" w:cstheme="majorHAnsi"/>
                <w:sz w:val="18"/>
                <w:szCs w:val="20"/>
              </w:rPr>
              <w:t>Szczycieński</w:t>
            </w:r>
          </w:p>
        </w:tc>
        <w:tc>
          <w:tcPr>
            <w:tcW w:w="987" w:type="dxa"/>
            <w:tcBorders>
              <w:top w:val="single" w:sz="4" w:space="0" w:color="808080" w:themeColor="background1" w:themeShade="80"/>
              <w:left w:val="nil"/>
              <w:bottom w:val="single" w:sz="4" w:space="0" w:color="808080" w:themeColor="background1" w:themeShade="80"/>
              <w:right w:val="nil"/>
            </w:tcBorders>
            <w:vAlign w:val="center"/>
            <w:hideMark/>
          </w:tcPr>
          <w:p w14:paraId="7BE4ED68" w14:textId="77777777" w:rsidR="00077C83" w:rsidRPr="00962762" w:rsidRDefault="00077C83" w:rsidP="00962762">
            <w:pPr>
              <w:jc w:val="center"/>
              <w:rPr>
                <w:rFonts w:asciiTheme="majorHAnsi" w:hAnsiTheme="majorHAnsi" w:cstheme="majorHAnsi"/>
                <w:sz w:val="18"/>
                <w:szCs w:val="20"/>
              </w:rPr>
            </w:pPr>
            <w:r w:rsidRPr="00962762">
              <w:rPr>
                <w:rFonts w:asciiTheme="majorHAnsi" w:hAnsiTheme="majorHAnsi" w:cstheme="majorHAnsi"/>
                <w:sz w:val="18"/>
                <w:szCs w:val="20"/>
              </w:rPr>
              <w:t>2</w:t>
            </w:r>
          </w:p>
        </w:tc>
      </w:tr>
      <w:tr w:rsidR="00077C83" w:rsidRPr="00962762" w14:paraId="5259A23E" w14:textId="77777777" w:rsidTr="00962762">
        <w:trPr>
          <w:trHeight w:val="20"/>
        </w:trPr>
        <w:tc>
          <w:tcPr>
            <w:tcW w:w="2263" w:type="dxa"/>
            <w:vMerge/>
            <w:tcBorders>
              <w:top w:val="single" w:sz="4" w:space="0" w:color="FFFFFF" w:themeColor="background1"/>
              <w:left w:val="single" w:sz="4" w:space="0" w:color="FFFFFF" w:themeColor="background1"/>
              <w:bottom w:val="single" w:sz="4" w:space="0" w:color="FFFFFF" w:themeColor="background1"/>
              <w:right w:val="nil"/>
            </w:tcBorders>
            <w:shd w:val="clear" w:color="auto" w:fill="DEEAF6" w:themeFill="accent1" w:themeFillTint="33"/>
            <w:vAlign w:val="center"/>
            <w:hideMark/>
          </w:tcPr>
          <w:p w14:paraId="4C397006" w14:textId="77777777" w:rsidR="00077C83" w:rsidRPr="00962762" w:rsidRDefault="00077C83" w:rsidP="00962762">
            <w:pPr>
              <w:rPr>
                <w:rFonts w:asciiTheme="majorHAnsi" w:hAnsiTheme="majorHAnsi" w:cstheme="majorHAnsi"/>
                <w:sz w:val="18"/>
                <w:szCs w:val="20"/>
              </w:rPr>
            </w:pPr>
          </w:p>
        </w:tc>
        <w:tc>
          <w:tcPr>
            <w:tcW w:w="4536" w:type="dxa"/>
            <w:vMerge w:val="restart"/>
            <w:tcBorders>
              <w:top w:val="single" w:sz="4" w:space="0" w:color="808080" w:themeColor="background1" w:themeShade="80"/>
              <w:left w:val="nil"/>
              <w:bottom w:val="single" w:sz="4" w:space="0" w:color="808080" w:themeColor="background1" w:themeShade="80"/>
              <w:right w:val="nil"/>
            </w:tcBorders>
            <w:vAlign w:val="center"/>
            <w:hideMark/>
          </w:tcPr>
          <w:p w14:paraId="528B63A8" w14:textId="35A8859F" w:rsidR="00077C83" w:rsidRPr="00962762" w:rsidRDefault="00077C83" w:rsidP="00962762">
            <w:pPr>
              <w:rPr>
                <w:rFonts w:asciiTheme="majorHAnsi" w:hAnsiTheme="majorHAnsi" w:cstheme="majorHAnsi"/>
                <w:sz w:val="18"/>
                <w:szCs w:val="20"/>
              </w:rPr>
            </w:pPr>
            <w:r w:rsidRPr="00962762">
              <w:rPr>
                <w:rFonts w:asciiTheme="majorHAnsi" w:hAnsiTheme="majorHAnsi" w:cstheme="majorHAnsi"/>
                <w:sz w:val="18"/>
                <w:szCs w:val="20"/>
              </w:rPr>
              <w:t>Liczba uczniów przypadająca na oddział</w:t>
            </w:r>
            <w:r w:rsidR="00512DE6" w:rsidRPr="00962762">
              <w:rPr>
                <w:rFonts w:asciiTheme="majorHAnsi" w:hAnsiTheme="majorHAnsi" w:cstheme="majorHAnsi"/>
                <w:sz w:val="18"/>
                <w:szCs w:val="20"/>
              </w:rPr>
              <w:t xml:space="preserve"> </w:t>
            </w:r>
            <w:r w:rsidR="0064598C">
              <w:rPr>
                <w:rFonts w:asciiTheme="majorHAnsi" w:hAnsiTheme="majorHAnsi" w:cstheme="majorHAnsi"/>
                <w:sz w:val="18"/>
                <w:szCs w:val="20"/>
              </w:rPr>
              <w:t>–</w:t>
            </w:r>
            <w:r w:rsidR="00512DE6" w:rsidRPr="00962762">
              <w:rPr>
                <w:rFonts w:asciiTheme="majorHAnsi" w:hAnsiTheme="majorHAnsi" w:cstheme="majorHAnsi"/>
                <w:sz w:val="18"/>
                <w:szCs w:val="20"/>
              </w:rPr>
              <w:t xml:space="preserve"> </w:t>
            </w:r>
            <w:r w:rsidR="0064598C">
              <w:rPr>
                <w:rFonts w:asciiTheme="majorHAnsi" w:hAnsiTheme="majorHAnsi" w:cstheme="majorHAnsi"/>
                <w:sz w:val="18"/>
                <w:szCs w:val="20"/>
              </w:rPr>
              <w:t xml:space="preserve">średnie </w:t>
            </w:r>
            <w:r w:rsidRPr="00962762">
              <w:rPr>
                <w:rFonts w:asciiTheme="majorHAnsi" w:hAnsiTheme="majorHAnsi" w:cstheme="majorHAnsi"/>
                <w:sz w:val="18"/>
                <w:szCs w:val="20"/>
              </w:rPr>
              <w:t>szkoły ogólnokształcące</w:t>
            </w:r>
          </w:p>
        </w:tc>
        <w:tc>
          <w:tcPr>
            <w:tcW w:w="1276" w:type="dxa"/>
            <w:tcBorders>
              <w:top w:val="single" w:sz="4" w:space="0" w:color="808080" w:themeColor="background1" w:themeShade="80"/>
              <w:left w:val="nil"/>
              <w:bottom w:val="single" w:sz="4" w:space="0" w:color="808080" w:themeColor="background1" w:themeShade="80"/>
              <w:right w:val="nil"/>
            </w:tcBorders>
            <w:vAlign w:val="center"/>
            <w:hideMark/>
          </w:tcPr>
          <w:p w14:paraId="487AF6D4" w14:textId="77777777" w:rsidR="00077C83" w:rsidRPr="00962762" w:rsidRDefault="00077C83" w:rsidP="00962762">
            <w:pPr>
              <w:jc w:val="both"/>
              <w:rPr>
                <w:rFonts w:asciiTheme="majorHAnsi" w:hAnsiTheme="majorHAnsi" w:cstheme="majorHAnsi"/>
                <w:sz w:val="18"/>
                <w:szCs w:val="20"/>
              </w:rPr>
            </w:pPr>
            <w:r w:rsidRPr="00962762">
              <w:rPr>
                <w:rFonts w:asciiTheme="majorHAnsi" w:hAnsiTheme="majorHAnsi" w:cstheme="majorHAnsi"/>
                <w:sz w:val="18"/>
                <w:szCs w:val="20"/>
              </w:rPr>
              <w:t>Działdowski</w:t>
            </w:r>
          </w:p>
        </w:tc>
        <w:tc>
          <w:tcPr>
            <w:tcW w:w="987" w:type="dxa"/>
            <w:tcBorders>
              <w:top w:val="single" w:sz="4" w:space="0" w:color="808080" w:themeColor="background1" w:themeShade="80"/>
              <w:left w:val="nil"/>
              <w:bottom w:val="single" w:sz="4" w:space="0" w:color="808080" w:themeColor="background1" w:themeShade="80"/>
              <w:right w:val="nil"/>
            </w:tcBorders>
            <w:vAlign w:val="center"/>
            <w:hideMark/>
          </w:tcPr>
          <w:p w14:paraId="305BF1D7" w14:textId="77777777" w:rsidR="00077C83" w:rsidRPr="00962762" w:rsidRDefault="00077C83" w:rsidP="00962762">
            <w:pPr>
              <w:jc w:val="center"/>
              <w:rPr>
                <w:rFonts w:asciiTheme="majorHAnsi" w:hAnsiTheme="majorHAnsi" w:cstheme="majorHAnsi"/>
                <w:sz w:val="18"/>
                <w:szCs w:val="20"/>
              </w:rPr>
            </w:pPr>
            <w:r w:rsidRPr="00962762">
              <w:rPr>
                <w:rFonts w:asciiTheme="majorHAnsi" w:hAnsiTheme="majorHAnsi" w:cstheme="majorHAnsi"/>
                <w:sz w:val="18"/>
                <w:szCs w:val="20"/>
              </w:rPr>
              <w:t>4</w:t>
            </w:r>
          </w:p>
        </w:tc>
      </w:tr>
      <w:tr w:rsidR="00077C83" w:rsidRPr="00962762" w14:paraId="571D52ED" w14:textId="77777777" w:rsidTr="00962762">
        <w:trPr>
          <w:trHeight w:val="20"/>
        </w:trPr>
        <w:tc>
          <w:tcPr>
            <w:tcW w:w="2263" w:type="dxa"/>
            <w:vMerge/>
            <w:tcBorders>
              <w:top w:val="single" w:sz="4" w:space="0" w:color="FFFFFF" w:themeColor="background1"/>
              <w:left w:val="single" w:sz="4" w:space="0" w:color="FFFFFF" w:themeColor="background1"/>
              <w:bottom w:val="single" w:sz="4" w:space="0" w:color="FFFFFF" w:themeColor="background1"/>
              <w:right w:val="nil"/>
            </w:tcBorders>
            <w:shd w:val="clear" w:color="auto" w:fill="DEEAF6" w:themeFill="accent1" w:themeFillTint="33"/>
            <w:vAlign w:val="center"/>
            <w:hideMark/>
          </w:tcPr>
          <w:p w14:paraId="53B1F5E5" w14:textId="77777777" w:rsidR="00077C83" w:rsidRPr="00962762" w:rsidRDefault="00077C83" w:rsidP="00962762">
            <w:pPr>
              <w:rPr>
                <w:rFonts w:asciiTheme="majorHAnsi" w:hAnsiTheme="majorHAnsi" w:cstheme="majorHAnsi"/>
                <w:sz w:val="18"/>
                <w:szCs w:val="20"/>
              </w:rPr>
            </w:pPr>
          </w:p>
        </w:tc>
        <w:tc>
          <w:tcPr>
            <w:tcW w:w="4536" w:type="dxa"/>
            <w:vMerge/>
            <w:tcBorders>
              <w:top w:val="single" w:sz="4" w:space="0" w:color="808080" w:themeColor="background1" w:themeShade="80"/>
              <w:left w:val="nil"/>
              <w:bottom w:val="single" w:sz="4" w:space="0" w:color="808080" w:themeColor="background1" w:themeShade="80"/>
              <w:right w:val="nil"/>
            </w:tcBorders>
            <w:vAlign w:val="center"/>
            <w:hideMark/>
          </w:tcPr>
          <w:p w14:paraId="6D333612" w14:textId="77777777" w:rsidR="00077C83" w:rsidRPr="00962762" w:rsidRDefault="00077C83" w:rsidP="00962762">
            <w:pPr>
              <w:rPr>
                <w:rFonts w:asciiTheme="majorHAnsi" w:hAnsiTheme="majorHAnsi" w:cstheme="majorHAnsi"/>
                <w:sz w:val="18"/>
                <w:szCs w:val="20"/>
              </w:rPr>
            </w:pPr>
          </w:p>
        </w:tc>
        <w:tc>
          <w:tcPr>
            <w:tcW w:w="1276" w:type="dxa"/>
            <w:tcBorders>
              <w:top w:val="single" w:sz="4" w:space="0" w:color="808080" w:themeColor="background1" w:themeShade="80"/>
              <w:left w:val="nil"/>
              <w:bottom w:val="single" w:sz="4" w:space="0" w:color="808080" w:themeColor="background1" w:themeShade="80"/>
              <w:right w:val="nil"/>
            </w:tcBorders>
            <w:vAlign w:val="center"/>
            <w:hideMark/>
          </w:tcPr>
          <w:p w14:paraId="60AE2F3F" w14:textId="77777777" w:rsidR="00077C83" w:rsidRPr="00962762" w:rsidRDefault="00077C83" w:rsidP="00962762">
            <w:pPr>
              <w:jc w:val="both"/>
              <w:rPr>
                <w:rFonts w:asciiTheme="majorHAnsi" w:hAnsiTheme="majorHAnsi" w:cstheme="majorHAnsi"/>
                <w:sz w:val="18"/>
                <w:szCs w:val="20"/>
              </w:rPr>
            </w:pPr>
            <w:r w:rsidRPr="00962762">
              <w:rPr>
                <w:rFonts w:asciiTheme="majorHAnsi" w:hAnsiTheme="majorHAnsi" w:cstheme="majorHAnsi"/>
                <w:sz w:val="18"/>
                <w:szCs w:val="20"/>
              </w:rPr>
              <w:t>Nidzicki</w:t>
            </w:r>
          </w:p>
        </w:tc>
        <w:tc>
          <w:tcPr>
            <w:tcW w:w="987" w:type="dxa"/>
            <w:tcBorders>
              <w:top w:val="single" w:sz="4" w:space="0" w:color="808080" w:themeColor="background1" w:themeShade="80"/>
              <w:left w:val="nil"/>
              <w:bottom w:val="single" w:sz="4" w:space="0" w:color="808080" w:themeColor="background1" w:themeShade="80"/>
              <w:right w:val="nil"/>
            </w:tcBorders>
            <w:vAlign w:val="center"/>
            <w:hideMark/>
          </w:tcPr>
          <w:p w14:paraId="15577482" w14:textId="77777777" w:rsidR="00077C83" w:rsidRPr="00962762" w:rsidRDefault="00077C83" w:rsidP="00962762">
            <w:pPr>
              <w:jc w:val="center"/>
              <w:rPr>
                <w:rFonts w:asciiTheme="majorHAnsi" w:hAnsiTheme="majorHAnsi" w:cstheme="majorHAnsi"/>
                <w:sz w:val="18"/>
                <w:szCs w:val="20"/>
              </w:rPr>
            </w:pPr>
            <w:r w:rsidRPr="00962762">
              <w:rPr>
                <w:rFonts w:asciiTheme="majorHAnsi" w:hAnsiTheme="majorHAnsi" w:cstheme="majorHAnsi"/>
                <w:sz w:val="18"/>
                <w:szCs w:val="20"/>
              </w:rPr>
              <w:t>1</w:t>
            </w:r>
          </w:p>
        </w:tc>
      </w:tr>
      <w:tr w:rsidR="00077C83" w:rsidRPr="00962762" w14:paraId="4FC87E5D" w14:textId="77777777" w:rsidTr="00962762">
        <w:trPr>
          <w:trHeight w:val="20"/>
        </w:trPr>
        <w:tc>
          <w:tcPr>
            <w:tcW w:w="2263" w:type="dxa"/>
            <w:vMerge/>
            <w:tcBorders>
              <w:top w:val="single" w:sz="4" w:space="0" w:color="FFFFFF" w:themeColor="background1"/>
              <w:left w:val="single" w:sz="4" w:space="0" w:color="FFFFFF" w:themeColor="background1"/>
              <w:bottom w:val="single" w:sz="4" w:space="0" w:color="FFFFFF" w:themeColor="background1"/>
              <w:right w:val="nil"/>
            </w:tcBorders>
            <w:shd w:val="clear" w:color="auto" w:fill="DEEAF6" w:themeFill="accent1" w:themeFillTint="33"/>
            <w:vAlign w:val="center"/>
            <w:hideMark/>
          </w:tcPr>
          <w:p w14:paraId="1B0334AD" w14:textId="77777777" w:rsidR="00077C83" w:rsidRPr="00962762" w:rsidRDefault="00077C83" w:rsidP="00962762">
            <w:pPr>
              <w:rPr>
                <w:rFonts w:asciiTheme="majorHAnsi" w:hAnsiTheme="majorHAnsi" w:cstheme="majorHAnsi"/>
                <w:sz w:val="18"/>
                <w:szCs w:val="20"/>
              </w:rPr>
            </w:pPr>
          </w:p>
        </w:tc>
        <w:tc>
          <w:tcPr>
            <w:tcW w:w="4536" w:type="dxa"/>
            <w:vMerge/>
            <w:tcBorders>
              <w:top w:val="single" w:sz="4" w:space="0" w:color="808080" w:themeColor="background1" w:themeShade="80"/>
              <w:left w:val="nil"/>
              <w:bottom w:val="single" w:sz="4" w:space="0" w:color="808080" w:themeColor="background1" w:themeShade="80"/>
              <w:right w:val="nil"/>
            </w:tcBorders>
            <w:vAlign w:val="center"/>
            <w:hideMark/>
          </w:tcPr>
          <w:p w14:paraId="65089DDF" w14:textId="77777777" w:rsidR="00077C83" w:rsidRPr="00962762" w:rsidRDefault="00077C83" w:rsidP="00962762">
            <w:pPr>
              <w:rPr>
                <w:rFonts w:asciiTheme="majorHAnsi" w:hAnsiTheme="majorHAnsi" w:cstheme="majorHAnsi"/>
                <w:sz w:val="18"/>
                <w:szCs w:val="20"/>
              </w:rPr>
            </w:pPr>
          </w:p>
        </w:tc>
        <w:tc>
          <w:tcPr>
            <w:tcW w:w="1276" w:type="dxa"/>
            <w:tcBorders>
              <w:top w:val="single" w:sz="4" w:space="0" w:color="808080" w:themeColor="background1" w:themeShade="80"/>
              <w:left w:val="nil"/>
              <w:bottom w:val="single" w:sz="4" w:space="0" w:color="808080" w:themeColor="background1" w:themeShade="80"/>
              <w:right w:val="nil"/>
            </w:tcBorders>
            <w:vAlign w:val="center"/>
            <w:hideMark/>
          </w:tcPr>
          <w:p w14:paraId="169D69BA" w14:textId="77777777" w:rsidR="00077C83" w:rsidRPr="00962762" w:rsidRDefault="00077C83" w:rsidP="00962762">
            <w:pPr>
              <w:jc w:val="both"/>
              <w:rPr>
                <w:rFonts w:asciiTheme="majorHAnsi" w:hAnsiTheme="majorHAnsi" w:cstheme="majorHAnsi"/>
                <w:sz w:val="18"/>
                <w:szCs w:val="20"/>
              </w:rPr>
            </w:pPr>
            <w:r w:rsidRPr="00962762">
              <w:rPr>
                <w:rFonts w:asciiTheme="majorHAnsi" w:hAnsiTheme="majorHAnsi" w:cstheme="majorHAnsi"/>
                <w:sz w:val="18"/>
                <w:szCs w:val="20"/>
              </w:rPr>
              <w:t>Piski</w:t>
            </w:r>
          </w:p>
        </w:tc>
        <w:tc>
          <w:tcPr>
            <w:tcW w:w="987" w:type="dxa"/>
            <w:tcBorders>
              <w:top w:val="single" w:sz="4" w:space="0" w:color="808080" w:themeColor="background1" w:themeShade="80"/>
              <w:left w:val="nil"/>
              <w:bottom w:val="single" w:sz="4" w:space="0" w:color="808080" w:themeColor="background1" w:themeShade="80"/>
              <w:right w:val="nil"/>
            </w:tcBorders>
            <w:vAlign w:val="center"/>
            <w:hideMark/>
          </w:tcPr>
          <w:p w14:paraId="2FEDC5C2" w14:textId="77777777" w:rsidR="00077C83" w:rsidRPr="00962762" w:rsidRDefault="00077C83" w:rsidP="00962762">
            <w:pPr>
              <w:jc w:val="center"/>
              <w:rPr>
                <w:rFonts w:asciiTheme="majorHAnsi" w:hAnsiTheme="majorHAnsi" w:cstheme="majorHAnsi"/>
                <w:sz w:val="18"/>
                <w:szCs w:val="20"/>
              </w:rPr>
            </w:pPr>
            <w:r w:rsidRPr="00962762">
              <w:rPr>
                <w:rFonts w:asciiTheme="majorHAnsi" w:hAnsiTheme="majorHAnsi" w:cstheme="majorHAnsi"/>
                <w:sz w:val="18"/>
                <w:szCs w:val="20"/>
              </w:rPr>
              <w:t>2</w:t>
            </w:r>
          </w:p>
        </w:tc>
      </w:tr>
      <w:tr w:rsidR="00077C83" w:rsidRPr="00962762" w14:paraId="29A51DAF" w14:textId="77777777" w:rsidTr="00962762">
        <w:trPr>
          <w:trHeight w:val="20"/>
        </w:trPr>
        <w:tc>
          <w:tcPr>
            <w:tcW w:w="2263" w:type="dxa"/>
            <w:vMerge/>
            <w:tcBorders>
              <w:top w:val="single" w:sz="4" w:space="0" w:color="FFFFFF" w:themeColor="background1"/>
              <w:left w:val="single" w:sz="4" w:space="0" w:color="FFFFFF" w:themeColor="background1"/>
              <w:bottom w:val="single" w:sz="4" w:space="0" w:color="FFFFFF" w:themeColor="background1"/>
              <w:right w:val="nil"/>
            </w:tcBorders>
            <w:shd w:val="clear" w:color="auto" w:fill="DEEAF6" w:themeFill="accent1" w:themeFillTint="33"/>
            <w:vAlign w:val="center"/>
            <w:hideMark/>
          </w:tcPr>
          <w:p w14:paraId="59A49C49" w14:textId="77777777" w:rsidR="00077C83" w:rsidRPr="00962762" w:rsidRDefault="00077C83" w:rsidP="00962762">
            <w:pPr>
              <w:rPr>
                <w:rFonts w:asciiTheme="majorHAnsi" w:hAnsiTheme="majorHAnsi" w:cstheme="majorHAnsi"/>
                <w:sz w:val="18"/>
                <w:szCs w:val="20"/>
              </w:rPr>
            </w:pPr>
          </w:p>
        </w:tc>
        <w:tc>
          <w:tcPr>
            <w:tcW w:w="4536" w:type="dxa"/>
            <w:vMerge/>
            <w:tcBorders>
              <w:top w:val="single" w:sz="4" w:space="0" w:color="808080" w:themeColor="background1" w:themeShade="80"/>
              <w:left w:val="nil"/>
              <w:bottom w:val="single" w:sz="4" w:space="0" w:color="808080" w:themeColor="background1" w:themeShade="80"/>
              <w:right w:val="nil"/>
            </w:tcBorders>
            <w:vAlign w:val="center"/>
            <w:hideMark/>
          </w:tcPr>
          <w:p w14:paraId="1B0C88F1" w14:textId="77777777" w:rsidR="00077C83" w:rsidRPr="00962762" w:rsidRDefault="00077C83" w:rsidP="00962762">
            <w:pPr>
              <w:rPr>
                <w:rFonts w:asciiTheme="majorHAnsi" w:hAnsiTheme="majorHAnsi" w:cstheme="majorHAnsi"/>
                <w:sz w:val="18"/>
                <w:szCs w:val="20"/>
              </w:rPr>
            </w:pPr>
          </w:p>
        </w:tc>
        <w:tc>
          <w:tcPr>
            <w:tcW w:w="1276" w:type="dxa"/>
            <w:tcBorders>
              <w:top w:val="single" w:sz="4" w:space="0" w:color="808080" w:themeColor="background1" w:themeShade="80"/>
              <w:left w:val="nil"/>
              <w:bottom w:val="single" w:sz="4" w:space="0" w:color="808080" w:themeColor="background1" w:themeShade="80"/>
              <w:right w:val="nil"/>
            </w:tcBorders>
            <w:vAlign w:val="center"/>
            <w:hideMark/>
          </w:tcPr>
          <w:p w14:paraId="4AEE5905" w14:textId="77777777" w:rsidR="00077C83" w:rsidRPr="00962762" w:rsidRDefault="00077C83" w:rsidP="00962762">
            <w:pPr>
              <w:jc w:val="both"/>
              <w:rPr>
                <w:rFonts w:asciiTheme="majorHAnsi" w:hAnsiTheme="majorHAnsi" w:cstheme="majorHAnsi"/>
                <w:sz w:val="18"/>
                <w:szCs w:val="20"/>
              </w:rPr>
            </w:pPr>
            <w:r w:rsidRPr="00962762">
              <w:rPr>
                <w:rFonts w:asciiTheme="majorHAnsi" w:hAnsiTheme="majorHAnsi" w:cstheme="majorHAnsi"/>
                <w:sz w:val="18"/>
                <w:szCs w:val="20"/>
              </w:rPr>
              <w:t>Szczycieński</w:t>
            </w:r>
          </w:p>
        </w:tc>
        <w:tc>
          <w:tcPr>
            <w:tcW w:w="987" w:type="dxa"/>
            <w:tcBorders>
              <w:top w:val="single" w:sz="4" w:space="0" w:color="808080" w:themeColor="background1" w:themeShade="80"/>
              <w:left w:val="nil"/>
              <w:bottom w:val="single" w:sz="4" w:space="0" w:color="808080" w:themeColor="background1" w:themeShade="80"/>
              <w:right w:val="nil"/>
            </w:tcBorders>
            <w:vAlign w:val="center"/>
            <w:hideMark/>
          </w:tcPr>
          <w:p w14:paraId="34D9FBFE" w14:textId="77777777" w:rsidR="00077C83" w:rsidRPr="00962762" w:rsidRDefault="00077C83" w:rsidP="00962762">
            <w:pPr>
              <w:jc w:val="center"/>
              <w:rPr>
                <w:rFonts w:asciiTheme="majorHAnsi" w:hAnsiTheme="majorHAnsi" w:cstheme="majorHAnsi"/>
                <w:sz w:val="18"/>
                <w:szCs w:val="20"/>
              </w:rPr>
            </w:pPr>
            <w:r w:rsidRPr="00962762">
              <w:rPr>
                <w:rFonts w:asciiTheme="majorHAnsi" w:hAnsiTheme="majorHAnsi" w:cstheme="majorHAnsi"/>
                <w:sz w:val="18"/>
                <w:szCs w:val="20"/>
              </w:rPr>
              <w:t>4</w:t>
            </w:r>
          </w:p>
        </w:tc>
      </w:tr>
      <w:tr w:rsidR="00077C83" w:rsidRPr="00962762" w14:paraId="58B98088" w14:textId="77777777" w:rsidTr="00962762">
        <w:trPr>
          <w:trHeight w:val="20"/>
        </w:trPr>
        <w:tc>
          <w:tcPr>
            <w:tcW w:w="2263" w:type="dxa"/>
            <w:vMerge w:val="restart"/>
            <w:tcBorders>
              <w:top w:val="single" w:sz="4" w:space="0" w:color="FFFFFF" w:themeColor="background1"/>
              <w:left w:val="single" w:sz="4" w:space="0" w:color="FFFFFF" w:themeColor="background1"/>
              <w:bottom w:val="single" w:sz="4" w:space="0" w:color="FFFFFF" w:themeColor="background1"/>
              <w:right w:val="nil"/>
            </w:tcBorders>
            <w:shd w:val="clear" w:color="auto" w:fill="DEEAF6" w:themeFill="accent1" w:themeFillTint="33"/>
            <w:vAlign w:val="center"/>
            <w:hideMark/>
          </w:tcPr>
          <w:p w14:paraId="3E709752" w14:textId="77777777" w:rsidR="00077C83" w:rsidRPr="00962762" w:rsidRDefault="00077C83" w:rsidP="00962762">
            <w:pPr>
              <w:jc w:val="both"/>
              <w:rPr>
                <w:rFonts w:asciiTheme="majorHAnsi" w:hAnsiTheme="majorHAnsi" w:cstheme="majorHAnsi"/>
                <w:sz w:val="18"/>
                <w:szCs w:val="20"/>
              </w:rPr>
            </w:pPr>
            <w:r w:rsidRPr="00962762">
              <w:rPr>
                <w:rFonts w:asciiTheme="majorHAnsi" w:hAnsiTheme="majorHAnsi" w:cstheme="majorHAnsi"/>
                <w:sz w:val="18"/>
                <w:szCs w:val="20"/>
              </w:rPr>
              <w:t>Gospodarka i rynek pracy</w:t>
            </w:r>
          </w:p>
        </w:tc>
        <w:tc>
          <w:tcPr>
            <w:tcW w:w="4536" w:type="dxa"/>
            <w:vMerge w:val="restart"/>
            <w:tcBorders>
              <w:top w:val="single" w:sz="4" w:space="0" w:color="808080" w:themeColor="background1" w:themeShade="80"/>
              <w:left w:val="nil"/>
              <w:bottom w:val="single" w:sz="4" w:space="0" w:color="808080" w:themeColor="background1" w:themeShade="80"/>
              <w:right w:val="nil"/>
            </w:tcBorders>
            <w:vAlign w:val="center"/>
            <w:hideMark/>
          </w:tcPr>
          <w:p w14:paraId="0069E8FA" w14:textId="77777777" w:rsidR="00077C83" w:rsidRPr="00962762" w:rsidRDefault="00077C83" w:rsidP="00962762">
            <w:pPr>
              <w:rPr>
                <w:rFonts w:asciiTheme="majorHAnsi" w:hAnsiTheme="majorHAnsi" w:cstheme="majorHAnsi"/>
                <w:sz w:val="18"/>
                <w:szCs w:val="20"/>
              </w:rPr>
            </w:pPr>
            <w:r w:rsidRPr="00962762">
              <w:rPr>
                <w:rFonts w:asciiTheme="majorHAnsi" w:hAnsiTheme="majorHAnsi" w:cstheme="majorHAnsi"/>
                <w:sz w:val="18"/>
                <w:szCs w:val="20"/>
              </w:rPr>
              <w:t>Podmioty gospodarcze na 1000 ludności w wieku produkcyjnym</w:t>
            </w:r>
          </w:p>
        </w:tc>
        <w:tc>
          <w:tcPr>
            <w:tcW w:w="1276" w:type="dxa"/>
            <w:tcBorders>
              <w:top w:val="single" w:sz="4" w:space="0" w:color="808080" w:themeColor="background1" w:themeShade="80"/>
              <w:left w:val="nil"/>
              <w:bottom w:val="single" w:sz="4" w:space="0" w:color="808080" w:themeColor="background1" w:themeShade="80"/>
              <w:right w:val="nil"/>
            </w:tcBorders>
            <w:vAlign w:val="center"/>
            <w:hideMark/>
          </w:tcPr>
          <w:p w14:paraId="7A1B7D88" w14:textId="77777777" w:rsidR="00077C83" w:rsidRPr="00962762" w:rsidRDefault="00077C83" w:rsidP="00962762">
            <w:pPr>
              <w:jc w:val="both"/>
              <w:rPr>
                <w:rFonts w:asciiTheme="majorHAnsi" w:hAnsiTheme="majorHAnsi" w:cstheme="majorHAnsi"/>
                <w:sz w:val="18"/>
                <w:szCs w:val="20"/>
              </w:rPr>
            </w:pPr>
            <w:r w:rsidRPr="00962762">
              <w:rPr>
                <w:rFonts w:asciiTheme="majorHAnsi" w:hAnsiTheme="majorHAnsi" w:cstheme="majorHAnsi"/>
                <w:sz w:val="18"/>
                <w:szCs w:val="20"/>
              </w:rPr>
              <w:t>Działdowski</w:t>
            </w:r>
          </w:p>
        </w:tc>
        <w:tc>
          <w:tcPr>
            <w:tcW w:w="987" w:type="dxa"/>
            <w:tcBorders>
              <w:top w:val="single" w:sz="4" w:space="0" w:color="808080" w:themeColor="background1" w:themeShade="80"/>
              <w:left w:val="nil"/>
              <w:bottom w:val="single" w:sz="4" w:space="0" w:color="808080" w:themeColor="background1" w:themeShade="80"/>
              <w:right w:val="nil"/>
            </w:tcBorders>
            <w:vAlign w:val="center"/>
            <w:hideMark/>
          </w:tcPr>
          <w:p w14:paraId="0BABCBE3" w14:textId="77777777" w:rsidR="00077C83" w:rsidRPr="00962762" w:rsidRDefault="00077C83" w:rsidP="00962762">
            <w:pPr>
              <w:jc w:val="center"/>
              <w:rPr>
                <w:rFonts w:asciiTheme="majorHAnsi" w:hAnsiTheme="majorHAnsi" w:cstheme="majorHAnsi"/>
                <w:sz w:val="18"/>
                <w:szCs w:val="20"/>
              </w:rPr>
            </w:pPr>
            <w:r w:rsidRPr="00962762">
              <w:rPr>
                <w:rFonts w:asciiTheme="majorHAnsi" w:hAnsiTheme="majorHAnsi" w:cstheme="majorHAnsi"/>
                <w:sz w:val="18"/>
                <w:szCs w:val="20"/>
              </w:rPr>
              <w:t>4</w:t>
            </w:r>
          </w:p>
        </w:tc>
      </w:tr>
      <w:tr w:rsidR="00077C83" w:rsidRPr="00962762" w14:paraId="70579925" w14:textId="77777777" w:rsidTr="00962762">
        <w:trPr>
          <w:trHeight w:val="20"/>
        </w:trPr>
        <w:tc>
          <w:tcPr>
            <w:tcW w:w="2263" w:type="dxa"/>
            <w:vMerge/>
            <w:tcBorders>
              <w:top w:val="single" w:sz="4" w:space="0" w:color="FFFFFF" w:themeColor="background1"/>
              <w:left w:val="single" w:sz="4" w:space="0" w:color="FFFFFF" w:themeColor="background1"/>
              <w:bottom w:val="single" w:sz="4" w:space="0" w:color="FFFFFF" w:themeColor="background1"/>
              <w:right w:val="nil"/>
            </w:tcBorders>
            <w:shd w:val="clear" w:color="auto" w:fill="DEEAF6" w:themeFill="accent1" w:themeFillTint="33"/>
            <w:vAlign w:val="center"/>
            <w:hideMark/>
          </w:tcPr>
          <w:p w14:paraId="5F84BCAB" w14:textId="77777777" w:rsidR="00077C83" w:rsidRPr="00962762" w:rsidRDefault="00077C83" w:rsidP="00962762">
            <w:pPr>
              <w:rPr>
                <w:rFonts w:asciiTheme="majorHAnsi" w:hAnsiTheme="majorHAnsi" w:cstheme="majorHAnsi"/>
                <w:sz w:val="18"/>
                <w:szCs w:val="20"/>
              </w:rPr>
            </w:pPr>
          </w:p>
        </w:tc>
        <w:tc>
          <w:tcPr>
            <w:tcW w:w="4536" w:type="dxa"/>
            <w:vMerge/>
            <w:tcBorders>
              <w:top w:val="single" w:sz="4" w:space="0" w:color="808080" w:themeColor="background1" w:themeShade="80"/>
              <w:left w:val="nil"/>
              <w:bottom w:val="single" w:sz="4" w:space="0" w:color="808080" w:themeColor="background1" w:themeShade="80"/>
              <w:right w:val="nil"/>
            </w:tcBorders>
            <w:vAlign w:val="center"/>
            <w:hideMark/>
          </w:tcPr>
          <w:p w14:paraId="0246CF1B" w14:textId="77777777" w:rsidR="00077C83" w:rsidRPr="00962762" w:rsidRDefault="00077C83" w:rsidP="00962762">
            <w:pPr>
              <w:rPr>
                <w:rFonts w:asciiTheme="majorHAnsi" w:hAnsiTheme="majorHAnsi" w:cstheme="majorHAnsi"/>
                <w:sz w:val="18"/>
                <w:szCs w:val="20"/>
              </w:rPr>
            </w:pPr>
          </w:p>
        </w:tc>
        <w:tc>
          <w:tcPr>
            <w:tcW w:w="1276" w:type="dxa"/>
            <w:tcBorders>
              <w:top w:val="single" w:sz="4" w:space="0" w:color="808080" w:themeColor="background1" w:themeShade="80"/>
              <w:left w:val="nil"/>
              <w:bottom w:val="single" w:sz="4" w:space="0" w:color="808080" w:themeColor="background1" w:themeShade="80"/>
              <w:right w:val="nil"/>
            </w:tcBorders>
            <w:vAlign w:val="center"/>
            <w:hideMark/>
          </w:tcPr>
          <w:p w14:paraId="7183F042" w14:textId="77777777" w:rsidR="00077C83" w:rsidRPr="00962762" w:rsidRDefault="00077C83" w:rsidP="00962762">
            <w:pPr>
              <w:jc w:val="both"/>
              <w:rPr>
                <w:rFonts w:asciiTheme="majorHAnsi" w:hAnsiTheme="majorHAnsi" w:cstheme="majorHAnsi"/>
                <w:sz w:val="18"/>
                <w:szCs w:val="20"/>
              </w:rPr>
            </w:pPr>
            <w:r w:rsidRPr="00962762">
              <w:rPr>
                <w:rFonts w:asciiTheme="majorHAnsi" w:hAnsiTheme="majorHAnsi" w:cstheme="majorHAnsi"/>
                <w:sz w:val="18"/>
                <w:szCs w:val="20"/>
              </w:rPr>
              <w:t>Nidzicki</w:t>
            </w:r>
          </w:p>
        </w:tc>
        <w:tc>
          <w:tcPr>
            <w:tcW w:w="987" w:type="dxa"/>
            <w:tcBorders>
              <w:top w:val="single" w:sz="4" w:space="0" w:color="808080" w:themeColor="background1" w:themeShade="80"/>
              <w:left w:val="nil"/>
              <w:bottom w:val="single" w:sz="4" w:space="0" w:color="808080" w:themeColor="background1" w:themeShade="80"/>
              <w:right w:val="nil"/>
            </w:tcBorders>
            <w:vAlign w:val="center"/>
            <w:hideMark/>
          </w:tcPr>
          <w:p w14:paraId="6DA50FAF" w14:textId="77777777" w:rsidR="00077C83" w:rsidRPr="00962762" w:rsidRDefault="00077C83" w:rsidP="00962762">
            <w:pPr>
              <w:jc w:val="center"/>
              <w:rPr>
                <w:rFonts w:asciiTheme="majorHAnsi" w:hAnsiTheme="majorHAnsi" w:cstheme="majorHAnsi"/>
                <w:sz w:val="18"/>
                <w:szCs w:val="20"/>
              </w:rPr>
            </w:pPr>
            <w:r w:rsidRPr="00962762">
              <w:rPr>
                <w:rFonts w:asciiTheme="majorHAnsi" w:hAnsiTheme="majorHAnsi" w:cstheme="majorHAnsi"/>
                <w:sz w:val="18"/>
                <w:szCs w:val="20"/>
              </w:rPr>
              <w:t>3</w:t>
            </w:r>
          </w:p>
        </w:tc>
      </w:tr>
      <w:tr w:rsidR="00077C83" w:rsidRPr="00962762" w14:paraId="17362536" w14:textId="77777777" w:rsidTr="00962762">
        <w:trPr>
          <w:trHeight w:val="20"/>
        </w:trPr>
        <w:tc>
          <w:tcPr>
            <w:tcW w:w="2263" w:type="dxa"/>
            <w:vMerge/>
            <w:tcBorders>
              <w:top w:val="single" w:sz="4" w:space="0" w:color="FFFFFF" w:themeColor="background1"/>
              <w:left w:val="single" w:sz="4" w:space="0" w:color="FFFFFF" w:themeColor="background1"/>
              <w:bottom w:val="single" w:sz="4" w:space="0" w:color="FFFFFF" w:themeColor="background1"/>
              <w:right w:val="nil"/>
            </w:tcBorders>
            <w:shd w:val="clear" w:color="auto" w:fill="DEEAF6" w:themeFill="accent1" w:themeFillTint="33"/>
            <w:vAlign w:val="center"/>
            <w:hideMark/>
          </w:tcPr>
          <w:p w14:paraId="6B9B01EC" w14:textId="77777777" w:rsidR="00077C83" w:rsidRPr="00962762" w:rsidRDefault="00077C83" w:rsidP="00962762">
            <w:pPr>
              <w:rPr>
                <w:rFonts w:asciiTheme="majorHAnsi" w:hAnsiTheme="majorHAnsi" w:cstheme="majorHAnsi"/>
                <w:sz w:val="18"/>
                <w:szCs w:val="20"/>
              </w:rPr>
            </w:pPr>
          </w:p>
        </w:tc>
        <w:tc>
          <w:tcPr>
            <w:tcW w:w="4536" w:type="dxa"/>
            <w:vMerge/>
            <w:tcBorders>
              <w:top w:val="single" w:sz="4" w:space="0" w:color="808080" w:themeColor="background1" w:themeShade="80"/>
              <w:left w:val="nil"/>
              <w:bottom w:val="single" w:sz="4" w:space="0" w:color="808080" w:themeColor="background1" w:themeShade="80"/>
              <w:right w:val="nil"/>
            </w:tcBorders>
            <w:vAlign w:val="center"/>
            <w:hideMark/>
          </w:tcPr>
          <w:p w14:paraId="34A5A0B6" w14:textId="77777777" w:rsidR="00077C83" w:rsidRPr="00962762" w:rsidRDefault="00077C83" w:rsidP="00962762">
            <w:pPr>
              <w:rPr>
                <w:rFonts w:asciiTheme="majorHAnsi" w:hAnsiTheme="majorHAnsi" w:cstheme="majorHAnsi"/>
                <w:sz w:val="18"/>
                <w:szCs w:val="20"/>
              </w:rPr>
            </w:pPr>
          </w:p>
        </w:tc>
        <w:tc>
          <w:tcPr>
            <w:tcW w:w="1276" w:type="dxa"/>
            <w:tcBorders>
              <w:top w:val="single" w:sz="4" w:space="0" w:color="808080" w:themeColor="background1" w:themeShade="80"/>
              <w:left w:val="nil"/>
              <w:bottom w:val="single" w:sz="4" w:space="0" w:color="808080" w:themeColor="background1" w:themeShade="80"/>
              <w:right w:val="nil"/>
            </w:tcBorders>
            <w:vAlign w:val="center"/>
            <w:hideMark/>
          </w:tcPr>
          <w:p w14:paraId="51134833" w14:textId="77777777" w:rsidR="00077C83" w:rsidRPr="00962762" w:rsidRDefault="00077C83" w:rsidP="00962762">
            <w:pPr>
              <w:jc w:val="both"/>
              <w:rPr>
                <w:rFonts w:asciiTheme="majorHAnsi" w:hAnsiTheme="majorHAnsi" w:cstheme="majorHAnsi"/>
                <w:sz w:val="18"/>
                <w:szCs w:val="20"/>
              </w:rPr>
            </w:pPr>
            <w:r w:rsidRPr="00962762">
              <w:rPr>
                <w:rFonts w:asciiTheme="majorHAnsi" w:hAnsiTheme="majorHAnsi" w:cstheme="majorHAnsi"/>
                <w:sz w:val="18"/>
                <w:szCs w:val="20"/>
              </w:rPr>
              <w:t>Piski</w:t>
            </w:r>
          </w:p>
        </w:tc>
        <w:tc>
          <w:tcPr>
            <w:tcW w:w="987" w:type="dxa"/>
            <w:tcBorders>
              <w:top w:val="single" w:sz="4" w:space="0" w:color="808080" w:themeColor="background1" w:themeShade="80"/>
              <w:left w:val="nil"/>
              <w:bottom w:val="single" w:sz="4" w:space="0" w:color="808080" w:themeColor="background1" w:themeShade="80"/>
              <w:right w:val="nil"/>
            </w:tcBorders>
            <w:vAlign w:val="center"/>
            <w:hideMark/>
          </w:tcPr>
          <w:p w14:paraId="6BC59D73" w14:textId="77777777" w:rsidR="00077C83" w:rsidRPr="00962762" w:rsidRDefault="00077C83" w:rsidP="00962762">
            <w:pPr>
              <w:jc w:val="center"/>
              <w:rPr>
                <w:rFonts w:asciiTheme="majorHAnsi" w:hAnsiTheme="majorHAnsi" w:cstheme="majorHAnsi"/>
                <w:sz w:val="18"/>
                <w:szCs w:val="20"/>
              </w:rPr>
            </w:pPr>
            <w:r w:rsidRPr="00962762">
              <w:rPr>
                <w:rFonts w:asciiTheme="majorHAnsi" w:hAnsiTheme="majorHAnsi" w:cstheme="majorHAnsi"/>
                <w:sz w:val="18"/>
                <w:szCs w:val="20"/>
              </w:rPr>
              <w:t>2</w:t>
            </w:r>
          </w:p>
        </w:tc>
      </w:tr>
      <w:tr w:rsidR="00077C83" w:rsidRPr="00962762" w14:paraId="701E2C69" w14:textId="77777777" w:rsidTr="00962762">
        <w:trPr>
          <w:trHeight w:val="20"/>
        </w:trPr>
        <w:tc>
          <w:tcPr>
            <w:tcW w:w="2263" w:type="dxa"/>
            <w:vMerge/>
            <w:tcBorders>
              <w:top w:val="single" w:sz="4" w:space="0" w:color="FFFFFF" w:themeColor="background1"/>
              <w:left w:val="single" w:sz="4" w:space="0" w:color="FFFFFF" w:themeColor="background1"/>
              <w:bottom w:val="single" w:sz="4" w:space="0" w:color="FFFFFF" w:themeColor="background1"/>
              <w:right w:val="nil"/>
            </w:tcBorders>
            <w:shd w:val="clear" w:color="auto" w:fill="DEEAF6" w:themeFill="accent1" w:themeFillTint="33"/>
            <w:vAlign w:val="center"/>
            <w:hideMark/>
          </w:tcPr>
          <w:p w14:paraId="133E59C5" w14:textId="77777777" w:rsidR="00077C83" w:rsidRPr="00962762" w:rsidRDefault="00077C83" w:rsidP="00962762">
            <w:pPr>
              <w:rPr>
                <w:rFonts w:asciiTheme="majorHAnsi" w:hAnsiTheme="majorHAnsi" w:cstheme="majorHAnsi"/>
                <w:sz w:val="18"/>
                <w:szCs w:val="20"/>
              </w:rPr>
            </w:pPr>
          </w:p>
        </w:tc>
        <w:tc>
          <w:tcPr>
            <w:tcW w:w="4536" w:type="dxa"/>
            <w:vMerge/>
            <w:tcBorders>
              <w:top w:val="single" w:sz="4" w:space="0" w:color="808080" w:themeColor="background1" w:themeShade="80"/>
              <w:left w:val="nil"/>
              <w:bottom w:val="single" w:sz="4" w:space="0" w:color="808080" w:themeColor="background1" w:themeShade="80"/>
              <w:right w:val="nil"/>
            </w:tcBorders>
            <w:vAlign w:val="center"/>
            <w:hideMark/>
          </w:tcPr>
          <w:p w14:paraId="5A06832D" w14:textId="77777777" w:rsidR="00077C83" w:rsidRPr="00962762" w:rsidRDefault="00077C83" w:rsidP="00962762">
            <w:pPr>
              <w:rPr>
                <w:rFonts w:asciiTheme="majorHAnsi" w:hAnsiTheme="majorHAnsi" w:cstheme="majorHAnsi"/>
                <w:sz w:val="18"/>
                <w:szCs w:val="20"/>
              </w:rPr>
            </w:pPr>
          </w:p>
        </w:tc>
        <w:tc>
          <w:tcPr>
            <w:tcW w:w="1276" w:type="dxa"/>
            <w:tcBorders>
              <w:top w:val="single" w:sz="4" w:space="0" w:color="808080" w:themeColor="background1" w:themeShade="80"/>
              <w:left w:val="nil"/>
              <w:bottom w:val="single" w:sz="4" w:space="0" w:color="808080" w:themeColor="background1" w:themeShade="80"/>
              <w:right w:val="nil"/>
            </w:tcBorders>
            <w:vAlign w:val="center"/>
            <w:hideMark/>
          </w:tcPr>
          <w:p w14:paraId="46E3406C" w14:textId="77777777" w:rsidR="00077C83" w:rsidRPr="00962762" w:rsidRDefault="00077C83" w:rsidP="00962762">
            <w:pPr>
              <w:jc w:val="both"/>
              <w:rPr>
                <w:rFonts w:asciiTheme="majorHAnsi" w:hAnsiTheme="majorHAnsi" w:cstheme="majorHAnsi"/>
                <w:sz w:val="18"/>
                <w:szCs w:val="20"/>
              </w:rPr>
            </w:pPr>
            <w:r w:rsidRPr="00962762">
              <w:rPr>
                <w:rFonts w:asciiTheme="majorHAnsi" w:hAnsiTheme="majorHAnsi" w:cstheme="majorHAnsi"/>
                <w:sz w:val="18"/>
                <w:szCs w:val="20"/>
              </w:rPr>
              <w:t>Szczycieński</w:t>
            </w:r>
          </w:p>
        </w:tc>
        <w:tc>
          <w:tcPr>
            <w:tcW w:w="987" w:type="dxa"/>
            <w:tcBorders>
              <w:top w:val="single" w:sz="4" w:space="0" w:color="808080" w:themeColor="background1" w:themeShade="80"/>
              <w:left w:val="nil"/>
              <w:bottom w:val="single" w:sz="4" w:space="0" w:color="808080" w:themeColor="background1" w:themeShade="80"/>
              <w:right w:val="nil"/>
            </w:tcBorders>
            <w:vAlign w:val="center"/>
            <w:hideMark/>
          </w:tcPr>
          <w:p w14:paraId="172B385E" w14:textId="77777777" w:rsidR="00077C83" w:rsidRPr="00962762" w:rsidRDefault="00077C83" w:rsidP="00962762">
            <w:pPr>
              <w:jc w:val="center"/>
              <w:rPr>
                <w:rFonts w:asciiTheme="majorHAnsi" w:hAnsiTheme="majorHAnsi" w:cstheme="majorHAnsi"/>
                <w:sz w:val="18"/>
                <w:szCs w:val="20"/>
              </w:rPr>
            </w:pPr>
            <w:r w:rsidRPr="00962762">
              <w:rPr>
                <w:rFonts w:asciiTheme="majorHAnsi" w:hAnsiTheme="majorHAnsi" w:cstheme="majorHAnsi"/>
                <w:sz w:val="18"/>
                <w:szCs w:val="20"/>
              </w:rPr>
              <w:t>1</w:t>
            </w:r>
          </w:p>
        </w:tc>
      </w:tr>
      <w:tr w:rsidR="0098755B" w:rsidRPr="00962762" w14:paraId="04D0D911" w14:textId="77777777" w:rsidTr="00962762">
        <w:trPr>
          <w:trHeight w:val="20"/>
        </w:trPr>
        <w:tc>
          <w:tcPr>
            <w:tcW w:w="2263" w:type="dxa"/>
            <w:vMerge/>
            <w:tcBorders>
              <w:top w:val="single" w:sz="4" w:space="0" w:color="FFFFFF" w:themeColor="background1"/>
              <w:left w:val="single" w:sz="4" w:space="0" w:color="FFFFFF" w:themeColor="background1"/>
              <w:bottom w:val="single" w:sz="4" w:space="0" w:color="FFFFFF" w:themeColor="background1"/>
              <w:right w:val="nil"/>
            </w:tcBorders>
            <w:shd w:val="clear" w:color="auto" w:fill="DEEAF6" w:themeFill="accent1" w:themeFillTint="33"/>
            <w:vAlign w:val="center"/>
            <w:hideMark/>
          </w:tcPr>
          <w:p w14:paraId="509AB62C" w14:textId="77777777" w:rsidR="0098755B" w:rsidRPr="00962762" w:rsidRDefault="0098755B" w:rsidP="00962762">
            <w:pPr>
              <w:rPr>
                <w:rFonts w:asciiTheme="majorHAnsi" w:hAnsiTheme="majorHAnsi" w:cstheme="majorHAnsi"/>
                <w:sz w:val="18"/>
                <w:szCs w:val="20"/>
              </w:rPr>
            </w:pPr>
          </w:p>
        </w:tc>
        <w:tc>
          <w:tcPr>
            <w:tcW w:w="4536" w:type="dxa"/>
            <w:vMerge w:val="restart"/>
            <w:tcBorders>
              <w:top w:val="single" w:sz="4" w:space="0" w:color="808080" w:themeColor="background1" w:themeShade="80"/>
              <w:left w:val="nil"/>
              <w:bottom w:val="single" w:sz="4" w:space="0" w:color="808080" w:themeColor="background1" w:themeShade="80"/>
              <w:right w:val="nil"/>
            </w:tcBorders>
            <w:vAlign w:val="center"/>
            <w:hideMark/>
          </w:tcPr>
          <w:p w14:paraId="5A4BA3E7" w14:textId="77777777" w:rsidR="0098755B" w:rsidRPr="00962762" w:rsidRDefault="0098755B" w:rsidP="00962762">
            <w:pPr>
              <w:rPr>
                <w:rFonts w:asciiTheme="majorHAnsi" w:hAnsiTheme="majorHAnsi" w:cstheme="majorHAnsi"/>
                <w:sz w:val="18"/>
                <w:szCs w:val="20"/>
              </w:rPr>
            </w:pPr>
            <w:r w:rsidRPr="00962762">
              <w:rPr>
                <w:rFonts w:asciiTheme="majorHAnsi" w:hAnsiTheme="majorHAnsi" w:cstheme="majorHAnsi"/>
                <w:sz w:val="18"/>
                <w:szCs w:val="20"/>
              </w:rPr>
              <w:t>Stopa bezrobocia</w:t>
            </w:r>
          </w:p>
        </w:tc>
        <w:tc>
          <w:tcPr>
            <w:tcW w:w="1276" w:type="dxa"/>
            <w:tcBorders>
              <w:top w:val="single" w:sz="4" w:space="0" w:color="808080" w:themeColor="background1" w:themeShade="80"/>
              <w:left w:val="nil"/>
              <w:bottom w:val="single" w:sz="4" w:space="0" w:color="808080" w:themeColor="background1" w:themeShade="80"/>
              <w:right w:val="nil"/>
            </w:tcBorders>
            <w:vAlign w:val="center"/>
            <w:hideMark/>
          </w:tcPr>
          <w:p w14:paraId="22DBC0AB" w14:textId="77777777" w:rsidR="0098755B" w:rsidRPr="00962762" w:rsidRDefault="0098755B" w:rsidP="00962762">
            <w:pPr>
              <w:jc w:val="both"/>
              <w:rPr>
                <w:rFonts w:asciiTheme="majorHAnsi" w:hAnsiTheme="majorHAnsi" w:cstheme="majorHAnsi"/>
                <w:sz w:val="18"/>
                <w:szCs w:val="20"/>
              </w:rPr>
            </w:pPr>
            <w:r w:rsidRPr="00962762">
              <w:rPr>
                <w:rFonts w:asciiTheme="majorHAnsi" w:hAnsiTheme="majorHAnsi" w:cstheme="majorHAnsi"/>
                <w:sz w:val="18"/>
                <w:szCs w:val="20"/>
              </w:rPr>
              <w:t>Działdowski</w:t>
            </w:r>
          </w:p>
        </w:tc>
        <w:tc>
          <w:tcPr>
            <w:tcW w:w="987" w:type="dxa"/>
            <w:tcBorders>
              <w:top w:val="single" w:sz="4" w:space="0" w:color="808080" w:themeColor="background1" w:themeShade="80"/>
              <w:left w:val="nil"/>
              <w:bottom w:val="single" w:sz="4" w:space="0" w:color="808080" w:themeColor="background1" w:themeShade="80"/>
              <w:right w:val="nil"/>
            </w:tcBorders>
            <w:vAlign w:val="center"/>
            <w:hideMark/>
          </w:tcPr>
          <w:p w14:paraId="637B1B3D" w14:textId="77777777" w:rsidR="0098755B" w:rsidRPr="00962762" w:rsidRDefault="0098755B" w:rsidP="00962762">
            <w:pPr>
              <w:jc w:val="center"/>
              <w:rPr>
                <w:rFonts w:asciiTheme="majorHAnsi" w:hAnsiTheme="majorHAnsi" w:cstheme="majorHAnsi"/>
                <w:sz w:val="18"/>
                <w:szCs w:val="20"/>
              </w:rPr>
            </w:pPr>
            <w:r w:rsidRPr="00962762">
              <w:rPr>
                <w:rFonts w:asciiTheme="majorHAnsi" w:hAnsiTheme="majorHAnsi" w:cstheme="majorHAnsi"/>
                <w:sz w:val="18"/>
                <w:szCs w:val="20"/>
              </w:rPr>
              <w:t>4</w:t>
            </w:r>
          </w:p>
        </w:tc>
      </w:tr>
      <w:tr w:rsidR="0098755B" w:rsidRPr="00962762" w14:paraId="0785D1F2" w14:textId="77777777" w:rsidTr="00962762">
        <w:trPr>
          <w:trHeight w:val="20"/>
        </w:trPr>
        <w:tc>
          <w:tcPr>
            <w:tcW w:w="2263" w:type="dxa"/>
            <w:vMerge/>
            <w:tcBorders>
              <w:top w:val="single" w:sz="4" w:space="0" w:color="FFFFFF" w:themeColor="background1"/>
              <w:left w:val="single" w:sz="4" w:space="0" w:color="FFFFFF" w:themeColor="background1"/>
              <w:bottom w:val="single" w:sz="4" w:space="0" w:color="FFFFFF" w:themeColor="background1"/>
              <w:right w:val="nil"/>
            </w:tcBorders>
            <w:shd w:val="clear" w:color="auto" w:fill="DEEAF6" w:themeFill="accent1" w:themeFillTint="33"/>
            <w:vAlign w:val="center"/>
            <w:hideMark/>
          </w:tcPr>
          <w:p w14:paraId="5B2415D9" w14:textId="77777777" w:rsidR="0098755B" w:rsidRPr="00962762" w:rsidRDefault="0098755B" w:rsidP="00962762">
            <w:pPr>
              <w:rPr>
                <w:rFonts w:asciiTheme="majorHAnsi" w:hAnsiTheme="majorHAnsi" w:cstheme="majorHAnsi"/>
                <w:sz w:val="18"/>
                <w:szCs w:val="20"/>
              </w:rPr>
            </w:pPr>
          </w:p>
        </w:tc>
        <w:tc>
          <w:tcPr>
            <w:tcW w:w="4536" w:type="dxa"/>
            <w:vMerge/>
            <w:tcBorders>
              <w:top w:val="single" w:sz="4" w:space="0" w:color="808080" w:themeColor="background1" w:themeShade="80"/>
              <w:left w:val="nil"/>
              <w:bottom w:val="single" w:sz="4" w:space="0" w:color="808080" w:themeColor="background1" w:themeShade="80"/>
              <w:right w:val="nil"/>
            </w:tcBorders>
            <w:vAlign w:val="center"/>
            <w:hideMark/>
          </w:tcPr>
          <w:p w14:paraId="12671A46" w14:textId="77777777" w:rsidR="0098755B" w:rsidRPr="00962762" w:rsidRDefault="0098755B" w:rsidP="00962762">
            <w:pPr>
              <w:rPr>
                <w:rFonts w:asciiTheme="majorHAnsi" w:hAnsiTheme="majorHAnsi" w:cstheme="majorHAnsi"/>
                <w:sz w:val="18"/>
                <w:szCs w:val="20"/>
              </w:rPr>
            </w:pPr>
          </w:p>
        </w:tc>
        <w:tc>
          <w:tcPr>
            <w:tcW w:w="1276" w:type="dxa"/>
            <w:tcBorders>
              <w:top w:val="single" w:sz="4" w:space="0" w:color="808080" w:themeColor="background1" w:themeShade="80"/>
              <w:left w:val="nil"/>
              <w:bottom w:val="single" w:sz="4" w:space="0" w:color="808080" w:themeColor="background1" w:themeShade="80"/>
              <w:right w:val="nil"/>
            </w:tcBorders>
            <w:vAlign w:val="center"/>
            <w:hideMark/>
          </w:tcPr>
          <w:p w14:paraId="1867AD40" w14:textId="77777777" w:rsidR="0098755B" w:rsidRPr="00962762" w:rsidRDefault="0098755B" w:rsidP="00962762">
            <w:pPr>
              <w:jc w:val="both"/>
              <w:rPr>
                <w:rFonts w:asciiTheme="majorHAnsi" w:hAnsiTheme="majorHAnsi" w:cstheme="majorHAnsi"/>
                <w:sz w:val="18"/>
                <w:szCs w:val="20"/>
              </w:rPr>
            </w:pPr>
            <w:r w:rsidRPr="00962762">
              <w:rPr>
                <w:rFonts w:asciiTheme="majorHAnsi" w:hAnsiTheme="majorHAnsi" w:cstheme="majorHAnsi"/>
                <w:sz w:val="18"/>
                <w:szCs w:val="20"/>
              </w:rPr>
              <w:t>Nidzicki</w:t>
            </w:r>
          </w:p>
        </w:tc>
        <w:tc>
          <w:tcPr>
            <w:tcW w:w="987" w:type="dxa"/>
            <w:tcBorders>
              <w:top w:val="single" w:sz="4" w:space="0" w:color="808080" w:themeColor="background1" w:themeShade="80"/>
              <w:left w:val="nil"/>
              <w:bottom w:val="single" w:sz="4" w:space="0" w:color="808080" w:themeColor="background1" w:themeShade="80"/>
              <w:right w:val="nil"/>
            </w:tcBorders>
            <w:vAlign w:val="center"/>
            <w:hideMark/>
          </w:tcPr>
          <w:p w14:paraId="5C6E1E1B" w14:textId="77777777" w:rsidR="0098755B" w:rsidRPr="00962762" w:rsidRDefault="0098755B" w:rsidP="00962762">
            <w:pPr>
              <w:jc w:val="center"/>
              <w:rPr>
                <w:rFonts w:asciiTheme="majorHAnsi" w:hAnsiTheme="majorHAnsi" w:cstheme="majorHAnsi"/>
                <w:sz w:val="18"/>
                <w:szCs w:val="20"/>
              </w:rPr>
            </w:pPr>
            <w:r w:rsidRPr="00962762">
              <w:rPr>
                <w:rFonts w:asciiTheme="majorHAnsi" w:hAnsiTheme="majorHAnsi" w:cstheme="majorHAnsi"/>
                <w:sz w:val="18"/>
                <w:szCs w:val="20"/>
              </w:rPr>
              <w:t>1</w:t>
            </w:r>
          </w:p>
        </w:tc>
      </w:tr>
      <w:tr w:rsidR="0098755B" w:rsidRPr="00962762" w14:paraId="682959D3" w14:textId="77777777" w:rsidTr="00962762">
        <w:trPr>
          <w:trHeight w:val="20"/>
        </w:trPr>
        <w:tc>
          <w:tcPr>
            <w:tcW w:w="2263" w:type="dxa"/>
            <w:vMerge/>
            <w:tcBorders>
              <w:top w:val="single" w:sz="4" w:space="0" w:color="FFFFFF" w:themeColor="background1"/>
              <w:left w:val="single" w:sz="4" w:space="0" w:color="FFFFFF" w:themeColor="background1"/>
              <w:bottom w:val="single" w:sz="4" w:space="0" w:color="FFFFFF" w:themeColor="background1"/>
              <w:right w:val="nil"/>
            </w:tcBorders>
            <w:shd w:val="clear" w:color="auto" w:fill="DEEAF6" w:themeFill="accent1" w:themeFillTint="33"/>
            <w:vAlign w:val="center"/>
            <w:hideMark/>
          </w:tcPr>
          <w:p w14:paraId="33D3E61D" w14:textId="77777777" w:rsidR="0098755B" w:rsidRPr="00962762" w:rsidRDefault="0098755B" w:rsidP="00962762">
            <w:pPr>
              <w:rPr>
                <w:rFonts w:asciiTheme="majorHAnsi" w:hAnsiTheme="majorHAnsi" w:cstheme="majorHAnsi"/>
                <w:sz w:val="18"/>
                <w:szCs w:val="20"/>
              </w:rPr>
            </w:pPr>
          </w:p>
        </w:tc>
        <w:tc>
          <w:tcPr>
            <w:tcW w:w="4536" w:type="dxa"/>
            <w:vMerge/>
            <w:tcBorders>
              <w:top w:val="single" w:sz="4" w:space="0" w:color="808080" w:themeColor="background1" w:themeShade="80"/>
              <w:left w:val="nil"/>
              <w:bottom w:val="single" w:sz="4" w:space="0" w:color="808080" w:themeColor="background1" w:themeShade="80"/>
              <w:right w:val="nil"/>
            </w:tcBorders>
            <w:vAlign w:val="center"/>
            <w:hideMark/>
          </w:tcPr>
          <w:p w14:paraId="632FBF06" w14:textId="77777777" w:rsidR="0098755B" w:rsidRPr="00962762" w:rsidRDefault="0098755B" w:rsidP="00962762">
            <w:pPr>
              <w:rPr>
                <w:rFonts w:asciiTheme="majorHAnsi" w:hAnsiTheme="majorHAnsi" w:cstheme="majorHAnsi"/>
                <w:sz w:val="18"/>
                <w:szCs w:val="20"/>
              </w:rPr>
            </w:pPr>
          </w:p>
        </w:tc>
        <w:tc>
          <w:tcPr>
            <w:tcW w:w="1276" w:type="dxa"/>
            <w:tcBorders>
              <w:top w:val="single" w:sz="4" w:space="0" w:color="808080" w:themeColor="background1" w:themeShade="80"/>
              <w:left w:val="nil"/>
              <w:bottom w:val="single" w:sz="4" w:space="0" w:color="808080" w:themeColor="background1" w:themeShade="80"/>
              <w:right w:val="nil"/>
            </w:tcBorders>
            <w:vAlign w:val="center"/>
            <w:hideMark/>
          </w:tcPr>
          <w:p w14:paraId="39C036E0" w14:textId="77777777" w:rsidR="0098755B" w:rsidRPr="00962762" w:rsidRDefault="0098755B" w:rsidP="00962762">
            <w:pPr>
              <w:jc w:val="both"/>
              <w:rPr>
                <w:rFonts w:asciiTheme="majorHAnsi" w:hAnsiTheme="majorHAnsi" w:cstheme="majorHAnsi"/>
                <w:sz w:val="18"/>
                <w:szCs w:val="20"/>
              </w:rPr>
            </w:pPr>
            <w:r w:rsidRPr="00962762">
              <w:rPr>
                <w:rFonts w:asciiTheme="majorHAnsi" w:hAnsiTheme="majorHAnsi" w:cstheme="majorHAnsi"/>
                <w:sz w:val="18"/>
                <w:szCs w:val="20"/>
              </w:rPr>
              <w:t>Piski</w:t>
            </w:r>
          </w:p>
        </w:tc>
        <w:tc>
          <w:tcPr>
            <w:tcW w:w="987" w:type="dxa"/>
            <w:tcBorders>
              <w:top w:val="single" w:sz="4" w:space="0" w:color="808080" w:themeColor="background1" w:themeShade="80"/>
              <w:left w:val="nil"/>
              <w:bottom w:val="single" w:sz="4" w:space="0" w:color="808080" w:themeColor="background1" w:themeShade="80"/>
              <w:right w:val="nil"/>
            </w:tcBorders>
            <w:vAlign w:val="center"/>
            <w:hideMark/>
          </w:tcPr>
          <w:p w14:paraId="1E060638" w14:textId="77777777" w:rsidR="0098755B" w:rsidRPr="00962762" w:rsidRDefault="0098755B" w:rsidP="00962762">
            <w:pPr>
              <w:jc w:val="center"/>
              <w:rPr>
                <w:rFonts w:asciiTheme="majorHAnsi" w:hAnsiTheme="majorHAnsi" w:cstheme="majorHAnsi"/>
                <w:sz w:val="18"/>
                <w:szCs w:val="20"/>
              </w:rPr>
            </w:pPr>
            <w:r w:rsidRPr="00962762">
              <w:rPr>
                <w:rFonts w:asciiTheme="majorHAnsi" w:hAnsiTheme="majorHAnsi" w:cstheme="majorHAnsi"/>
                <w:sz w:val="18"/>
                <w:szCs w:val="20"/>
              </w:rPr>
              <w:t>3</w:t>
            </w:r>
          </w:p>
        </w:tc>
      </w:tr>
      <w:tr w:rsidR="0098755B" w:rsidRPr="00962762" w14:paraId="643B9896" w14:textId="77777777" w:rsidTr="00962762">
        <w:trPr>
          <w:trHeight w:val="20"/>
        </w:trPr>
        <w:tc>
          <w:tcPr>
            <w:tcW w:w="2263" w:type="dxa"/>
            <w:vMerge/>
            <w:tcBorders>
              <w:top w:val="single" w:sz="4" w:space="0" w:color="FFFFFF" w:themeColor="background1"/>
              <w:left w:val="single" w:sz="4" w:space="0" w:color="FFFFFF" w:themeColor="background1"/>
              <w:bottom w:val="single" w:sz="4" w:space="0" w:color="FFFFFF" w:themeColor="background1"/>
              <w:right w:val="nil"/>
            </w:tcBorders>
            <w:shd w:val="clear" w:color="auto" w:fill="DEEAF6" w:themeFill="accent1" w:themeFillTint="33"/>
            <w:vAlign w:val="center"/>
          </w:tcPr>
          <w:p w14:paraId="1567D86F" w14:textId="77777777" w:rsidR="0098755B" w:rsidRPr="00962762" w:rsidRDefault="0098755B" w:rsidP="00962762">
            <w:pPr>
              <w:rPr>
                <w:rFonts w:asciiTheme="majorHAnsi" w:hAnsiTheme="majorHAnsi" w:cstheme="majorHAnsi"/>
                <w:sz w:val="18"/>
                <w:szCs w:val="20"/>
              </w:rPr>
            </w:pPr>
          </w:p>
        </w:tc>
        <w:tc>
          <w:tcPr>
            <w:tcW w:w="4536" w:type="dxa"/>
            <w:vMerge/>
            <w:tcBorders>
              <w:top w:val="single" w:sz="4" w:space="0" w:color="808080" w:themeColor="background1" w:themeShade="80"/>
              <w:left w:val="nil"/>
              <w:bottom w:val="single" w:sz="4" w:space="0" w:color="808080" w:themeColor="background1" w:themeShade="80"/>
              <w:right w:val="nil"/>
            </w:tcBorders>
            <w:vAlign w:val="center"/>
          </w:tcPr>
          <w:p w14:paraId="4BE6D990" w14:textId="77777777" w:rsidR="0098755B" w:rsidRPr="00962762" w:rsidRDefault="0098755B" w:rsidP="00962762">
            <w:pPr>
              <w:rPr>
                <w:rFonts w:asciiTheme="majorHAnsi" w:hAnsiTheme="majorHAnsi" w:cstheme="majorHAnsi"/>
                <w:sz w:val="18"/>
                <w:szCs w:val="20"/>
              </w:rPr>
            </w:pPr>
          </w:p>
        </w:tc>
        <w:tc>
          <w:tcPr>
            <w:tcW w:w="1276" w:type="dxa"/>
            <w:tcBorders>
              <w:top w:val="single" w:sz="4" w:space="0" w:color="808080" w:themeColor="background1" w:themeShade="80"/>
              <w:left w:val="nil"/>
              <w:bottom w:val="single" w:sz="4" w:space="0" w:color="808080" w:themeColor="background1" w:themeShade="80"/>
              <w:right w:val="nil"/>
            </w:tcBorders>
            <w:vAlign w:val="center"/>
          </w:tcPr>
          <w:p w14:paraId="72354ED6" w14:textId="77777777" w:rsidR="0098755B" w:rsidRPr="00962762" w:rsidRDefault="0098755B" w:rsidP="00962762">
            <w:pPr>
              <w:jc w:val="both"/>
              <w:rPr>
                <w:rFonts w:asciiTheme="majorHAnsi" w:hAnsiTheme="majorHAnsi" w:cstheme="majorHAnsi"/>
                <w:sz w:val="18"/>
                <w:szCs w:val="20"/>
              </w:rPr>
            </w:pPr>
            <w:r w:rsidRPr="00962762">
              <w:rPr>
                <w:rFonts w:asciiTheme="majorHAnsi" w:hAnsiTheme="majorHAnsi" w:cstheme="majorHAnsi"/>
                <w:sz w:val="18"/>
                <w:szCs w:val="20"/>
              </w:rPr>
              <w:t>Szczycieński</w:t>
            </w:r>
          </w:p>
        </w:tc>
        <w:tc>
          <w:tcPr>
            <w:tcW w:w="987" w:type="dxa"/>
            <w:tcBorders>
              <w:top w:val="single" w:sz="4" w:space="0" w:color="808080" w:themeColor="background1" w:themeShade="80"/>
              <w:left w:val="nil"/>
              <w:bottom w:val="single" w:sz="4" w:space="0" w:color="808080" w:themeColor="background1" w:themeShade="80"/>
              <w:right w:val="nil"/>
            </w:tcBorders>
            <w:vAlign w:val="center"/>
          </w:tcPr>
          <w:p w14:paraId="021E6CAB" w14:textId="77777777" w:rsidR="0098755B" w:rsidRPr="00962762" w:rsidRDefault="0098755B" w:rsidP="00962762">
            <w:pPr>
              <w:jc w:val="center"/>
              <w:rPr>
                <w:rFonts w:asciiTheme="majorHAnsi" w:hAnsiTheme="majorHAnsi" w:cstheme="majorHAnsi"/>
                <w:sz w:val="18"/>
                <w:szCs w:val="20"/>
              </w:rPr>
            </w:pPr>
            <w:r w:rsidRPr="00962762">
              <w:rPr>
                <w:rFonts w:asciiTheme="majorHAnsi" w:hAnsiTheme="majorHAnsi" w:cstheme="majorHAnsi"/>
                <w:sz w:val="18"/>
                <w:szCs w:val="20"/>
              </w:rPr>
              <w:t>2</w:t>
            </w:r>
          </w:p>
        </w:tc>
      </w:tr>
      <w:tr w:rsidR="0098755B" w:rsidRPr="00962762" w14:paraId="3D65CCAC" w14:textId="77777777" w:rsidTr="00962762">
        <w:trPr>
          <w:trHeight w:val="20"/>
        </w:trPr>
        <w:tc>
          <w:tcPr>
            <w:tcW w:w="2263" w:type="dxa"/>
            <w:vMerge/>
            <w:tcBorders>
              <w:top w:val="single" w:sz="4" w:space="0" w:color="FFFFFF" w:themeColor="background1"/>
              <w:left w:val="single" w:sz="4" w:space="0" w:color="FFFFFF" w:themeColor="background1"/>
              <w:bottom w:val="single" w:sz="4" w:space="0" w:color="FFFFFF" w:themeColor="background1"/>
              <w:right w:val="nil"/>
            </w:tcBorders>
            <w:shd w:val="clear" w:color="auto" w:fill="DEEAF6" w:themeFill="accent1" w:themeFillTint="33"/>
            <w:vAlign w:val="center"/>
            <w:hideMark/>
          </w:tcPr>
          <w:p w14:paraId="5D59A2BC" w14:textId="77777777" w:rsidR="0098755B" w:rsidRPr="00962762" w:rsidRDefault="0098755B" w:rsidP="00962762">
            <w:pPr>
              <w:rPr>
                <w:rFonts w:asciiTheme="majorHAnsi" w:hAnsiTheme="majorHAnsi" w:cstheme="majorHAnsi"/>
                <w:sz w:val="18"/>
                <w:szCs w:val="20"/>
              </w:rPr>
            </w:pPr>
          </w:p>
        </w:tc>
        <w:tc>
          <w:tcPr>
            <w:tcW w:w="4536" w:type="dxa"/>
            <w:vMerge w:val="restart"/>
            <w:tcBorders>
              <w:top w:val="single" w:sz="4" w:space="0" w:color="808080" w:themeColor="background1" w:themeShade="80"/>
              <w:left w:val="nil"/>
              <w:bottom w:val="single" w:sz="4" w:space="0" w:color="808080" w:themeColor="background1" w:themeShade="80"/>
              <w:right w:val="nil"/>
            </w:tcBorders>
            <w:vAlign w:val="center"/>
            <w:hideMark/>
          </w:tcPr>
          <w:p w14:paraId="52C4FAE2" w14:textId="77777777" w:rsidR="0098755B" w:rsidRPr="00962762" w:rsidRDefault="0098755B" w:rsidP="00962762">
            <w:pPr>
              <w:rPr>
                <w:rFonts w:asciiTheme="majorHAnsi" w:hAnsiTheme="majorHAnsi" w:cstheme="majorHAnsi"/>
                <w:sz w:val="18"/>
                <w:szCs w:val="20"/>
              </w:rPr>
            </w:pPr>
            <w:r w:rsidRPr="00962762">
              <w:rPr>
                <w:rFonts w:asciiTheme="majorHAnsi" w:hAnsiTheme="majorHAnsi" w:cstheme="majorHAnsi"/>
                <w:sz w:val="18"/>
                <w:szCs w:val="20"/>
              </w:rPr>
              <w:t>Pracujący na 1000 ludności</w:t>
            </w:r>
          </w:p>
        </w:tc>
        <w:tc>
          <w:tcPr>
            <w:tcW w:w="1276" w:type="dxa"/>
            <w:tcBorders>
              <w:top w:val="single" w:sz="4" w:space="0" w:color="808080" w:themeColor="background1" w:themeShade="80"/>
              <w:left w:val="nil"/>
              <w:bottom w:val="single" w:sz="4" w:space="0" w:color="808080" w:themeColor="background1" w:themeShade="80"/>
              <w:right w:val="nil"/>
            </w:tcBorders>
            <w:vAlign w:val="center"/>
          </w:tcPr>
          <w:p w14:paraId="69D9A237" w14:textId="77777777" w:rsidR="0098755B" w:rsidRPr="00962762" w:rsidRDefault="0098755B" w:rsidP="00962762">
            <w:pPr>
              <w:jc w:val="both"/>
              <w:rPr>
                <w:rFonts w:asciiTheme="majorHAnsi" w:hAnsiTheme="majorHAnsi" w:cstheme="majorHAnsi"/>
                <w:sz w:val="18"/>
                <w:szCs w:val="20"/>
              </w:rPr>
            </w:pPr>
            <w:r w:rsidRPr="00962762">
              <w:rPr>
                <w:rFonts w:asciiTheme="majorHAnsi" w:hAnsiTheme="majorHAnsi" w:cstheme="majorHAnsi"/>
                <w:sz w:val="18"/>
                <w:szCs w:val="20"/>
              </w:rPr>
              <w:t>Działdowski</w:t>
            </w:r>
          </w:p>
        </w:tc>
        <w:tc>
          <w:tcPr>
            <w:tcW w:w="987" w:type="dxa"/>
            <w:tcBorders>
              <w:top w:val="single" w:sz="4" w:space="0" w:color="808080" w:themeColor="background1" w:themeShade="80"/>
              <w:left w:val="nil"/>
              <w:bottom w:val="single" w:sz="4" w:space="0" w:color="808080" w:themeColor="background1" w:themeShade="80"/>
              <w:right w:val="nil"/>
            </w:tcBorders>
            <w:vAlign w:val="center"/>
          </w:tcPr>
          <w:p w14:paraId="5D310A52" w14:textId="77777777" w:rsidR="0098755B" w:rsidRPr="00962762" w:rsidRDefault="0098755B" w:rsidP="00962762">
            <w:pPr>
              <w:jc w:val="center"/>
              <w:rPr>
                <w:rFonts w:asciiTheme="majorHAnsi" w:hAnsiTheme="majorHAnsi" w:cstheme="majorHAnsi"/>
                <w:sz w:val="18"/>
                <w:szCs w:val="20"/>
              </w:rPr>
            </w:pPr>
            <w:r w:rsidRPr="00962762">
              <w:rPr>
                <w:rFonts w:asciiTheme="majorHAnsi" w:hAnsiTheme="majorHAnsi" w:cstheme="majorHAnsi"/>
                <w:sz w:val="18"/>
                <w:szCs w:val="20"/>
              </w:rPr>
              <w:t>1</w:t>
            </w:r>
          </w:p>
        </w:tc>
      </w:tr>
      <w:tr w:rsidR="0098755B" w:rsidRPr="00962762" w14:paraId="3BB0B843" w14:textId="77777777" w:rsidTr="00962762">
        <w:trPr>
          <w:trHeight w:val="20"/>
        </w:trPr>
        <w:tc>
          <w:tcPr>
            <w:tcW w:w="2263" w:type="dxa"/>
            <w:vMerge/>
            <w:tcBorders>
              <w:top w:val="single" w:sz="4" w:space="0" w:color="FFFFFF" w:themeColor="background1"/>
              <w:left w:val="single" w:sz="4" w:space="0" w:color="FFFFFF" w:themeColor="background1"/>
              <w:bottom w:val="single" w:sz="4" w:space="0" w:color="FFFFFF" w:themeColor="background1"/>
              <w:right w:val="nil"/>
            </w:tcBorders>
            <w:shd w:val="clear" w:color="auto" w:fill="DEEAF6" w:themeFill="accent1" w:themeFillTint="33"/>
            <w:vAlign w:val="center"/>
            <w:hideMark/>
          </w:tcPr>
          <w:p w14:paraId="0569B702" w14:textId="77777777" w:rsidR="0098755B" w:rsidRPr="00962762" w:rsidRDefault="0098755B" w:rsidP="00962762">
            <w:pPr>
              <w:rPr>
                <w:rFonts w:asciiTheme="majorHAnsi" w:hAnsiTheme="majorHAnsi" w:cstheme="majorHAnsi"/>
                <w:sz w:val="18"/>
                <w:szCs w:val="20"/>
              </w:rPr>
            </w:pPr>
          </w:p>
        </w:tc>
        <w:tc>
          <w:tcPr>
            <w:tcW w:w="4536" w:type="dxa"/>
            <w:vMerge/>
            <w:tcBorders>
              <w:top w:val="single" w:sz="4" w:space="0" w:color="808080" w:themeColor="background1" w:themeShade="80"/>
              <w:left w:val="nil"/>
              <w:bottom w:val="single" w:sz="4" w:space="0" w:color="808080" w:themeColor="background1" w:themeShade="80"/>
              <w:right w:val="nil"/>
            </w:tcBorders>
            <w:vAlign w:val="center"/>
            <w:hideMark/>
          </w:tcPr>
          <w:p w14:paraId="439E7702" w14:textId="77777777" w:rsidR="0098755B" w:rsidRPr="00962762" w:rsidRDefault="0098755B" w:rsidP="00962762">
            <w:pPr>
              <w:rPr>
                <w:rFonts w:asciiTheme="majorHAnsi" w:hAnsiTheme="majorHAnsi" w:cstheme="majorHAnsi"/>
                <w:sz w:val="18"/>
                <w:szCs w:val="20"/>
              </w:rPr>
            </w:pPr>
          </w:p>
        </w:tc>
        <w:tc>
          <w:tcPr>
            <w:tcW w:w="1276" w:type="dxa"/>
            <w:tcBorders>
              <w:top w:val="single" w:sz="4" w:space="0" w:color="808080" w:themeColor="background1" w:themeShade="80"/>
              <w:left w:val="nil"/>
              <w:bottom w:val="single" w:sz="4" w:space="0" w:color="808080" w:themeColor="background1" w:themeShade="80"/>
              <w:right w:val="nil"/>
            </w:tcBorders>
            <w:vAlign w:val="center"/>
            <w:hideMark/>
          </w:tcPr>
          <w:p w14:paraId="314852CE" w14:textId="77777777" w:rsidR="0098755B" w:rsidRPr="00962762" w:rsidRDefault="0098755B" w:rsidP="00962762">
            <w:pPr>
              <w:jc w:val="both"/>
              <w:rPr>
                <w:rFonts w:asciiTheme="majorHAnsi" w:hAnsiTheme="majorHAnsi" w:cstheme="majorHAnsi"/>
                <w:sz w:val="18"/>
                <w:szCs w:val="20"/>
              </w:rPr>
            </w:pPr>
            <w:r w:rsidRPr="00962762">
              <w:rPr>
                <w:rFonts w:asciiTheme="majorHAnsi" w:hAnsiTheme="majorHAnsi" w:cstheme="majorHAnsi"/>
                <w:sz w:val="18"/>
                <w:szCs w:val="20"/>
              </w:rPr>
              <w:t>Nidzicki</w:t>
            </w:r>
          </w:p>
        </w:tc>
        <w:tc>
          <w:tcPr>
            <w:tcW w:w="987" w:type="dxa"/>
            <w:tcBorders>
              <w:top w:val="single" w:sz="4" w:space="0" w:color="808080" w:themeColor="background1" w:themeShade="80"/>
              <w:left w:val="nil"/>
              <w:bottom w:val="single" w:sz="4" w:space="0" w:color="808080" w:themeColor="background1" w:themeShade="80"/>
              <w:right w:val="nil"/>
            </w:tcBorders>
            <w:vAlign w:val="center"/>
            <w:hideMark/>
          </w:tcPr>
          <w:p w14:paraId="3E9D82D3" w14:textId="77777777" w:rsidR="0098755B" w:rsidRPr="00962762" w:rsidRDefault="0098755B" w:rsidP="00962762">
            <w:pPr>
              <w:jc w:val="center"/>
              <w:rPr>
                <w:rFonts w:asciiTheme="majorHAnsi" w:hAnsiTheme="majorHAnsi" w:cstheme="majorHAnsi"/>
                <w:sz w:val="18"/>
                <w:szCs w:val="20"/>
              </w:rPr>
            </w:pPr>
            <w:r w:rsidRPr="00962762">
              <w:rPr>
                <w:rFonts w:asciiTheme="majorHAnsi" w:hAnsiTheme="majorHAnsi" w:cstheme="majorHAnsi"/>
                <w:sz w:val="18"/>
                <w:szCs w:val="20"/>
              </w:rPr>
              <w:t>2</w:t>
            </w:r>
          </w:p>
        </w:tc>
      </w:tr>
      <w:tr w:rsidR="0098755B" w:rsidRPr="00962762" w14:paraId="796EBB51" w14:textId="77777777" w:rsidTr="00962762">
        <w:trPr>
          <w:trHeight w:val="20"/>
        </w:trPr>
        <w:tc>
          <w:tcPr>
            <w:tcW w:w="2263" w:type="dxa"/>
            <w:vMerge/>
            <w:tcBorders>
              <w:top w:val="single" w:sz="4" w:space="0" w:color="FFFFFF" w:themeColor="background1"/>
              <w:left w:val="single" w:sz="4" w:space="0" w:color="FFFFFF" w:themeColor="background1"/>
              <w:bottom w:val="single" w:sz="4" w:space="0" w:color="FFFFFF" w:themeColor="background1"/>
              <w:right w:val="nil"/>
            </w:tcBorders>
            <w:shd w:val="clear" w:color="auto" w:fill="DEEAF6" w:themeFill="accent1" w:themeFillTint="33"/>
            <w:vAlign w:val="center"/>
            <w:hideMark/>
          </w:tcPr>
          <w:p w14:paraId="0599B37E" w14:textId="77777777" w:rsidR="0098755B" w:rsidRPr="00962762" w:rsidRDefault="0098755B" w:rsidP="00962762">
            <w:pPr>
              <w:rPr>
                <w:rFonts w:asciiTheme="majorHAnsi" w:hAnsiTheme="majorHAnsi" w:cstheme="majorHAnsi"/>
                <w:sz w:val="18"/>
                <w:szCs w:val="20"/>
              </w:rPr>
            </w:pPr>
          </w:p>
        </w:tc>
        <w:tc>
          <w:tcPr>
            <w:tcW w:w="4536" w:type="dxa"/>
            <w:vMerge/>
            <w:tcBorders>
              <w:top w:val="single" w:sz="4" w:space="0" w:color="808080" w:themeColor="background1" w:themeShade="80"/>
              <w:left w:val="nil"/>
              <w:bottom w:val="single" w:sz="4" w:space="0" w:color="808080" w:themeColor="background1" w:themeShade="80"/>
              <w:right w:val="nil"/>
            </w:tcBorders>
            <w:vAlign w:val="center"/>
            <w:hideMark/>
          </w:tcPr>
          <w:p w14:paraId="74879162" w14:textId="77777777" w:rsidR="0098755B" w:rsidRPr="00962762" w:rsidRDefault="0098755B" w:rsidP="00962762">
            <w:pPr>
              <w:rPr>
                <w:rFonts w:asciiTheme="majorHAnsi" w:hAnsiTheme="majorHAnsi" w:cstheme="majorHAnsi"/>
                <w:sz w:val="18"/>
                <w:szCs w:val="20"/>
              </w:rPr>
            </w:pPr>
          </w:p>
        </w:tc>
        <w:tc>
          <w:tcPr>
            <w:tcW w:w="1276" w:type="dxa"/>
            <w:tcBorders>
              <w:top w:val="single" w:sz="4" w:space="0" w:color="808080" w:themeColor="background1" w:themeShade="80"/>
              <w:left w:val="nil"/>
              <w:bottom w:val="single" w:sz="4" w:space="0" w:color="808080" w:themeColor="background1" w:themeShade="80"/>
              <w:right w:val="nil"/>
            </w:tcBorders>
            <w:vAlign w:val="center"/>
            <w:hideMark/>
          </w:tcPr>
          <w:p w14:paraId="0FE147AD" w14:textId="77777777" w:rsidR="0098755B" w:rsidRPr="00962762" w:rsidRDefault="0098755B" w:rsidP="00962762">
            <w:pPr>
              <w:jc w:val="both"/>
              <w:rPr>
                <w:rFonts w:asciiTheme="majorHAnsi" w:hAnsiTheme="majorHAnsi" w:cstheme="majorHAnsi"/>
                <w:sz w:val="18"/>
                <w:szCs w:val="20"/>
              </w:rPr>
            </w:pPr>
            <w:r w:rsidRPr="00962762">
              <w:rPr>
                <w:rFonts w:asciiTheme="majorHAnsi" w:hAnsiTheme="majorHAnsi" w:cstheme="majorHAnsi"/>
                <w:sz w:val="18"/>
                <w:szCs w:val="20"/>
              </w:rPr>
              <w:t>Piski</w:t>
            </w:r>
          </w:p>
        </w:tc>
        <w:tc>
          <w:tcPr>
            <w:tcW w:w="987" w:type="dxa"/>
            <w:tcBorders>
              <w:top w:val="single" w:sz="4" w:space="0" w:color="808080" w:themeColor="background1" w:themeShade="80"/>
              <w:left w:val="nil"/>
              <w:bottom w:val="single" w:sz="4" w:space="0" w:color="808080" w:themeColor="background1" w:themeShade="80"/>
              <w:right w:val="nil"/>
            </w:tcBorders>
            <w:vAlign w:val="center"/>
            <w:hideMark/>
          </w:tcPr>
          <w:p w14:paraId="5087810D" w14:textId="77777777" w:rsidR="0098755B" w:rsidRPr="00962762" w:rsidRDefault="0098755B" w:rsidP="00962762">
            <w:pPr>
              <w:jc w:val="center"/>
              <w:rPr>
                <w:rFonts w:asciiTheme="majorHAnsi" w:hAnsiTheme="majorHAnsi" w:cstheme="majorHAnsi"/>
                <w:sz w:val="18"/>
                <w:szCs w:val="20"/>
              </w:rPr>
            </w:pPr>
            <w:r w:rsidRPr="00962762">
              <w:rPr>
                <w:rFonts w:asciiTheme="majorHAnsi" w:hAnsiTheme="majorHAnsi" w:cstheme="majorHAnsi"/>
                <w:sz w:val="18"/>
                <w:szCs w:val="20"/>
              </w:rPr>
              <w:t>4</w:t>
            </w:r>
          </w:p>
        </w:tc>
      </w:tr>
      <w:tr w:rsidR="0098755B" w:rsidRPr="00962762" w14:paraId="672CF058" w14:textId="77777777" w:rsidTr="00962762">
        <w:trPr>
          <w:trHeight w:val="20"/>
        </w:trPr>
        <w:tc>
          <w:tcPr>
            <w:tcW w:w="2263" w:type="dxa"/>
            <w:vMerge/>
            <w:tcBorders>
              <w:top w:val="single" w:sz="4" w:space="0" w:color="FFFFFF" w:themeColor="background1"/>
              <w:left w:val="single" w:sz="4" w:space="0" w:color="FFFFFF" w:themeColor="background1"/>
              <w:bottom w:val="single" w:sz="4" w:space="0" w:color="FFFFFF" w:themeColor="background1"/>
              <w:right w:val="nil"/>
            </w:tcBorders>
            <w:shd w:val="clear" w:color="auto" w:fill="DEEAF6" w:themeFill="accent1" w:themeFillTint="33"/>
            <w:vAlign w:val="center"/>
            <w:hideMark/>
          </w:tcPr>
          <w:p w14:paraId="28150C56" w14:textId="77777777" w:rsidR="0098755B" w:rsidRPr="00962762" w:rsidRDefault="0098755B" w:rsidP="00962762">
            <w:pPr>
              <w:rPr>
                <w:rFonts w:asciiTheme="majorHAnsi" w:hAnsiTheme="majorHAnsi" w:cstheme="majorHAnsi"/>
                <w:sz w:val="18"/>
                <w:szCs w:val="20"/>
              </w:rPr>
            </w:pPr>
          </w:p>
        </w:tc>
        <w:tc>
          <w:tcPr>
            <w:tcW w:w="4536" w:type="dxa"/>
            <w:vMerge/>
            <w:tcBorders>
              <w:top w:val="single" w:sz="4" w:space="0" w:color="808080" w:themeColor="background1" w:themeShade="80"/>
              <w:left w:val="nil"/>
              <w:bottom w:val="single" w:sz="4" w:space="0" w:color="808080" w:themeColor="background1" w:themeShade="80"/>
              <w:right w:val="nil"/>
            </w:tcBorders>
            <w:vAlign w:val="center"/>
            <w:hideMark/>
          </w:tcPr>
          <w:p w14:paraId="4A870719" w14:textId="77777777" w:rsidR="0098755B" w:rsidRPr="00962762" w:rsidRDefault="0098755B" w:rsidP="00962762">
            <w:pPr>
              <w:rPr>
                <w:rFonts w:asciiTheme="majorHAnsi" w:hAnsiTheme="majorHAnsi" w:cstheme="majorHAnsi"/>
                <w:sz w:val="18"/>
                <w:szCs w:val="20"/>
              </w:rPr>
            </w:pPr>
          </w:p>
        </w:tc>
        <w:tc>
          <w:tcPr>
            <w:tcW w:w="1276" w:type="dxa"/>
            <w:tcBorders>
              <w:top w:val="single" w:sz="4" w:space="0" w:color="808080" w:themeColor="background1" w:themeShade="80"/>
              <w:left w:val="nil"/>
              <w:bottom w:val="single" w:sz="4" w:space="0" w:color="808080" w:themeColor="background1" w:themeShade="80"/>
              <w:right w:val="nil"/>
            </w:tcBorders>
            <w:vAlign w:val="center"/>
            <w:hideMark/>
          </w:tcPr>
          <w:p w14:paraId="39282B57" w14:textId="77777777" w:rsidR="0098755B" w:rsidRPr="00962762" w:rsidRDefault="0098755B" w:rsidP="00962762">
            <w:pPr>
              <w:jc w:val="both"/>
              <w:rPr>
                <w:rFonts w:asciiTheme="majorHAnsi" w:hAnsiTheme="majorHAnsi" w:cstheme="majorHAnsi"/>
                <w:sz w:val="18"/>
                <w:szCs w:val="20"/>
              </w:rPr>
            </w:pPr>
            <w:r w:rsidRPr="00962762">
              <w:rPr>
                <w:rFonts w:asciiTheme="majorHAnsi" w:hAnsiTheme="majorHAnsi" w:cstheme="majorHAnsi"/>
                <w:sz w:val="18"/>
                <w:szCs w:val="20"/>
              </w:rPr>
              <w:t>Szczycieński</w:t>
            </w:r>
          </w:p>
        </w:tc>
        <w:tc>
          <w:tcPr>
            <w:tcW w:w="987" w:type="dxa"/>
            <w:tcBorders>
              <w:top w:val="single" w:sz="4" w:space="0" w:color="808080" w:themeColor="background1" w:themeShade="80"/>
              <w:left w:val="nil"/>
              <w:bottom w:val="single" w:sz="4" w:space="0" w:color="808080" w:themeColor="background1" w:themeShade="80"/>
              <w:right w:val="nil"/>
            </w:tcBorders>
            <w:vAlign w:val="center"/>
            <w:hideMark/>
          </w:tcPr>
          <w:p w14:paraId="5513799A" w14:textId="77777777" w:rsidR="0098755B" w:rsidRPr="00962762" w:rsidRDefault="0098755B" w:rsidP="00962762">
            <w:pPr>
              <w:jc w:val="center"/>
              <w:rPr>
                <w:rFonts w:asciiTheme="majorHAnsi" w:hAnsiTheme="majorHAnsi" w:cstheme="majorHAnsi"/>
                <w:sz w:val="18"/>
                <w:szCs w:val="20"/>
              </w:rPr>
            </w:pPr>
            <w:r w:rsidRPr="00962762">
              <w:rPr>
                <w:rFonts w:asciiTheme="majorHAnsi" w:hAnsiTheme="majorHAnsi" w:cstheme="majorHAnsi"/>
                <w:sz w:val="18"/>
                <w:szCs w:val="20"/>
              </w:rPr>
              <w:t>3</w:t>
            </w:r>
          </w:p>
        </w:tc>
      </w:tr>
      <w:tr w:rsidR="0098755B" w:rsidRPr="00962762" w14:paraId="3660D327" w14:textId="77777777" w:rsidTr="00962762">
        <w:trPr>
          <w:trHeight w:val="20"/>
        </w:trPr>
        <w:tc>
          <w:tcPr>
            <w:tcW w:w="2263" w:type="dxa"/>
            <w:vMerge w:val="restart"/>
            <w:tcBorders>
              <w:top w:val="single" w:sz="4" w:space="0" w:color="FFFFFF" w:themeColor="background1"/>
              <w:left w:val="single" w:sz="4" w:space="0" w:color="FFFFFF" w:themeColor="background1"/>
              <w:bottom w:val="single" w:sz="4" w:space="0" w:color="FFFFFF" w:themeColor="background1"/>
              <w:right w:val="nil"/>
            </w:tcBorders>
            <w:shd w:val="clear" w:color="auto" w:fill="DEEAF6" w:themeFill="accent1" w:themeFillTint="33"/>
            <w:vAlign w:val="center"/>
            <w:hideMark/>
          </w:tcPr>
          <w:p w14:paraId="420D5349" w14:textId="77777777" w:rsidR="0098755B" w:rsidRPr="00962762" w:rsidRDefault="0098755B" w:rsidP="00962762">
            <w:pPr>
              <w:jc w:val="both"/>
              <w:rPr>
                <w:rFonts w:asciiTheme="majorHAnsi" w:hAnsiTheme="majorHAnsi" w:cstheme="majorHAnsi"/>
                <w:sz w:val="18"/>
                <w:szCs w:val="20"/>
              </w:rPr>
            </w:pPr>
            <w:r w:rsidRPr="00962762">
              <w:rPr>
                <w:rFonts w:asciiTheme="majorHAnsi" w:hAnsiTheme="majorHAnsi" w:cstheme="majorHAnsi"/>
                <w:sz w:val="18"/>
                <w:szCs w:val="20"/>
              </w:rPr>
              <w:t>Turystyka</w:t>
            </w:r>
          </w:p>
        </w:tc>
        <w:tc>
          <w:tcPr>
            <w:tcW w:w="4536" w:type="dxa"/>
            <w:vMerge w:val="restart"/>
            <w:tcBorders>
              <w:top w:val="single" w:sz="4" w:space="0" w:color="808080" w:themeColor="background1" w:themeShade="80"/>
              <w:left w:val="nil"/>
              <w:bottom w:val="single" w:sz="4" w:space="0" w:color="808080" w:themeColor="background1" w:themeShade="80"/>
              <w:right w:val="nil"/>
            </w:tcBorders>
            <w:vAlign w:val="center"/>
            <w:hideMark/>
          </w:tcPr>
          <w:p w14:paraId="1440DFE7" w14:textId="77777777" w:rsidR="0098755B" w:rsidRPr="00962762" w:rsidRDefault="0098755B" w:rsidP="00962762">
            <w:pPr>
              <w:rPr>
                <w:rFonts w:asciiTheme="majorHAnsi" w:hAnsiTheme="majorHAnsi" w:cstheme="majorHAnsi"/>
                <w:sz w:val="18"/>
                <w:szCs w:val="20"/>
              </w:rPr>
            </w:pPr>
            <w:r w:rsidRPr="00962762">
              <w:rPr>
                <w:rFonts w:asciiTheme="majorHAnsi" w:hAnsiTheme="majorHAnsi" w:cstheme="majorHAnsi"/>
                <w:sz w:val="18"/>
                <w:szCs w:val="20"/>
              </w:rPr>
              <w:t>Miejsca noclegowe na 1000 ludności</w:t>
            </w:r>
          </w:p>
        </w:tc>
        <w:tc>
          <w:tcPr>
            <w:tcW w:w="1276" w:type="dxa"/>
            <w:tcBorders>
              <w:top w:val="single" w:sz="4" w:space="0" w:color="808080" w:themeColor="background1" w:themeShade="80"/>
              <w:left w:val="nil"/>
              <w:bottom w:val="single" w:sz="4" w:space="0" w:color="808080" w:themeColor="background1" w:themeShade="80"/>
              <w:right w:val="nil"/>
            </w:tcBorders>
            <w:vAlign w:val="center"/>
            <w:hideMark/>
          </w:tcPr>
          <w:p w14:paraId="17DA663B" w14:textId="77777777" w:rsidR="0098755B" w:rsidRPr="00962762" w:rsidRDefault="0098755B" w:rsidP="00962762">
            <w:pPr>
              <w:jc w:val="both"/>
              <w:rPr>
                <w:rFonts w:asciiTheme="majorHAnsi" w:hAnsiTheme="majorHAnsi" w:cstheme="majorHAnsi"/>
                <w:sz w:val="18"/>
                <w:szCs w:val="20"/>
              </w:rPr>
            </w:pPr>
            <w:r w:rsidRPr="00962762">
              <w:rPr>
                <w:rFonts w:asciiTheme="majorHAnsi" w:hAnsiTheme="majorHAnsi" w:cstheme="majorHAnsi"/>
                <w:sz w:val="18"/>
                <w:szCs w:val="20"/>
              </w:rPr>
              <w:t>Działdowski</w:t>
            </w:r>
          </w:p>
        </w:tc>
        <w:tc>
          <w:tcPr>
            <w:tcW w:w="987" w:type="dxa"/>
            <w:tcBorders>
              <w:top w:val="single" w:sz="4" w:space="0" w:color="808080" w:themeColor="background1" w:themeShade="80"/>
              <w:left w:val="nil"/>
              <w:bottom w:val="single" w:sz="4" w:space="0" w:color="808080" w:themeColor="background1" w:themeShade="80"/>
              <w:right w:val="nil"/>
            </w:tcBorders>
            <w:vAlign w:val="center"/>
            <w:hideMark/>
          </w:tcPr>
          <w:p w14:paraId="30909996" w14:textId="77777777" w:rsidR="0098755B" w:rsidRPr="00962762" w:rsidRDefault="0098755B" w:rsidP="00962762">
            <w:pPr>
              <w:jc w:val="center"/>
              <w:rPr>
                <w:rFonts w:asciiTheme="majorHAnsi" w:hAnsiTheme="majorHAnsi" w:cstheme="majorHAnsi"/>
                <w:sz w:val="18"/>
                <w:szCs w:val="20"/>
              </w:rPr>
            </w:pPr>
            <w:r w:rsidRPr="00962762">
              <w:rPr>
                <w:rFonts w:asciiTheme="majorHAnsi" w:hAnsiTheme="majorHAnsi" w:cstheme="majorHAnsi"/>
                <w:sz w:val="18"/>
                <w:szCs w:val="20"/>
              </w:rPr>
              <w:t>3</w:t>
            </w:r>
          </w:p>
        </w:tc>
      </w:tr>
      <w:tr w:rsidR="0098755B" w:rsidRPr="00962762" w14:paraId="56F70863" w14:textId="77777777" w:rsidTr="00962762">
        <w:trPr>
          <w:trHeight w:val="20"/>
        </w:trPr>
        <w:tc>
          <w:tcPr>
            <w:tcW w:w="2263" w:type="dxa"/>
            <w:vMerge/>
            <w:tcBorders>
              <w:top w:val="single" w:sz="4" w:space="0" w:color="FFFFFF" w:themeColor="background1"/>
              <w:left w:val="single" w:sz="4" w:space="0" w:color="FFFFFF" w:themeColor="background1"/>
              <w:bottom w:val="single" w:sz="4" w:space="0" w:color="FFFFFF" w:themeColor="background1"/>
              <w:right w:val="nil"/>
            </w:tcBorders>
            <w:shd w:val="clear" w:color="auto" w:fill="DEEAF6" w:themeFill="accent1" w:themeFillTint="33"/>
            <w:vAlign w:val="center"/>
            <w:hideMark/>
          </w:tcPr>
          <w:p w14:paraId="3B9159D5" w14:textId="77777777" w:rsidR="0098755B" w:rsidRPr="00962762" w:rsidRDefault="0098755B" w:rsidP="00962762">
            <w:pPr>
              <w:rPr>
                <w:rFonts w:asciiTheme="majorHAnsi" w:hAnsiTheme="majorHAnsi" w:cstheme="majorHAnsi"/>
                <w:sz w:val="18"/>
                <w:szCs w:val="20"/>
              </w:rPr>
            </w:pPr>
          </w:p>
        </w:tc>
        <w:tc>
          <w:tcPr>
            <w:tcW w:w="4536" w:type="dxa"/>
            <w:vMerge/>
            <w:tcBorders>
              <w:top w:val="single" w:sz="4" w:space="0" w:color="808080" w:themeColor="background1" w:themeShade="80"/>
              <w:left w:val="nil"/>
              <w:bottom w:val="single" w:sz="4" w:space="0" w:color="808080" w:themeColor="background1" w:themeShade="80"/>
              <w:right w:val="nil"/>
            </w:tcBorders>
            <w:vAlign w:val="center"/>
            <w:hideMark/>
          </w:tcPr>
          <w:p w14:paraId="523011FA" w14:textId="77777777" w:rsidR="0098755B" w:rsidRPr="00962762" w:rsidRDefault="0098755B" w:rsidP="00962762">
            <w:pPr>
              <w:rPr>
                <w:rFonts w:asciiTheme="majorHAnsi" w:hAnsiTheme="majorHAnsi" w:cstheme="majorHAnsi"/>
                <w:sz w:val="18"/>
                <w:szCs w:val="20"/>
              </w:rPr>
            </w:pPr>
          </w:p>
        </w:tc>
        <w:tc>
          <w:tcPr>
            <w:tcW w:w="1276" w:type="dxa"/>
            <w:tcBorders>
              <w:top w:val="single" w:sz="4" w:space="0" w:color="808080" w:themeColor="background1" w:themeShade="80"/>
              <w:left w:val="nil"/>
              <w:bottom w:val="single" w:sz="4" w:space="0" w:color="808080" w:themeColor="background1" w:themeShade="80"/>
              <w:right w:val="nil"/>
            </w:tcBorders>
            <w:vAlign w:val="center"/>
            <w:hideMark/>
          </w:tcPr>
          <w:p w14:paraId="192E763E" w14:textId="77777777" w:rsidR="0098755B" w:rsidRPr="00962762" w:rsidRDefault="0098755B" w:rsidP="00962762">
            <w:pPr>
              <w:jc w:val="both"/>
              <w:rPr>
                <w:rFonts w:asciiTheme="majorHAnsi" w:hAnsiTheme="majorHAnsi" w:cstheme="majorHAnsi"/>
                <w:sz w:val="18"/>
                <w:szCs w:val="20"/>
              </w:rPr>
            </w:pPr>
            <w:r w:rsidRPr="00962762">
              <w:rPr>
                <w:rFonts w:asciiTheme="majorHAnsi" w:hAnsiTheme="majorHAnsi" w:cstheme="majorHAnsi"/>
                <w:sz w:val="18"/>
                <w:szCs w:val="20"/>
              </w:rPr>
              <w:t>Nidzicki</w:t>
            </w:r>
          </w:p>
        </w:tc>
        <w:tc>
          <w:tcPr>
            <w:tcW w:w="987" w:type="dxa"/>
            <w:tcBorders>
              <w:top w:val="single" w:sz="4" w:space="0" w:color="808080" w:themeColor="background1" w:themeShade="80"/>
              <w:left w:val="nil"/>
              <w:bottom w:val="single" w:sz="4" w:space="0" w:color="808080" w:themeColor="background1" w:themeShade="80"/>
              <w:right w:val="nil"/>
            </w:tcBorders>
            <w:vAlign w:val="center"/>
            <w:hideMark/>
          </w:tcPr>
          <w:p w14:paraId="267AFADF" w14:textId="77777777" w:rsidR="0098755B" w:rsidRPr="00962762" w:rsidRDefault="0098755B" w:rsidP="00962762">
            <w:pPr>
              <w:jc w:val="center"/>
              <w:rPr>
                <w:rFonts w:asciiTheme="majorHAnsi" w:hAnsiTheme="majorHAnsi" w:cstheme="majorHAnsi"/>
                <w:sz w:val="18"/>
                <w:szCs w:val="20"/>
              </w:rPr>
            </w:pPr>
            <w:r w:rsidRPr="00962762">
              <w:rPr>
                <w:rFonts w:asciiTheme="majorHAnsi" w:hAnsiTheme="majorHAnsi" w:cstheme="majorHAnsi"/>
                <w:sz w:val="18"/>
                <w:szCs w:val="20"/>
              </w:rPr>
              <w:t>4</w:t>
            </w:r>
          </w:p>
        </w:tc>
      </w:tr>
      <w:tr w:rsidR="0098755B" w:rsidRPr="00962762" w14:paraId="21F7C3E2" w14:textId="77777777" w:rsidTr="00962762">
        <w:trPr>
          <w:trHeight w:val="20"/>
        </w:trPr>
        <w:tc>
          <w:tcPr>
            <w:tcW w:w="2263" w:type="dxa"/>
            <w:vMerge/>
            <w:tcBorders>
              <w:top w:val="single" w:sz="4" w:space="0" w:color="FFFFFF" w:themeColor="background1"/>
              <w:left w:val="single" w:sz="4" w:space="0" w:color="FFFFFF" w:themeColor="background1"/>
              <w:bottom w:val="single" w:sz="4" w:space="0" w:color="FFFFFF" w:themeColor="background1"/>
              <w:right w:val="nil"/>
            </w:tcBorders>
            <w:shd w:val="clear" w:color="auto" w:fill="DEEAF6" w:themeFill="accent1" w:themeFillTint="33"/>
            <w:vAlign w:val="center"/>
            <w:hideMark/>
          </w:tcPr>
          <w:p w14:paraId="5E09B3D3" w14:textId="77777777" w:rsidR="0098755B" w:rsidRPr="00962762" w:rsidRDefault="0098755B" w:rsidP="00962762">
            <w:pPr>
              <w:rPr>
                <w:rFonts w:asciiTheme="majorHAnsi" w:hAnsiTheme="majorHAnsi" w:cstheme="majorHAnsi"/>
                <w:sz w:val="18"/>
                <w:szCs w:val="20"/>
              </w:rPr>
            </w:pPr>
          </w:p>
        </w:tc>
        <w:tc>
          <w:tcPr>
            <w:tcW w:w="4536" w:type="dxa"/>
            <w:vMerge/>
            <w:tcBorders>
              <w:top w:val="single" w:sz="4" w:space="0" w:color="808080" w:themeColor="background1" w:themeShade="80"/>
              <w:left w:val="nil"/>
              <w:bottom w:val="single" w:sz="4" w:space="0" w:color="808080" w:themeColor="background1" w:themeShade="80"/>
              <w:right w:val="nil"/>
            </w:tcBorders>
            <w:vAlign w:val="center"/>
            <w:hideMark/>
          </w:tcPr>
          <w:p w14:paraId="35449B24" w14:textId="77777777" w:rsidR="0098755B" w:rsidRPr="00962762" w:rsidRDefault="0098755B" w:rsidP="00962762">
            <w:pPr>
              <w:rPr>
                <w:rFonts w:asciiTheme="majorHAnsi" w:hAnsiTheme="majorHAnsi" w:cstheme="majorHAnsi"/>
                <w:sz w:val="18"/>
                <w:szCs w:val="20"/>
              </w:rPr>
            </w:pPr>
          </w:p>
        </w:tc>
        <w:tc>
          <w:tcPr>
            <w:tcW w:w="1276" w:type="dxa"/>
            <w:tcBorders>
              <w:top w:val="single" w:sz="4" w:space="0" w:color="808080" w:themeColor="background1" w:themeShade="80"/>
              <w:left w:val="nil"/>
              <w:bottom w:val="single" w:sz="4" w:space="0" w:color="808080" w:themeColor="background1" w:themeShade="80"/>
              <w:right w:val="nil"/>
            </w:tcBorders>
            <w:vAlign w:val="center"/>
            <w:hideMark/>
          </w:tcPr>
          <w:p w14:paraId="240086BA" w14:textId="77777777" w:rsidR="0098755B" w:rsidRPr="00962762" w:rsidRDefault="0098755B" w:rsidP="00962762">
            <w:pPr>
              <w:jc w:val="both"/>
              <w:rPr>
                <w:rFonts w:asciiTheme="majorHAnsi" w:hAnsiTheme="majorHAnsi" w:cstheme="majorHAnsi"/>
                <w:sz w:val="18"/>
                <w:szCs w:val="20"/>
              </w:rPr>
            </w:pPr>
            <w:r w:rsidRPr="00962762">
              <w:rPr>
                <w:rFonts w:asciiTheme="majorHAnsi" w:hAnsiTheme="majorHAnsi" w:cstheme="majorHAnsi"/>
                <w:sz w:val="18"/>
                <w:szCs w:val="20"/>
              </w:rPr>
              <w:t>Piski</w:t>
            </w:r>
          </w:p>
        </w:tc>
        <w:tc>
          <w:tcPr>
            <w:tcW w:w="987" w:type="dxa"/>
            <w:tcBorders>
              <w:top w:val="single" w:sz="4" w:space="0" w:color="808080" w:themeColor="background1" w:themeShade="80"/>
              <w:left w:val="nil"/>
              <w:bottom w:val="single" w:sz="4" w:space="0" w:color="808080" w:themeColor="background1" w:themeShade="80"/>
              <w:right w:val="nil"/>
            </w:tcBorders>
            <w:vAlign w:val="center"/>
            <w:hideMark/>
          </w:tcPr>
          <w:p w14:paraId="433D4E75" w14:textId="77777777" w:rsidR="0098755B" w:rsidRPr="00962762" w:rsidRDefault="0098755B" w:rsidP="00962762">
            <w:pPr>
              <w:jc w:val="center"/>
              <w:rPr>
                <w:rFonts w:asciiTheme="majorHAnsi" w:hAnsiTheme="majorHAnsi" w:cstheme="majorHAnsi"/>
                <w:sz w:val="18"/>
                <w:szCs w:val="20"/>
              </w:rPr>
            </w:pPr>
            <w:r w:rsidRPr="00962762">
              <w:rPr>
                <w:rFonts w:asciiTheme="majorHAnsi" w:hAnsiTheme="majorHAnsi" w:cstheme="majorHAnsi"/>
                <w:sz w:val="18"/>
                <w:szCs w:val="20"/>
              </w:rPr>
              <w:t>1</w:t>
            </w:r>
          </w:p>
        </w:tc>
      </w:tr>
      <w:tr w:rsidR="0098755B" w:rsidRPr="00962762" w14:paraId="6C6C3DCE" w14:textId="77777777" w:rsidTr="00962762">
        <w:trPr>
          <w:trHeight w:val="20"/>
        </w:trPr>
        <w:tc>
          <w:tcPr>
            <w:tcW w:w="2263" w:type="dxa"/>
            <w:vMerge/>
            <w:tcBorders>
              <w:top w:val="single" w:sz="4" w:space="0" w:color="FFFFFF" w:themeColor="background1"/>
              <w:left w:val="single" w:sz="4" w:space="0" w:color="FFFFFF" w:themeColor="background1"/>
              <w:bottom w:val="single" w:sz="4" w:space="0" w:color="FFFFFF" w:themeColor="background1"/>
              <w:right w:val="nil"/>
            </w:tcBorders>
            <w:shd w:val="clear" w:color="auto" w:fill="DEEAF6" w:themeFill="accent1" w:themeFillTint="33"/>
            <w:vAlign w:val="center"/>
            <w:hideMark/>
          </w:tcPr>
          <w:p w14:paraId="392285BA" w14:textId="77777777" w:rsidR="0098755B" w:rsidRPr="00962762" w:rsidRDefault="0098755B" w:rsidP="00962762">
            <w:pPr>
              <w:rPr>
                <w:rFonts w:asciiTheme="majorHAnsi" w:hAnsiTheme="majorHAnsi" w:cstheme="majorHAnsi"/>
                <w:sz w:val="18"/>
                <w:szCs w:val="20"/>
              </w:rPr>
            </w:pPr>
          </w:p>
        </w:tc>
        <w:tc>
          <w:tcPr>
            <w:tcW w:w="4536" w:type="dxa"/>
            <w:vMerge/>
            <w:tcBorders>
              <w:top w:val="single" w:sz="4" w:space="0" w:color="808080" w:themeColor="background1" w:themeShade="80"/>
              <w:left w:val="nil"/>
              <w:bottom w:val="single" w:sz="4" w:space="0" w:color="808080" w:themeColor="background1" w:themeShade="80"/>
              <w:right w:val="nil"/>
            </w:tcBorders>
            <w:vAlign w:val="center"/>
            <w:hideMark/>
          </w:tcPr>
          <w:p w14:paraId="7C70F520" w14:textId="77777777" w:rsidR="0098755B" w:rsidRPr="00962762" w:rsidRDefault="0098755B" w:rsidP="00962762">
            <w:pPr>
              <w:rPr>
                <w:rFonts w:asciiTheme="majorHAnsi" w:hAnsiTheme="majorHAnsi" w:cstheme="majorHAnsi"/>
                <w:sz w:val="18"/>
                <w:szCs w:val="20"/>
              </w:rPr>
            </w:pPr>
          </w:p>
        </w:tc>
        <w:tc>
          <w:tcPr>
            <w:tcW w:w="1276" w:type="dxa"/>
            <w:tcBorders>
              <w:top w:val="single" w:sz="4" w:space="0" w:color="808080" w:themeColor="background1" w:themeShade="80"/>
              <w:left w:val="nil"/>
              <w:bottom w:val="single" w:sz="4" w:space="0" w:color="808080" w:themeColor="background1" w:themeShade="80"/>
              <w:right w:val="nil"/>
            </w:tcBorders>
            <w:vAlign w:val="center"/>
            <w:hideMark/>
          </w:tcPr>
          <w:p w14:paraId="1478D48C" w14:textId="77777777" w:rsidR="0098755B" w:rsidRPr="00962762" w:rsidRDefault="0098755B" w:rsidP="00962762">
            <w:pPr>
              <w:jc w:val="both"/>
              <w:rPr>
                <w:rFonts w:asciiTheme="majorHAnsi" w:hAnsiTheme="majorHAnsi" w:cstheme="majorHAnsi"/>
                <w:sz w:val="18"/>
                <w:szCs w:val="20"/>
              </w:rPr>
            </w:pPr>
            <w:r w:rsidRPr="00962762">
              <w:rPr>
                <w:rFonts w:asciiTheme="majorHAnsi" w:hAnsiTheme="majorHAnsi" w:cstheme="majorHAnsi"/>
                <w:sz w:val="18"/>
                <w:szCs w:val="20"/>
              </w:rPr>
              <w:t>Szczycieński</w:t>
            </w:r>
          </w:p>
        </w:tc>
        <w:tc>
          <w:tcPr>
            <w:tcW w:w="987" w:type="dxa"/>
            <w:tcBorders>
              <w:top w:val="single" w:sz="4" w:space="0" w:color="808080" w:themeColor="background1" w:themeShade="80"/>
              <w:left w:val="nil"/>
              <w:bottom w:val="single" w:sz="4" w:space="0" w:color="808080" w:themeColor="background1" w:themeShade="80"/>
              <w:right w:val="nil"/>
            </w:tcBorders>
            <w:vAlign w:val="center"/>
            <w:hideMark/>
          </w:tcPr>
          <w:p w14:paraId="7A7EC583" w14:textId="77777777" w:rsidR="0098755B" w:rsidRPr="00962762" w:rsidRDefault="0098755B" w:rsidP="00962762">
            <w:pPr>
              <w:jc w:val="center"/>
              <w:rPr>
                <w:rFonts w:asciiTheme="majorHAnsi" w:hAnsiTheme="majorHAnsi" w:cstheme="majorHAnsi"/>
                <w:sz w:val="18"/>
                <w:szCs w:val="20"/>
              </w:rPr>
            </w:pPr>
            <w:r w:rsidRPr="00962762">
              <w:rPr>
                <w:rFonts w:asciiTheme="majorHAnsi" w:hAnsiTheme="majorHAnsi" w:cstheme="majorHAnsi"/>
                <w:sz w:val="18"/>
                <w:szCs w:val="20"/>
              </w:rPr>
              <w:t>2</w:t>
            </w:r>
          </w:p>
        </w:tc>
      </w:tr>
      <w:tr w:rsidR="0098755B" w:rsidRPr="00962762" w14:paraId="67147920" w14:textId="77777777" w:rsidTr="00962762">
        <w:trPr>
          <w:trHeight w:val="20"/>
        </w:trPr>
        <w:tc>
          <w:tcPr>
            <w:tcW w:w="2263" w:type="dxa"/>
            <w:vMerge/>
            <w:tcBorders>
              <w:top w:val="single" w:sz="4" w:space="0" w:color="FFFFFF" w:themeColor="background1"/>
              <w:left w:val="single" w:sz="4" w:space="0" w:color="FFFFFF" w:themeColor="background1"/>
              <w:bottom w:val="single" w:sz="4" w:space="0" w:color="FFFFFF" w:themeColor="background1"/>
              <w:right w:val="nil"/>
            </w:tcBorders>
            <w:shd w:val="clear" w:color="auto" w:fill="DEEAF6" w:themeFill="accent1" w:themeFillTint="33"/>
            <w:vAlign w:val="center"/>
            <w:hideMark/>
          </w:tcPr>
          <w:p w14:paraId="0F8BF48F" w14:textId="77777777" w:rsidR="0098755B" w:rsidRPr="00962762" w:rsidRDefault="0098755B" w:rsidP="00962762">
            <w:pPr>
              <w:rPr>
                <w:rFonts w:asciiTheme="majorHAnsi" w:hAnsiTheme="majorHAnsi" w:cstheme="majorHAnsi"/>
                <w:sz w:val="18"/>
                <w:szCs w:val="20"/>
              </w:rPr>
            </w:pPr>
          </w:p>
        </w:tc>
        <w:tc>
          <w:tcPr>
            <w:tcW w:w="4536" w:type="dxa"/>
            <w:vMerge w:val="restart"/>
            <w:tcBorders>
              <w:top w:val="single" w:sz="4" w:space="0" w:color="808080" w:themeColor="background1" w:themeShade="80"/>
              <w:left w:val="nil"/>
              <w:bottom w:val="single" w:sz="4" w:space="0" w:color="808080" w:themeColor="background1" w:themeShade="80"/>
              <w:right w:val="nil"/>
            </w:tcBorders>
            <w:vAlign w:val="center"/>
            <w:hideMark/>
          </w:tcPr>
          <w:p w14:paraId="0731DB02" w14:textId="77777777" w:rsidR="0098755B" w:rsidRPr="00962762" w:rsidRDefault="0098755B" w:rsidP="00962762">
            <w:pPr>
              <w:rPr>
                <w:rFonts w:asciiTheme="majorHAnsi" w:hAnsiTheme="majorHAnsi" w:cstheme="majorHAnsi"/>
                <w:sz w:val="18"/>
                <w:szCs w:val="20"/>
              </w:rPr>
            </w:pPr>
            <w:r w:rsidRPr="00962762">
              <w:rPr>
                <w:rFonts w:asciiTheme="majorHAnsi" w:hAnsiTheme="majorHAnsi" w:cstheme="majorHAnsi"/>
                <w:sz w:val="18"/>
                <w:szCs w:val="20"/>
              </w:rPr>
              <w:t>Miejsca noclegowe całoroczne na 1000 noclegów</w:t>
            </w:r>
          </w:p>
        </w:tc>
        <w:tc>
          <w:tcPr>
            <w:tcW w:w="1276" w:type="dxa"/>
            <w:tcBorders>
              <w:top w:val="single" w:sz="4" w:space="0" w:color="808080" w:themeColor="background1" w:themeShade="80"/>
              <w:left w:val="nil"/>
              <w:bottom w:val="single" w:sz="4" w:space="0" w:color="808080" w:themeColor="background1" w:themeShade="80"/>
              <w:right w:val="nil"/>
            </w:tcBorders>
            <w:vAlign w:val="center"/>
            <w:hideMark/>
          </w:tcPr>
          <w:p w14:paraId="1EAB9307" w14:textId="77777777" w:rsidR="0098755B" w:rsidRPr="00962762" w:rsidRDefault="0098755B" w:rsidP="00962762">
            <w:pPr>
              <w:jc w:val="both"/>
              <w:rPr>
                <w:rFonts w:asciiTheme="majorHAnsi" w:hAnsiTheme="majorHAnsi" w:cstheme="majorHAnsi"/>
                <w:sz w:val="18"/>
                <w:szCs w:val="20"/>
              </w:rPr>
            </w:pPr>
            <w:r w:rsidRPr="00962762">
              <w:rPr>
                <w:rFonts w:asciiTheme="majorHAnsi" w:hAnsiTheme="majorHAnsi" w:cstheme="majorHAnsi"/>
                <w:sz w:val="18"/>
                <w:szCs w:val="20"/>
              </w:rPr>
              <w:t>Działdowski</w:t>
            </w:r>
          </w:p>
        </w:tc>
        <w:tc>
          <w:tcPr>
            <w:tcW w:w="987" w:type="dxa"/>
            <w:tcBorders>
              <w:top w:val="single" w:sz="4" w:space="0" w:color="808080" w:themeColor="background1" w:themeShade="80"/>
              <w:left w:val="nil"/>
              <w:bottom w:val="single" w:sz="4" w:space="0" w:color="808080" w:themeColor="background1" w:themeShade="80"/>
              <w:right w:val="nil"/>
            </w:tcBorders>
            <w:vAlign w:val="center"/>
            <w:hideMark/>
          </w:tcPr>
          <w:p w14:paraId="373428F8" w14:textId="77777777" w:rsidR="0098755B" w:rsidRPr="00962762" w:rsidRDefault="0098755B" w:rsidP="00962762">
            <w:pPr>
              <w:jc w:val="center"/>
              <w:rPr>
                <w:rFonts w:asciiTheme="majorHAnsi" w:hAnsiTheme="majorHAnsi" w:cstheme="majorHAnsi"/>
                <w:sz w:val="18"/>
                <w:szCs w:val="20"/>
              </w:rPr>
            </w:pPr>
            <w:r w:rsidRPr="00962762">
              <w:rPr>
                <w:rFonts w:asciiTheme="majorHAnsi" w:hAnsiTheme="majorHAnsi" w:cstheme="majorHAnsi"/>
                <w:sz w:val="18"/>
                <w:szCs w:val="20"/>
              </w:rPr>
              <w:t>3</w:t>
            </w:r>
          </w:p>
        </w:tc>
      </w:tr>
      <w:tr w:rsidR="0098755B" w:rsidRPr="00962762" w14:paraId="31536BC0" w14:textId="77777777" w:rsidTr="00962762">
        <w:trPr>
          <w:trHeight w:val="20"/>
        </w:trPr>
        <w:tc>
          <w:tcPr>
            <w:tcW w:w="2263" w:type="dxa"/>
            <w:vMerge/>
            <w:tcBorders>
              <w:top w:val="single" w:sz="4" w:space="0" w:color="FFFFFF" w:themeColor="background1"/>
              <w:left w:val="single" w:sz="4" w:space="0" w:color="FFFFFF" w:themeColor="background1"/>
              <w:bottom w:val="single" w:sz="4" w:space="0" w:color="FFFFFF" w:themeColor="background1"/>
              <w:right w:val="nil"/>
            </w:tcBorders>
            <w:shd w:val="clear" w:color="auto" w:fill="DEEAF6" w:themeFill="accent1" w:themeFillTint="33"/>
            <w:vAlign w:val="center"/>
            <w:hideMark/>
          </w:tcPr>
          <w:p w14:paraId="1777A1F6" w14:textId="77777777" w:rsidR="0098755B" w:rsidRPr="00962762" w:rsidRDefault="0098755B" w:rsidP="00962762">
            <w:pPr>
              <w:rPr>
                <w:rFonts w:asciiTheme="majorHAnsi" w:hAnsiTheme="majorHAnsi" w:cstheme="majorHAnsi"/>
                <w:sz w:val="18"/>
                <w:szCs w:val="20"/>
              </w:rPr>
            </w:pPr>
          </w:p>
        </w:tc>
        <w:tc>
          <w:tcPr>
            <w:tcW w:w="4536" w:type="dxa"/>
            <w:vMerge/>
            <w:tcBorders>
              <w:top w:val="single" w:sz="4" w:space="0" w:color="808080" w:themeColor="background1" w:themeShade="80"/>
              <w:left w:val="nil"/>
              <w:bottom w:val="single" w:sz="4" w:space="0" w:color="808080" w:themeColor="background1" w:themeShade="80"/>
              <w:right w:val="nil"/>
            </w:tcBorders>
            <w:vAlign w:val="center"/>
            <w:hideMark/>
          </w:tcPr>
          <w:p w14:paraId="638D0BF8" w14:textId="77777777" w:rsidR="0098755B" w:rsidRPr="00962762" w:rsidRDefault="0098755B" w:rsidP="00962762">
            <w:pPr>
              <w:rPr>
                <w:rFonts w:asciiTheme="majorHAnsi" w:hAnsiTheme="majorHAnsi" w:cstheme="majorHAnsi"/>
                <w:sz w:val="18"/>
                <w:szCs w:val="20"/>
              </w:rPr>
            </w:pPr>
          </w:p>
        </w:tc>
        <w:tc>
          <w:tcPr>
            <w:tcW w:w="1276" w:type="dxa"/>
            <w:tcBorders>
              <w:top w:val="single" w:sz="4" w:space="0" w:color="808080" w:themeColor="background1" w:themeShade="80"/>
              <w:left w:val="nil"/>
              <w:bottom w:val="single" w:sz="4" w:space="0" w:color="808080" w:themeColor="background1" w:themeShade="80"/>
              <w:right w:val="nil"/>
            </w:tcBorders>
            <w:vAlign w:val="center"/>
            <w:hideMark/>
          </w:tcPr>
          <w:p w14:paraId="35110C60" w14:textId="77777777" w:rsidR="0098755B" w:rsidRPr="00962762" w:rsidRDefault="0098755B" w:rsidP="00962762">
            <w:pPr>
              <w:jc w:val="both"/>
              <w:rPr>
                <w:rFonts w:asciiTheme="majorHAnsi" w:hAnsiTheme="majorHAnsi" w:cstheme="majorHAnsi"/>
                <w:sz w:val="18"/>
                <w:szCs w:val="20"/>
              </w:rPr>
            </w:pPr>
            <w:r w:rsidRPr="00962762">
              <w:rPr>
                <w:rFonts w:asciiTheme="majorHAnsi" w:hAnsiTheme="majorHAnsi" w:cstheme="majorHAnsi"/>
                <w:sz w:val="18"/>
                <w:szCs w:val="20"/>
              </w:rPr>
              <w:t>Nidzicki</w:t>
            </w:r>
          </w:p>
        </w:tc>
        <w:tc>
          <w:tcPr>
            <w:tcW w:w="987" w:type="dxa"/>
            <w:tcBorders>
              <w:top w:val="single" w:sz="4" w:space="0" w:color="808080" w:themeColor="background1" w:themeShade="80"/>
              <w:left w:val="nil"/>
              <w:bottom w:val="single" w:sz="4" w:space="0" w:color="808080" w:themeColor="background1" w:themeShade="80"/>
              <w:right w:val="nil"/>
            </w:tcBorders>
            <w:vAlign w:val="center"/>
            <w:hideMark/>
          </w:tcPr>
          <w:p w14:paraId="6A148C33" w14:textId="77777777" w:rsidR="0098755B" w:rsidRPr="00962762" w:rsidRDefault="0098755B" w:rsidP="00962762">
            <w:pPr>
              <w:jc w:val="center"/>
              <w:rPr>
                <w:rFonts w:asciiTheme="majorHAnsi" w:hAnsiTheme="majorHAnsi" w:cstheme="majorHAnsi"/>
                <w:sz w:val="18"/>
                <w:szCs w:val="20"/>
              </w:rPr>
            </w:pPr>
            <w:r w:rsidRPr="00962762">
              <w:rPr>
                <w:rFonts w:asciiTheme="majorHAnsi" w:hAnsiTheme="majorHAnsi" w:cstheme="majorHAnsi"/>
                <w:sz w:val="18"/>
                <w:szCs w:val="20"/>
              </w:rPr>
              <w:t>4</w:t>
            </w:r>
          </w:p>
        </w:tc>
      </w:tr>
      <w:tr w:rsidR="0098755B" w:rsidRPr="00962762" w14:paraId="24744853" w14:textId="77777777" w:rsidTr="00962762">
        <w:trPr>
          <w:trHeight w:val="20"/>
        </w:trPr>
        <w:tc>
          <w:tcPr>
            <w:tcW w:w="2263" w:type="dxa"/>
            <w:vMerge/>
            <w:tcBorders>
              <w:top w:val="single" w:sz="4" w:space="0" w:color="FFFFFF" w:themeColor="background1"/>
              <w:left w:val="single" w:sz="4" w:space="0" w:color="FFFFFF" w:themeColor="background1"/>
              <w:bottom w:val="single" w:sz="4" w:space="0" w:color="FFFFFF" w:themeColor="background1"/>
              <w:right w:val="nil"/>
            </w:tcBorders>
            <w:shd w:val="clear" w:color="auto" w:fill="DEEAF6" w:themeFill="accent1" w:themeFillTint="33"/>
            <w:vAlign w:val="center"/>
            <w:hideMark/>
          </w:tcPr>
          <w:p w14:paraId="68597BD1" w14:textId="77777777" w:rsidR="0098755B" w:rsidRPr="00962762" w:rsidRDefault="0098755B" w:rsidP="00962762">
            <w:pPr>
              <w:rPr>
                <w:rFonts w:asciiTheme="majorHAnsi" w:hAnsiTheme="majorHAnsi" w:cstheme="majorHAnsi"/>
                <w:sz w:val="18"/>
                <w:szCs w:val="20"/>
              </w:rPr>
            </w:pPr>
          </w:p>
        </w:tc>
        <w:tc>
          <w:tcPr>
            <w:tcW w:w="4536" w:type="dxa"/>
            <w:vMerge/>
            <w:tcBorders>
              <w:top w:val="single" w:sz="4" w:space="0" w:color="808080" w:themeColor="background1" w:themeShade="80"/>
              <w:left w:val="nil"/>
              <w:bottom w:val="single" w:sz="4" w:space="0" w:color="808080" w:themeColor="background1" w:themeShade="80"/>
              <w:right w:val="nil"/>
            </w:tcBorders>
            <w:vAlign w:val="center"/>
            <w:hideMark/>
          </w:tcPr>
          <w:p w14:paraId="4BEFDD50" w14:textId="77777777" w:rsidR="0098755B" w:rsidRPr="00962762" w:rsidRDefault="0098755B" w:rsidP="00962762">
            <w:pPr>
              <w:rPr>
                <w:rFonts w:asciiTheme="majorHAnsi" w:hAnsiTheme="majorHAnsi" w:cstheme="majorHAnsi"/>
                <w:sz w:val="18"/>
                <w:szCs w:val="20"/>
              </w:rPr>
            </w:pPr>
          </w:p>
        </w:tc>
        <w:tc>
          <w:tcPr>
            <w:tcW w:w="1276" w:type="dxa"/>
            <w:tcBorders>
              <w:top w:val="single" w:sz="4" w:space="0" w:color="808080" w:themeColor="background1" w:themeShade="80"/>
              <w:left w:val="nil"/>
              <w:bottom w:val="single" w:sz="4" w:space="0" w:color="808080" w:themeColor="background1" w:themeShade="80"/>
              <w:right w:val="nil"/>
            </w:tcBorders>
            <w:vAlign w:val="center"/>
            <w:hideMark/>
          </w:tcPr>
          <w:p w14:paraId="4C0A1E7A" w14:textId="77777777" w:rsidR="0098755B" w:rsidRPr="00962762" w:rsidRDefault="0098755B" w:rsidP="00962762">
            <w:pPr>
              <w:jc w:val="both"/>
              <w:rPr>
                <w:rFonts w:asciiTheme="majorHAnsi" w:hAnsiTheme="majorHAnsi" w:cstheme="majorHAnsi"/>
                <w:sz w:val="18"/>
                <w:szCs w:val="20"/>
              </w:rPr>
            </w:pPr>
            <w:r w:rsidRPr="00962762">
              <w:rPr>
                <w:rFonts w:asciiTheme="majorHAnsi" w:hAnsiTheme="majorHAnsi" w:cstheme="majorHAnsi"/>
                <w:sz w:val="18"/>
                <w:szCs w:val="20"/>
              </w:rPr>
              <w:t>Piski</w:t>
            </w:r>
          </w:p>
        </w:tc>
        <w:tc>
          <w:tcPr>
            <w:tcW w:w="987" w:type="dxa"/>
            <w:tcBorders>
              <w:top w:val="single" w:sz="4" w:space="0" w:color="808080" w:themeColor="background1" w:themeShade="80"/>
              <w:left w:val="nil"/>
              <w:bottom w:val="single" w:sz="4" w:space="0" w:color="808080" w:themeColor="background1" w:themeShade="80"/>
              <w:right w:val="nil"/>
            </w:tcBorders>
            <w:vAlign w:val="center"/>
            <w:hideMark/>
          </w:tcPr>
          <w:p w14:paraId="3B40150C" w14:textId="77777777" w:rsidR="0098755B" w:rsidRPr="00962762" w:rsidRDefault="0098755B" w:rsidP="00962762">
            <w:pPr>
              <w:jc w:val="center"/>
              <w:rPr>
                <w:rFonts w:asciiTheme="majorHAnsi" w:hAnsiTheme="majorHAnsi" w:cstheme="majorHAnsi"/>
                <w:sz w:val="18"/>
                <w:szCs w:val="20"/>
              </w:rPr>
            </w:pPr>
            <w:r w:rsidRPr="00962762">
              <w:rPr>
                <w:rFonts w:asciiTheme="majorHAnsi" w:hAnsiTheme="majorHAnsi" w:cstheme="majorHAnsi"/>
                <w:sz w:val="18"/>
                <w:szCs w:val="20"/>
              </w:rPr>
              <w:t>1</w:t>
            </w:r>
          </w:p>
        </w:tc>
      </w:tr>
      <w:tr w:rsidR="0098755B" w:rsidRPr="00962762" w14:paraId="16F33ED2" w14:textId="77777777" w:rsidTr="00962762">
        <w:trPr>
          <w:trHeight w:val="20"/>
        </w:trPr>
        <w:tc>
          <w:tcPr>
            <w:tcW w:w="2263" w:type="dxa"/>
            <w:vMerge/>
            <w:tcBorders>
              <w:top w:val="single" w:sz="4" w:space="0" w:color="FFFFFF" w:themeColor="background1"/>
              <w:left w:val="single" w:sz="4" w:space="0" w:color="FFFFFF" w:themeColor="background1"/>
              <w:bottom w:val="single" w:sz="4" w:space="0" w:color="FFFFFF" w:themeColor="background1"/>
              <w:right w:val="nil"/>
            </w:tcBorders>
            <w:shd w:val="clear" w:color="auto" w:fill="DEEAF6" w:themeFill="accent1" w:themeFillTint="33"/>
            <w:vAlign w:val="center"/>
            <w:hideMark/>
          </w:tcPr>
          <w:p w14:paraId="1C075F43" w14:textId="77777777" w:rsidR="0098755B" w:rsidRPr="00962762" w:rsidRDefault="0098755B" w:rsidP="00962762">
            <w:pPr>
              <w:rPr>
                <w:rFonts w:asciiTheme="majorHAnsi" w:hAnsiTheme="majorHAnsi" w:cstheme="majorHAnsi"/>
                <w:sz w:val="18"/>
                <w:szCs w:val="20"/>
              </w:rPr>
            </w:pPr>
          </w:p>
        </w:tc>
        <w:tc>
          <w:tcPr>
            <w:tcW w:w="4536" w:type="dxa"/>
            <w:vMerge/>
            <w:tcBorders>
              <w:top w:val="single" w:sz="4" w:space="0" w:color="808080" w:themeColor="background1" w:themeShade="80"/>
              <w:left w:val="nil"/>
              <w:bottom w:val="single" w:sz="4" w:space="0" w:color="808080" w:themeColor="background1" w:themeShade="80"/>
              <w:right w:val="nil"/>
            </w:tcBorders>
            <w:vAlign w:val="center"/>
            <w:hideMark/>
          </w:tcPr>
          <w:p w14:paraId="61DE4F46" w14:textId="77777777" w:rsidR="0098755B" w:rsidRPr="00962762" w:rsidRDefault="0098755B" w:rsidP="00962762">
            <w:pPr>
              <w:rPr>
                <w:rFonts w:asciiTheme="majorHAnsi" w:hAnsiTheme="majorHAnsi" w:cstheme="majorHAnsi"/>
                <w:sz w:val="18"/>
                <w:szCs w:val="20"/>
              </w:rPr>
            </w:pPr>
          </w:p>
        </w:tc>
        <w:tc>
          <w:tcPr>
            <w:tcW w:w="1276" w:type="dxa"/>
            <w:tcBorders>
              <w:top w:val="single" w:sz="4" w:space="0" w:color="808080" w:themeColor="background1" w:themeShade="80"/>
              <w:left w:val="nil"/>
              <w:bottom w:val="single" w:sz="4" w:space="0" w:color="808080" w:themeColor="background1" w:themeShade="80"/>
              <w:right w:val="nil"/>
            </w:tcBorders>
            <w:vAlign w:val="center"/>
            <w:hideMark/>
          </w:tcPr>
          <w:p w14:paraId="28942AA4" w14:textId="77777777" w:rsidR="0098755B" w:rsidRPr="00962762" w:rsidRDefault="0098755B" w:rsidP="00962762">
            <w:pPr>
              <w:jc w:val="both"/>
              <w:rPr>
                <w:rFonts w:asciiTheme="majorHAnsi" w:hAnsiTheme="majorHAnsi" w:cstheme="majorHAnsi"/>
                <w:sz w:val="18"/>
                <w:szCs w:val="20"/>
              </w:rPr>
            </w:pPr>
            <w:r w:rsidRPr="00962762">
              <w:rPr>
                <w:rFonts w:asciiTheme="majorHAnsi" w:hAnsiTheme="majorHAnsi" w:cstheme="majorHAnsi"/>
                <w:sz w:val="18"/>
                <w:szCs w:val="20"/>
              </w:rPr>
              <w:t>Szczycieński</w:t>
            </w:r>
          </w:p>
        </w:tc>
        <w:tc>
          <w:tcPr>
            <w:tcW w:w="987" w:type="dxa"/>
            <w:tcBorders>
              <w:top w:val="single" w:sz="4" w:space="0" w:color="808080" w:themeColor="background1" w:themeShade="80"/>
              <w:left w:val="nil"/>
              <w:bottom w:val="single" w:sz="4" w:space="0" w:color="808080" w:themeColor="background1" w:themeShade="80"/>
              <w:right w:val="nil"/>
            </w:tcBorders>
            <w:vAlign w:val="center"/>
            <w:hideMark/>
          </w:tcPr>
          <w:p w14:paraId="573492DE" w14:textId="77777777" w:rsidR="0098755B" w:rsidRPr="00962762" w:rsidRDefault="0098755B" w:rsidP="00962762">
            <w:pPr>
              <w:jc w:val="center"/>
              <w:rPr>
                <w:rFonts w:asciiTheme="majorHAnsi" w:hAnsiTheme="majorHAnsi" w:cstheme="majorHAnsi"/>
                <w:sz w:val="18"/>
                <w:szCs w:val="20"/>
              </w:rPr>
            </w:pPr>
            <w:r w:rsidRPr="00962762">
              <w:rPr>
                <w:rFonts w:asciiTheme="majorHAnsi" w:hAnsiTheme="majorHAnsi" w:cstheme="majorHAnsi"/>
                <w:sz w:val="18"/>
                <w:szCs w:val="20"/>
              </w:rPr>
              <w:t>2</w:t>
            </w:r>
          </w:p>
        </w:tc>
      </w:tr>
      <w:tr w:rsidR="0098755B" w:rsidRPr="00962762" w14:paraId="37341ED9" w14:textId="77777777" w:rsidTr="00962762">
        <w:trPr>
          <w:trHeight w:val="20"/>
        </w:trPr>
        <w:tc>
          <w:tcPr>
            <w:tcW w:w="2263" w:type="dxa"/>
            <w:vMerge/>
            <w:tcBorders>
              <w:top w:val="single" w:sz="4" w:space="0" w:color="FFFFFF" w:themeColor="background1"/>
              <w:left w:val="single" w:sz="4" w:space="0" w:color="FFFFFF" w:themeColor="background1"/>
              <w:bottom w:val="single" w:sz="4" w:space="0" w:color="FFFFFF" w:themeColor="background1"/>
              <w:right w:val="nil"/>
            </w:tcBorders>
            <w:shd w:val="clear" w:color="auto" w:fill="DEEAF6" w:themeFill="accent1" w:themeFillTint="33"/>
            <w:vAlign w:val="center"/>
            <w:hideMark/>
          </w:tcPr>
          <w:p w14:paraId="0CBDAE8C" w14:textId="77777777" w:rsidR="0098755B" w:rsidRPr="00962762" w:rsidRDefault="0098755B" w:rsidP="00962762">
            <w:pPr>
              <w:rPr>
                <w:rFonts w:asciiTheme="majorHAnsi" w:hAnsiTheme="majorHAnsi" w:cstheme="majorHAnsi"/>
                <w:sz w:val="18"/>
                <w:szCs w:val="20"/>
              </w:rPr>
            </w:pPr>
          </w:p>
        </w:tc>
        <w:tc>
          <w:tcPr>
            <w:tcW w:w="4536" w:type="dxa"/>
            <w:vMerge w:val="restart"/>
            <w:tcBorders>
              <w:top w:val="single" w:sz="4" w:space="0" w:color="808080" w:themeColor="background1" w:themeShade="80"/>
              <w:left w:val="nil"/>
              <w:bottom w:val="single" w:sz="4" w:space="0" w:color="808080" w:themeColor="background1" w:themeShade="80"/>
              <w:right w:val="nil"/>
            </w:tcBorders>
            <w:vAlign w:val="center"/>
            <w:hideMark/>
          </w:tcPr>
          <w:p w14:paraId="63DDE36F" w14:textId="77777777" w:rsidR="0098755B" w:rsidRPr="00962762" w:rsidRDefault="0098755B" w:rsidP="00962762">
            <w:pPr>
              <w:rPr>
                <w:rFonts w:asciiTheme="majorHAnsi" w:hAnsiTheme="majorHAnsi" w:cstheme="majorHAnsi"/>
                <w:sz w:val="18"/>
                <w:szCs w:val="20"/>
              </w:rPr>
            </w:pPr>
            <w:r w:rsidRPr="00962762">
              <w:rPr>
                <w:rFonts w:asciiTheme="majorHAnsi" w:hAnsiTheme="majorHAnsi" w:cstheme="majorHAnsi"/>
                <w:sz w:val="18"/>
                <w:szCs w:val="20"/>
              </w:rPr>
              <w:t>Udzielone noclegi na 1000 ludności</w:t>
            </w:r>
          </w:p>
        </w:tc>
        <w:tc>
          <w:tcPr>
            <w:tcW w:w="1276" w:type="dxa"/>
            <w:tcBorders>
              <w:top w:val="single" w:sz="4" w:space="0" w:color="808080" w:themeColor="background1" w:themeShade="80"/>
              <w:left w:val="nil"/>
              <w:bottom w:val="single" w:sz="4" w:space="0" w:color="808080" w:themeColor="background1" w:themeShade="80"/>
              <w:right w:val="nil"/>
            </w:tcBorders>
            <w:vAlign w:val="center"/>
            <w:hideMark/>
          </w:tcPr>
          <w:p w14:paraId="526B0A77" w14:textId="77777777" w:rsidR="0098755B" w:rsidRPr="00962762" w:rsidRDefault="0098755B" w:rsidP="00962762">
            <w:pPr>
              <w:jc w:val="both"/>
              <w:rPr>
                <w:rFonts w:asciiTheme="majorHAnsi" w:hAnsiTheme="majorHAnsi" w:cstheme="majorHAnsi"/>
                <w:sz w:val="18"/>
                <w:szCs w:val="20"/>
              </w:rPr>
            </w:pPr>
            <w:r w:rsidRPr="00962762">
              <w:rPr>
                <w:rFonts w:asciiTheme="majorHAnsi" w:hAnsiTheme="majorHAnsi" w:cstheme="majorHAnsi"/>
                <w:sz w:val="18"/>
                <w:szCs w:val="20"/>
              </w:rPr>
              <w:t>Działdowski</w:t>
            </w:r>
          </w:p>
        </w:tc>
        <w:tc>
          <w:tcPr>
            <w:tcW w:w="987" w:type="dxa"/>
            <w:tcBorders>
              <w:top w:val="single" w:sz="4" w:space="0" w:color="808080" w:themeColor="background1" w:themeShade="80"/>
              <w:left w:val="nil"/>
              <w:bottom w:val="single" w:sz="4" w:space="0" w:color="808080" w:themeColor="background1" w:themeShade="80"/>
              <w:right w:val="nil"/>
            </w:tcBorders>
            <w:vAlign w:val="center"/>
            <w:hideMark/>
          </w:tcPr>
          <w:p w14:paraId="6F7D5BB5" w14:textId="77777777" w:rsidR="0098755B" w:rsidRPr="00962762" w:rsidRDefault="0098755B" w:rsidP="00962762">
            <w:pPr>
              <w:jc w:val="center"/>
              <w:rPr>
                <w:rFonts w:asciiTheme="majorHAnsi" w:hAnsiTheme="majorHAnsi" w:cstheme="majorHAnsi"/>
                <w:sz w:val="18"/>
                <w:szCs w:val="20"/>
              </w:rPr>
            </w:pPr>
            <w:r w:rsidRPr="00962762">
              <w:rPr>
                <w:rFonts w:asciiTheme="majorHAnsi" w:hAnsiTheme="majorHAnsi" w:cstheme="majorHAnsi"/>
                <w:sz w:val="18"/>
                <w:szCs w:val="20"/>
              </w:rPr>
              <w:t>4</w:t>
            </w:r>
          </w:p>
        </w:tc>
      </w:tr>
      <w:tr w:rsidR="0098755B" w:rsidRPr="00962762" w14:paraId="1CCB28F0" w14:textId="77777777" w:rsidTr="00962762">
        <w:trPr>
          <w:trHeight w:val="20"/>
        </w:trPr>
        <w:tc>
          <w:tcPr>
            <w:tcW w:w="2263" w:type="dxa"/>
            <w:vMerge/>
            <w:tcBorders>
              <w:top w:val="single" w:sz="4" w:space="0" w:color="FFFFFF" w:themeColor="background1"/>
              <w:left w:val="single" w:sz="4" w:space="0" w:color="FFFFFF" w:themeColor="background1"/>
              <w:bottom w:val="single" w:sz="4" w:space="0" w:color="FFFFFF" w:themeColor="background1"/>
              <w:right w:val="nil"/>
            </w:tcBorders>
            <w:shd w:val="clear" w:color="auto" w:fill="DEEAF6" w:themeFill="accent1" w:themeFillTint="33"/>
            <w:vAlign w:val="center"/>
            <w:hideMark/>
          </w:tcPr>
          <w:p w14:paraId="65903A7B" w14:textId="77777777" w:rsidR="0098755B" w:rsidRPr="00962762" w:rsidRDefault="0098755B" w:rsidP="00962762">
            <w:pPr>
              <w:rPr>
                <w:rFonts w:asciiTheme="majorHAnsi" w:hAnsiTheme="majorHAnsi" w:cstheme="majorHAnsi"/>
                <w:sz w:val="18"/>
                <w:szCs w:val="20"/>
              </w:rPr>
            </w:pPr>
          </w:p>
        </w:tc>
        <w:tc>
          <w:tcPr>
            <w:tcW w:w="4536" w:type="dxa"/>
            <w:vMerge/>
            <w:tcBorders>
              <w:top w:val="single" w:sz="4" w:space="0" w:color="808080" w:themeColor="background1" w:themeShade="80"/>
              <w:left w:val="nil"/>
              <w:bottom w:val="single" w:sz="4" w:space="0" w:color="808080" w:themeColor="background1" w:themeShade="80"/>
              <w:right w:val="nil"/>
            </w:tcBorders>
            <w:vAlign w:val="center"/>
            <w:hideMark/>
          </w:tcPr>
          <w:p w14:paraId="69205DBE" w14:textId="77777777" w:rsidR="0098755B" w:rsidRPr="00962762" w:rsidRDefault="0098755B" w:rsidP="00962762">
            <w:pPr>
              <w:rPr>
                <w:rFonts w:asciiTheme="majorHAnsi" w:hAnsiTheme="majorHAnsi" w:cstheme="majorHAnsi"/>
                <w:sz w:val="18"/>
                <w:szCs w:val="20"/>
              </w:rPr>
            </w:pPr>
          </w:p>
        </w:tc>
        <w:tc>
          <w:tcPr>
            <w:tcW w:w="1276" w:type="dxa"/>
            <w:tcBorders>
              <w:top w:val="single" w:sz="4" w:space="0" w:color="808080" w:themeColor="background1" w:themeShade="80"/>
              <w:left w:val="nil"/>
              <w:bottom w:val="single" w:sz="4" w:space="0" w:color="808080" w:themeColor="background1" w:themeShade="80"/>
              <w:right w:val="nil"/>
            </w:tcBorders>
            <w:vAlign w:val="center"/>
            <w:hideMark/>
          </w:tcPr>
          <w:p w14:paraId="19B932CB" w14:textId="77777777" w:rsidR="0098755B" w:rsidRPr="00962762" w:rsidRDefault="0098755B" w:rsidP="00962762">
            <w:pPr>
              <w:jc w:val="both"/>
              <w:rPr>
                <w:rFonts w:asciiTheme="majorHAnsi" w:hAnsiTheme="majorHAnsi" w:cstheme="majorHAnsi"/>
                <w:sz w:val="18"/>
                <w:szCs w:val="20"/>
              </w:rPr>
            </w:pPr>
            <w:r w:rsidRPr="00962762">
              <w:rPr>
                <w:rFonts w:asciiTheme="majorHAnsi" w:hAnsiTheme="majorHAnsi" w:cstheme="majorHAnsi"/>
                <w:sz w:val="18"/>
                <w:szCs w:val="20"/>
              </w:rPr>
              <w:t>Nidzicki</w:t>
            </w:r>
          </w:p>
        </w:tc>
        <w:tc>
          <w:tcPr>
            <w:tcW w:w="987" w:type="dxa"/>
            <w:tcBorders>
              <w:top w:val="single" w:sz="4" w:space="0" w:color="808080" w:themeColor="background1" w:themeShade="80"/>
              <w:left w:val="nil"/>
              <w:bottom w:val="single" w:sz="4" w:space="0" w:color="808080" w:themeColor="background1" w:themeShade="80"/>
              <w:right w:val="nil"/>
            </w:tcBorders>
            <w:vAlign w:val="center"/>
            <w:hideMark/>
          </w:tcPr>
          <w:p w14:paraId="70DE5761" w14:textId="77777777" w:rsidR="0098755B" w:rsidRPr="00962762" w:rsidRDefault="0098755B" w:rsidP="00962762">
            <w:pPr>
              <w:jc w:val="center"/>
              <w:rPr>
                <w:rFonts w:asciiTheme="majorHAnsi" w:hAnsiTheme="majorHAnsi" w:cstheme="majorHAnsi"/>
                <w:sz w:val="18"/>
                <w:szCs w:val="20"/>
              </w:rPr>
            </w:pPr>
            <w:r w:rsidRPr="00962762">
              <w:rPr>
                <w:rFonts w:asciiTheme="majorHAnsi" w:hAnsiTheme="majorHAnsi" w:cstheme="majorHAnsi"/>
                <w:sz w:val="18"/>
                <w:szCs w:val="20"/>
              </w:rPr>
              <w:t>3</w:t>
            </w:r>
          </w:p>
        </w:tc>
      </w:tr>
      <w:tr w:rsidR="0098755B" w:rsidRPr="00962762" w14:paraId="28963360" w14:textId="77777777" w:rsidTr="00962762">
        <w:trPr>
          <w:trHeight w:val="20"/>
        </w:trPr>
        <w:tc>
          <w:tcPr>
            <w:tcW w:w="2263" w:type="dxa"/>
            <w:vMerge/>
            <w:tcBorders>
              <w:top w:val="single" w:sz="4" w:space="0" w:color="FFFFFF" w:themeColor="background1"/>
              <w:left w:val="single" w:sz="4" w:space="0" w:color="FFFFFF" w:themeColor="background1"/>
              <w:bottom w:val="single" w:sz="4" w:space="0" w:color="FFFFFF" w:themeColor="background1"/>
              <w:right w:val="nil"/>
            </w:tcBorders>
            <w:shd w:val="clear" w:color="auto" w:fill="DEEAF6" w:themeFill="accent1" w:themeFillTint="33"/>
            <w:vAlign w:val="center"/>
            <w:hideMark/>
          </w:tcPr>
          <w:p w14:paraId="38EE4D0A" w14:textId="77777777" w:rsidR="0098755B" w:rsidRPr="00962762" w:rsidRDefault="0098755B" w:rsidP="00962762">
            <w:pPr>
              <w:rPr>
                <w:rFonts w:asciiTheme="majorHAnsi" w:hAnsiTheme="majorHAnsi" w:cstheme="majorHAnsi"/>
                <w:sz w:val="18"/>
                <w:szCs w:val="20"/>
              </w:rPr>
            </w:pPr>
          </w:p>
        </w:tc>
        <w:tc>
          <w:tcPr>
            <w:tcW w:w="4536" w:type="dxa"/>
            <w:vMerge/>
            <w:tcBorders>
              <w:top w:val="single" w:sz="4" w:space="0" w:color="808080" w:themeColor="background1" w:themeShade="80"/>
              <w:left w:val="nil"/>
              <w:bottom w:val="single" w:sz="4" w:space="0" w:color="808080" w:themeColor="background1" w:themeShade="80"/>
              <w:right w:val="nil"/>
            </w:tcBorders>
            <w:vAlign w:val="center"/>
            <w:hideMark/>
          </w:tcPr>
          <w:p w14:paraId="290E47E9" w14:textId="77777777" w:rsidR="0098755B" w:rsidRPr="00962762" w:rsidRDefault="0098755B" w:rsidP="00962762">
            <w:pPr>
              <w:rPr>
                <w:rFonts w:asciiTheme="majorHAnsi" w:hAnsiTheme="majorHAnsi" w:cstheme="majorHAnsi"/>
                <w:sz w:val="18"/>
                <w:szCs w:val="20"/>
              </w:rPr>
            </w:pPr>
          </w:p>
        </w:tc>
        <w:tc>
          <w:tcPr>
            <w:tcW w:w="1276" w:type="dxa"/>
            <w:tcBorders>
              <w:top w:val="single" w:sz="4" w:space="0" w:color="808080" w:themeColor="background1" w:themeShade="80"/>
              <w:left w:val="nil"/>
              <w:bottom w:val="single" w:sz="4" w:space="0" w:color="808080" w:themeColor="background1" w:themeShade="80"/>
              <w:right w:val="nil"/>
            </w:tcBorders>
            <w:vAlign w:val="center"/>
            <w:hideMark/>
          </w:tcPr>
          <w:p w14:paraId="23E96FDE" w14:textId="77777777" w:rsidR="0098755B" w:rsidRPr="00962762" w:rsidRDefault="0098755B" w:rsidP="00962762">
            <w:pPr>
              <w:jc w:val="both"/>
              <w:rPr>
                <w:rFonts w:asciiTheme="majorHAnsi" w:hAnsiTheme="majorHAnsi" w:cstheme="majorHAnsi"/>
                <w:sz w:val="18"/>
                <w:szCs w:val="20"/>
              </w:rPr>
            </w:pPr>
            <w:r w:rsidRPr="00962762">
              <w:rPr>
                <w:rFonts w:asciiTheme="majorHAnsi" w:hAnsiTheme="majorHAnsi" w:cstheme="majorHAnsi"/>
                <w:sz w:val="18"/>
                <w:szCs w:val="20"/>
              </w:rPr>
              <w:t>Piski</w:t>
            </w:r>
          </w:p>
        </w:tc>
        <w:tc>
          <w:tcPr>
            <w:tcW w:w="987" w:type="dxa"/>
            <w:tcBorders>
              <w:top w:val="single" w:sz="4" w:space="0" w:color="808080" w:themeColor="background1" w:themeShade="80"/>
              <w:left w:val="nil"/>
              <w:bottom w:val="single" w:sz="4" w:space="0" w:color="808080" w:themeColor="background1" w:themeShade="80"/>
              <w:right w:val="nil"/>
            </w:tcBorders>
            <w:vAlign w:val="center"/>
            <w:hideMark/>
          </w:tcPr>
          <w:p w14:paraId="4D75504B" w14:textId="77777777" w:rsidR="0098755B" w:rsidRPr="00962762" w:rsidRDefault="0098755B" w:rsidP="00962762">
            <w:pPr>
              <w:jc w:val="center"/>
              <w:rPr>
                <w:rFonts w:asciiTheme="majorHAnsi" w:hAnsiTheme="majorHAnsi" w:cstheme="majorHAnsi"/>
                <w:sz w:val="18"/>
                <w:szCs w:val="20"/>
              </w:rPr>
            </w:pPr>
            <w:r w:rsidRPr="00962762">
              <w:rPr>
                <w:rFonts w:asciiTheme="majorHAnsi" w:hAnsiTheme="majorHAnsi" w:cstheme="majorHAnsi"/>
                <w:sz w:val="18"/>
                <w:szCs w:val="20"/>
              </w:rPr>
              <w:t>1</w:t>
            </w:r>
          </w:p>
        </w:tc>
      </w:tr>
      <w:tr w:rsidR="0098755B" w:rsidRPr="00962762" w14:paraId="3D892907" w14:textId="77777777" w:rsidTr="00962762">
        <w:trPr>
          <w:trHeight w:val="20"/>
        </w:trPr>
        <w:tc>
          <w:tcPr>
            <w:tcW w:w="2263" w:type="dxa"/>
            <w:vMerge/>
            <w:tcBorders>
              <w:top w:val="single" w:sz="4" w:space="0" w:color="FFFFFF" w:themeColor="background1"/>
              <w:left w:val="single" w:sz="4" w:space="0" w:color="FFFFFF" w:themeColor="background1"/>
              <w:bottom w:val="single" w:sz="4" w:space="0" w:color="FFFFFF" w:themeColor="background1"/>
              <w:right w:val="nil"/>
            </w:tcBorders>
            <w:shd w:val="clear" w:color="auto" w:fill="DEEAF6" w:themeFill="accent1" w:themeFillTint="33"/>
            <w:vAlign w:val="center"/>
            <w:hideMark/>
          </w:tcPr>
          <w:p w14:paraId="253DB375" w14:textId="77777777" w:rsidR="0098755B" w:rsidRPr="00962762" w:rsidRDefault="0098755B" w:rsidP="00962762">
            <w:pPr>
              <w:rPr>
                <w:rFonts w:asciiTheme="majorHAnsi" w:hAnsiTheme="majorHAnsi" w:cstheme="majorHAnsi"/>
                <w:sz w:val="18"/>
                <w:szCs w:val="20"/>
              </w:rPr>
            </w:pPr>
          </w:p>
        </w:tc>
        <w:tc>
          <w:tcPr>
            <w:tcW w:w="4536" w:type="dxa"/>
            <w:vMerge/>
            <w:tcBorders>
              <w:top w:val="single" w:sz="4" w:space="0" w:color="808080" w:themeColor="background1" w:themeShade="80"/>
              <w:left w:val="nil"/>
              <w:bottom w:val="single" w:sz="4" w:space="0" w:color="808080" w:themeColor="background1" w:themeShade="80"/>
              <w:right w:val="nil"/>
            </w:tcBorders>
            <w:vAlign w:val="center"/>
            <w:hideMark/>
          </w:tcPr>
          <w:p w14:paraId="4B1A5137" w14:textId="77777777" w:rsidR="0098755B" w:rsidRPr="00962762" w:rsidRDefault="0098755B" w:rsidP="00962762">
            <w:pPr>
              <w:rPr>
                <w:rFonts w:asciiTheme="majorHAnsi" w:hAnsiTheme="majorHAnsi" w:cstheme="majorHAnsi"/>
                <w:sz w:val="18"/>
                <w:szCs w:val="20"/>
              </w:rPr>
            </w:pPr>
          </w:p>
        </w:tc>
        <w:tc>
          <w:tcPr>
            <w:tcW w:w="1276" w:type="dxa"/>
            <w:tcBorders>
              <w:top w:val="single" w:sz="4" w:space="0" w:color="808080" w:themeColor="background1" w:themeShade="80"/>
              <w:left w:val="nil"/>
              <w:bottom w:val="single" w:sz="4" w:space="0" w:color="808080" w:themeColor="background1" w:themeShade="80"/>
              <w:right w:val="nil"/>
            </w:tcBorders>
            <w:vAlign w:val="center"/>
            <w:hideMark/>
          </w:tcPr>
          <w:p w14:paraId="4BAA9048" w14:textId="77777777" w:rsidR="0098755B" w:rsidRPr="00962762" w:rsidRDefault="0098755B" w:rsidP="00962762">
            <w:pPr>
              <w:jc w:val="both"/>
              <w:rPr>
                <w:rFonts w:asciiTheme="majorHAnsi" w:hAnsiTheme="majorHAnsi" w:cstheme="majorHAnsi"/>
                <w:sz w:val="18"/>
                <w:szCs w:val="20"/>
              </w:rPr>
            </w:pPr>
            <w:r w:rsidRPr="00962762">
              <w:rPr>
                <w:rFonts w:asciiTheme="majorHAnsi" w:hAnsiTheme="majorHAnsi" w:cstheme="majorHAnsi"/>
                <w:sz w:val="18"/>
                <w:szCs w:val="20"/>
              </w:rPr>
              <w:t>Szczycieński</w:t>
            </w:r>
          </w:p>
        </w:tc>
        <w:tc>
          <w:tcPr>
            <w:tcW w:w="987" w:type="dxa"/>
            <w:tcBorders>
              <w:top w:val="single" w:sz="4" w:space="0" w:color="808080" w:themeColor="background1" w:themeShade="80"/>
              <w:left w:val="nil"/>
              <w:bottom w:val="single" w:sz="4" w:space="0" w:color="808080" w:themeColor="background1" w:themeShade="80"/>
              <w:right w:val="nil"/>
            </w:tcBorders>
            <w:vAlign w:val="center"/>
            <w:hideMark/>
          </w:tcPr>
          <w:p w14:paraId="696E0A2C" w14:textId="77777777" w:rsidR="0098755B" w:rsidRPr="00962762" w:rsidRDefault="0098755B" w:rsidP="00962762">
            <w:pPr>
              <w:jc w:val="center"/>
              <w:rPr>
                <w:rFonts w:asciiTheme="majorHAnsi" w:hAnsiTheme="majorHAnsi" w:cstheme="majorHAnsi"/>
                <w:sz w:val="18"/>
                <w:szCs w:val="20"/>
              </w:rPr>
            </w:pPr>
            <w:r w:rsidRPr="00962762">
              <w:rPr>
                <w:rFonts w:asciiTheme="majorHAnsi" w:hAnsiTheme="majorHAnsi" w:cstheme="majorHAnsi"/>
                <w:sz w:val="18"/>
                <w:szCs w:val="20"/>
              </w:rPr>
              <w:t>2</w:t>
            </w:r>
          </w:p>
        </w:tc>
      </w:tr>
      <w:tr w:rsidR="0098755B" w:rsidRPr="00962762" w14:paraId="154839DF" w14:textId="77777777" w:rsidTr="00962762">
        <w:trPr>
          <w:trHeight w:val="20"/>
        </w:trPr>
        <w:tc>
          <w:tcPr>
            <w:tcW w:w="2263" w:type="dxa"/>
            <w:vMerge w:val="restart"/>
            <w:tcBorders>
              <w:top w:val="single" w:sz="4" w:space="0" w:color="FFFFFF" w:themeColor="background1"/>
              <w:left w:val="single" w:sz="4" w:space="0" w:color="FFFFFF" w:themeColor="background1"/>
              <w:bottom w:val="single" w:sz="4" w:space="0" w:color="FFFFFF" w:themeColor="background1"/>
              <w:right w:val="nil"/>
            </w:tcBorders>
            <w:shd w:val="clear" w:color="auto" w:fill="DEEAF6" w:themeFill="accent1" w:themeFillTint="33"/>
            <w:vAlign w:val="center"/>
            <w:hideMark/>
          </w:tcPr>
          <w:p w14:paraId="51F7D2B9" w14:textId="77777777" w:rsidR="0098755B" w:rsidRPr="00962762" w:rsidRDefault="0098755B" w:rsidP="00962762">
            <w:pPr>
              <w:jc w:val="both"/>
              <w:rPr>
                <w:rFonts w:asciiTheme="majorHAnsi" w:hAnsiTheme="majorHAnsi" w:cstheme="majorHAnsi"/>
                <w:sz w:val="18"/>
                <w:szCs w:val="20"/>
              </w:rPr>
            </w:pPr>
            <w:r w:rsidRPr="00962762">
              <w:rPr>
                <w:rFonts w:asciiTheme="majorHAnsi" w:hAnsiTheme="majorHAnsi" w:cstheme="majorHAnsi"/>
                <w:sz w:val="18"/>
                <w:szCs w:val="20"/>
              </w:rPr>
              <w:t>Infrastruktura</w:t>
            </w:r>
          </w:p>
        </w:tc>
        <w:tc>
          <w:tcPr>
            <w:tcW w:w="4536" w:type="dxa"/>
            <w:vMerge w:val="restart"/>
            <w:tcBorders>
              <w:top w:val="single" w:sz="4" w:space="0" w:color="808080" w:themeColor="background1" w:themeShade="80"/>
              <w:left w:val="nil"/>
              <w:bottom w:val="single" w:sz="4" w:space="0" w:color="808080" w:themeColor="background1" w:themeShade="80"/>
              <w:right w:val="nil"/>
            </w:tcBorders>
            <w:vAlign w:val="center"/>
            <w:hideMark/>
          </w:tcPr>
          <w:p w14:paraId="2B5BF39A" w14:textId="77777777" w:rsidR="0098755B" w:rsidRPr="00962762" w:rsidRDefault="0098755B" w:rsidP="00962762">
            <w:pPr>
              <w:rPr>
                <w:rFonts w:asciiTheme="majorHAnsi" w:hAnsiTheme="majorHAnsi" w:cstheme="majorHAnsi"/>
                <w:sz w:val="18"/>
                <w:szCs w:val="20"/>
              </w:rPr>
            </w:pPr>
            <w:r w:rsidRPr="00962762">
              <w:rPr>
                <w:rFonts w:asciiTheme="majorHAnsi" w:hAnsiTheme="majorHAnsi" w:cstheme="majorHAnsi"/>
                <w:sz w:val="18"/>
                <w:szCs w:val="20"/>
              </w:rPr>
              <w:t>% korzystających z gazu</w:t>
            </w:r>
          </w:p>
        </w:tc>
        <w:tc>
          <w:tcPr>
            <w:tcW w:w="1276" w:type="dxa"/>
            <w:tcBorders>
              <w:top w:val="single" w:sz="4" w:space="0" w:color="808080" w:themeColor="background1" w:themeShade="80"/>
              <w:left w:val="nil"/>
              <w:bottom w:val="single" w:sz="4" w:space="0" w:color="808080" w:themeColor="background1" w:themeShade="80"/>
              <w:right w:val="nil"/>
            </w:tcBorders>
            <w:vAlign w:val="center"/>
            <w:hideMark/>
          </w:tcPr>
          <w:p w14:paraId="019D201C" w14:textId="77777777" w:rsidR="0098755B" w:rsidRPr="00962762" w:rsidRDefault="0098755B" w:rsidP="00962762">
            <w:pPr>
              <w:jc w:val="both"/>
              <w:rPr>
                <w:rFonts w:asciiTheme="majorHAnsi" w:hAnsiTheme="majorHAnsi" w:cstheme="majorHAnsi"/>
                <w:sz w:val="18"/>
                <w:szCs w:val="20"/>
              </w:rPr>
            </w:pPr>
            <w:r w:rsidRPr="00962762">
              <w:rPr>
                <w:rFonts w:asciiTheme="majorHAnsi" w:hAnsiTheme="majorHAnsi" w:cstheme="majorHAnsi"/>
                <w:sz w:val="18"/>
                <w:szCs w:val="20"/>
              </w:rPr>
              <w:t>Działdowski</w:t>
            </w:r>
          </w:p>
        </w:tc>
        <w:tc>
          <w:tcPr>
            <w:tcW w:w="987" w:type="dxa"/>
            <w:tcBorders>
              <w:top w:val="single" w:sz="4" w:space="0" w:color="808080" w:themeColor="background1" w:themeShade="80"/>
              <w:left w:val="nil"/>
              <w:bottom w:val="single" w:sz="4" w:space="0" w:color="808080" w:themeColor="background1" w:themeShade="80"/>
              <w:right w:val="nil"/>
            </w:tcBorders>
            <w:vAlign w:val="center"/>
            <w:hideMark/>
          </w:tcPr>
          <w:p w14:paraId="03E57864" w14:textId="77777777" w:rsidR="0098755B" w:rsidRPr="00962762" w:rsidRDefault="0098755B" w:rsidP="00962762">
            <w:pPr>
              <w:jc w:val="center"/>
              <w:rPr>
                <w:rFonts w:asciiTheme="majorHAnsi" w:hAnsiTheme="majorHAnsi" w:cstheme="majorHAnsi"/>
                <w:sz w:val="18"/>
                <w:szCs w:val="20"/>
              </w:rPr>
            </w:pPr>
            <w:r w:rsidRPr="00962762">
              <w:rPr>
                <w:rFonts w:asciiTheme="majorHAnsi" w:hAnsiTheme="majorHAnsi" w:cstheme="majorHAnsi"/>
                <w:sz w:val="18"/>
                <w:szCs w:val="20"/>
              </w:rPr>
              <w:t>1</w:t>
            </w:r>
          </w:p>
        </w:tc>
      </w:tr>
      <w:tr w:rsidR="0098755B" w:rsidRPr="00962762" w14:paraId="58F5ACC7" w14:textId="77777777" w:rsidTr="00962762">
        <w:trPr>
          <w:trHeight w:val="20"/>
        </w:trPr>
        <w:tc>
          <w:tcPr>
            <w:tcW w:w="2263" w:type="dxa"/>
            <w:vMerge/>
            <w:tcBorders>
              <w:top w:val="single" w:sz="4" w:space="0" w:color="FFFFFF" w:themeColor="background1"/>
              <w:left w:val="single" w:sz="4" w:space="0" w:color="FFFFFF" w:themeColor="background1"/>
              <w:bottom w:val="single" w:sz="4" w:space="0" w:color="FFFFFF" w:themeColor="background1"/>
              <w:right w:val="nil"/>
            </w:tcBorders>
            <w:shd w:val="clear" w:color="auto" w:fill="DEEAF6" w:themeFill="accent1" w:themeFillTint="33"/>
            <w:vAlign w:val="center"/>
            <w:hideMark/>
          </w:tcPr>
          <w:p w14:paraId="0EE0DF10" w14:textId="77777777" w:rsidR="0098755B" w:rsidRPr="00962762" w:rsidRDefault="0098755B" w:rsidP="00962762">
            <w:pPr>
              <w:rPr>
                <w:rFonts w:asciiTheme="majorHAnsi" w:hAnsiTheme="majorHAnsi" w:cstheme="majorHAnsi"/>
                <w:sz w:val="18"/>
                <w:szCs w:val="20"/>
              </w:rPr>
            </w:pPr>
          </w:p>
        </w:tc>
        <w:tc>
          <w:tcPr>
            <w:tcW w:w="4536" w:type="dxa"/>
            <w:vMerge/>
            <w:tcBorders>
              <w:top w:val="single" w:sz="4" w:space="0" w:color="808080" w:themeColor="background1" w:themeShade="80"/>
              <w:left w:val="nil"/>
              <w:bottom w:val="single" w:sz="4" w:space="0" w:color="808080" w:themeColor="background1" w:themeShade="80"/>
              <w:right w:val="nil"/>
            </w:tcBorders>
            <w:vAlign w:val="center"/>
            <w:hideMark/>
          </w:tcPr>
          <w:p w14:paraId="63DA221D" w14:textId="77777777" w:rsidR="0098755B" w:rsidRPr="00962762" w:rsidRDefault="0098755B" w:rsidP="00962762">
            <w:pPr>
              <w:rPr>
                <w:rFonts w:asciiTheme="majorHAnsi" w:hAnsiTheme="majorHAnsi" w:cstheme="majorHAnsi"/>
                <w:sz w:val="18"/>
                <w:szCs w:val="20"/>
              </w:rPr>
            </w:pPr>
          </w:p>
        </w:tc>
        <w:tc>
          <w:tcPr>
            <w:tcW w:w="1276" w:type="dxa"/>
            <w:tcBorders>
              <w:top w:val="single" w:sz="4" w:space="0" w:color="808080" w:themeColor="background1" w:themeShade="80"/>
              <w:left w:val="nil"/>
              <w:bottom w:val="single" w:sz="4" w:space="0" w:color="808080" w:themeColor="background1" w:themeShade="80"/>
              <w:right w:val="nil"/>
            </w:tcBorders>
            <w:vAlign w:val="center"/>
            <w:hideMark/>
          </w:tcPr>
          <w:p w14:paraId="425B9280" w14:textId="77777777" w:rsidR="0098755B" w:rsidRPr="00962762" w:rsidRDefault="0098755B" w:rsidP="00962762">
            <w:pPr>
              <w:jc w:val="both"/>
              <w:rPr>
                <w:rFonts w:asciiTheme="majorHAnsi" w:hAnsiTheme="majorHAnsi" w:cstheme="majorHAnsi"/>
                <w:sz w:val="18"/>
                <w:szCs w:val="20"/>
              </w:rPr>
            </w:pPr>
            <w:r w:rsidRPr="00962762">
              <w:rPr>
                <w:rFonts w:asciiTheme="majorHAnsi" w:hAnsiTheme="majorHAnsi" w:cstheme="majorHAnsi"/>
                <w:sz w:val="18"/>
                <w:szCs w:val="20"/>
              </w:rPr>
              <w:t>Nidzicki</w:t>
            </w:r>
          </w:p>
        </w:tc>
        <w:tc>
          <w:tcPr>
            <w:tcW w:w="987" w:type="dxa"/>
            <w:tcBorders>
              <w:top w:val="single" w:sz="4" w:space="0" w:color="808080" w:themeColor="background1" w:themeShade="80"/>
              <w:left w:val="nil"/>
              <w:bottom w:val="single" w:sz="4" w:space="0" w:color="808080" w:themeColor="background1" w:themeShade="80"/>
              <w:right w:val="nil"/>
            </w:tcBorders>
            <w:vAlign w:val="center"/>
            <w:hideMark/>
          </w:tcPr>
          <w:p w14:paraId="4E100DFE" w14:textId="77777777" w:rsidR="0098755B" w:rsidRPr="00962762" w:rsidRDefault="0098755B" w:rsidP="00962762">
            <w:pPr>
              <w:jc w:val="center"/>
              <w:rPr>
                <w:rFonts w:asciiTheme="majorHAnsi" w:hAnsiTheme="majorHAnsi" w:cstheme="majorHAnsi"/>
                <w:sz w:val="18"/>
                <w:szCs w:val="20"/>
              </w:rPr>
            </w:pPr>
            <w:r w:rsidRPr="00962762">
              <w:rPr>
                <w:rFonts w:asciiTheme="majorHAnsi" w:hAnsiTheme="majorHAnsi" w:cstheme="majorHAnsi"/>
                <w:sz w:val="18"/>
                <w:szCs w:val="20"/>
              </w:rPr>
              <w:t>2</w:t>
            </w:r>
          </w:p>
        </w:tc>
      </w:tr>
      <w:tr w:rsidR="0098755B" w:rsidRPr="00962762" w14:paraId="52CAF9C8" w14:textId="77777777" w:rsidTr="00962762">
        <w:trPr>
          <w:trHeight w:val="20"/>
        </w:trPr>
        <w:tc>
          <w:tcPr>
            <w:tcW w:w="2263" w:type="dxa"/>
            <w:vMerge/>
            <w:tcBorders>
              <w:top w:val="single" w:sz="4" w:space="0" w:color="FFFFFF" w:themeColor="background1"/>
              <w:left w:val="single" w:sz="4" w:space="0" w:color="FFFFFF" w:themeColor="background1"/>
              <w:bottom w:val="single" w:sz="4" w:space="0" w:color="FFFFFF" w:themeColor="background1"/>
              <w:right w:val="nil"/>
            </w:tcBorders>
            <w:shd w:val="clear" w:color="auto" w:fill="DEEAF6" w:themeFill="accent1" w:themeFillTint="33"/>
            <w:vAlign w:val="center"/>
            <w:hideMark/>
          </w:tcPr>
          <w:p w14:paraId="63F23086" w14:textId="77777777" w:rsidR="0098755B" w:rsidRPr="00962762" w:rsidRDefault="0098755B" w:rsidP="00962762">
            <w:pPr>
              <w:rPr>
                <w:rFonts w:asciiTheme="majorHAnsi" w:hAnsiTheme="majorHAnsi" w:cstheme="majorHAnsi"/>
                <w:sz w:val="18"/>
                <w:szCs w:val="20"/>
              </w:rPr>
            </w:pPr>
          </w:p>
        </w:tc>
        <w:tc>
          <w:tcPr>
            <w:tcW w:w="4536" w:type="dxa"/>
            <w:vMerge/>
            <w:tcBorders>
              <w:top w:val="single" w:sz="4" w:space="0" w:color="808080" w:themeColor="background1" w:themeShade="80"/>
              <w:left w:val="nil"/>
              <w:bottom w:val="single" w:sz="4" w:space="0" w:color="808080" w:themeColor="background1" w:themeShade="80"/>
              <w:right w:val="nil"/>
            </w:tcBorders>
            <w:vAlign w:val="center"/>
            <w:hideMark/>
          </w:tcPr>
          <w:p w14:paraId="5D3C638A" w14:textId="77777777" w:rsidR="0098755B" w:rsidRPr="00962762" w:rsidRDefault="0098755B" w:rsidP="00962762">
            <w:pPr>
              <w:rPr>
                <w:rFonts w:asciiTheme="majorHAnsi" w:hAnsiTheme="majorHAnsi" w:cstheme="majorHAnsi"/>
                <w:sz w:val="18"/>
                <w:szCs w:val="20"/>
              </w:rPr>
            </w:pPr>
          </w:p>
        </w:tc>
        <w:tc>
          <w:tcPr>
            <w:tcW w:w="1276" w:type="dxa"/>
            <w:tcBorders>
              <w:top w:val="single" w:sz="4" w:space="0" w:color="808080" w:themeColor="background1" w:themeShade="80"/>
              <w:left w:val="nil"/>
              <w:bottom w:val="single" w:sz="4" w:space="0" w:color="808080" w:themeColor="background1" w:themeShade="80"/>
              <w:right w:val="nil"/>
            </w:tcBorders>
            <w:vAlign w:val="center"/>
            <w:hideMark/>
          </w:tcPr>
          <w:p w14:paraId="70C37D52" w14:textId="77777777" w:rsidR="0098755B" w:rsidRPr="00962762" w:rsidRDefault="0098755B" w:rsidP="00962762">
            <w:pPr>
              <w:jc w:val="both"/>
              <w:rPr>
                <w:rFonts w:asciiTheme="majorHAnsi" w:hAnsiTheme="majorHAnsi" w:cstheme="majorHAnsi"/>
                <w:sz w:val="18"/>
                <w:szCs w:val="20"/>
              </w:rPr>
            </w:pPr>
            <w:r w:rsidRPr="00962762">
              <w:rPr>
                <w:rFonts w:asciiTheme="majorHAnsi" w:hAnsiTheme="majorHAnsi" w:cstheme="majorHAnsi"/>
                <w:sz w:val="18"/>
                <w:szCs w:val="20"/>
              </w:rPr>
              <w:t>Piski</w:t>
            </w:r>
          </w:p>
        </w:tc>
        <w:tc>
          <w:tcPr>
            <w:tcW w:w="987" w:type="dxa"/>
            <w:tcBorders>
              <w:top w:val="single" w:sz="4" w:space="0" w:color="808080" w:themeColor="background1" w:themeShade="80"/>
              <w:left w:val="nil"/>
              <w:bottom w:val="single" w:sz="4" w:space="0" w:color="808080" w:themeColor="background1" w:themeShade="80"/>
              <w:right w:val="nil"/>
            </w:tcBorders>
            <w:vAlign w:val="center"/>
            <w:hideMark/>
          </w:tcPr>
          <w:p w14:paraId="16ABAAFA" w14:textId="77777777" w:rsidR="0098755B" w:rsidRPr="00962762" w:rsidRDefault="0098755B" w:rsidP="00962762">
            <w:pPr>
              <w:jc w:val="center"/>
              <w:rPr>
                <w:rFonts w:asciiTheme="majorHAnsi" w:hAnsiTheme="majorHAnsi" w:cstheme="majorHAnsi"/>
                <w:sz w:val="18"/>
                <w:szCs w:val="20"/>
              </w:rPr>
            </w:pPr>
            <w:r w:rsidRPr="00962762">
              <w:rPr>
                <w:rFonts w:asciiTheme="majorHAnsi" w:hAnsiTheme="majorHAnsi" w:cstheme="majorHAnsi"/>
                <w:sz w:val="18"/>
                <w:szCs w:val="20"/>
              </w:rPr>
              <w:t>4</w:t>
            </w:r>
          </w:p>
        </w:tc>
      </w:tr>
      <w:tr w:rsidR="0098755B" w:rsidRPr="00962762" w14:paraId="584F9286" w14:textId="77777777" w:rsidTr="00962762">
        <w:trPr>
          <w:trHeight w:val="20"/>
        </w:trPr>
        <w:tc>
          <w:tcPr>
            <w:tcW w:w="2263" w:type="dxa"/>
            <w:vMerge/>
            <w:tcBorders>
              <w:top w:val="single" w:sz="4" w:space="0" w:color="FFFFFF" w:themeColor="background1"/>
              <w:left w:val="single" w:sz="4" w:space="0" w:color="FFFFFF" w:themeColor="background1"/>
              <w:bottom w:val="single" w:sz="4" w:space="0" w:color="FFFFFF" w:themeColor="background1"/>
              <w:right w:val="nil"/>
            </w:tcBorders>
            <w:shd w:val="clear" w:color="auto" w:fill="DEEAF6" w:themeFill="accent1" w:themeFillTint="33"/>
            <w:vAlign w:val="center"/>
            <w:hideMark/>
          </w:tcPr>
          <w:p w14:paraId="4FDD5A00" w14:textId="77777777" w:rsidR="0098755B" w:rsidRPr="00962762" w:rsidRDefault="0098755B" w:rsidP="00962762">
            <w:pPr>
              <w:rPr>
                <w:rFonts w:asciiTheme="majorHAnsi" w:hAnsiTheme="majorHAnsi" w:cstheme="majorHAnsi"/>
                <w:sz w:val="18"/>
                <w:szCs w:val="20"/>
              </w:rPr>
            </w:pPr>
          </w:p>
        </w:tc>
        <w:tc>
          <w:tcPr>
            <w:tcW w:w="4536" w:type="dxa"/>
            <w:vMerge/>
            <w:tcBorders>
              <w:top w:val="single" w:sz="4" w:space="0" w:color="808080" w:themeColor="background1" w:themeShade="80"/>
              <w:left w:val="nil"/>
              <w:bottom w:val="single" w:sz="4" w:space="0" w:color="808080" w:themeColor="background1" w:themeShade="80"/>
              <w:right w:val="nil"/>
            </w:tcBorders>
            <w:vAlign w:val="center"/>
            <w:hideMark/>
          </w:tcPr>
          <w:p w14:paraId="79D2A4DD" w14:textId="77777777" w:rsidR="0098755B" w:rsidRPr="00962762" w:rsidRDefault="0098755B" w:rsidP="00962762">
            <w:pPr>
              <w:rPr>
                <w:rFonts w:asciiTheme="majorHAnsi" w:hAnsiTheme="majorHAnsi" w:cstheme="majorHAnsi"/>
                <w:sz w:val="18"/>
                <w:szCs w:val="20"/>
              </w:rPr>
            </w:pPr>
          </w:p>
        </w:tc>
        <w:tc>
          <w:tcPr>
            <w:tcW w:w="1276" w:type="dxa"/>
            <w:tcBorders>
              <w:top w:val="single" w:sz="4" w:space="0" w:color="808080" w:themeColor="background1" w:themeShade="80"/>
              <w:left w:val="nil"/>
              <w:bottom w:val="single" w:sz="4" w:space="0" w:color="808080" w:themeColor="background1" w:themeShade="80"/>
              <w:right w:val="nil"/>
            </w:tcBorders>
            <w:vAlign w:val="center"/>
            <w:hideMark/>
          </w:tcPr>
          <w:p w14:paraId="210B9D96" w14:textId="77777777" w:rsidR="0098755B" w:rsidRPr="00962762" w:rsidRDefault="0098755B" w:rsidP="00962762">
            <w:pPr>
              <w:jc w:val="both"/>
              <w:rPr>
                <w:rFonts w:asciiTheme="majorHAnsi" w:hAnsiTheme="majorHAnsi" w:cstheme="majorHAnsi"/>
                <w:sz w:val="18"/>
                <w:szCs w:val="20"/>
              </w:rPr>
            </w:pPr>
            <w:r w:rsidRPr="00962762">
              <w:rPr>
                <w:rFonts w:asciiTheme="majorHAnsi" w:hAnsiTheme="majorHAnsi" w:cstheme="majorHAnsi"/>
                <w:sz w:val="18"/>
                <w:szCs w:val="20"/>
              </w:rPr>
              <w:t>Szczycieński</w:t>
            </w:r>
          </w:p>
        </w:tc>
        <w:tc>
          <w:tcPr>
            <w:tcW w:w="987" w:type="dxa"/>
            <w:tcBorders>
              <w:top w:val="single" w:sz="4" w:space="0" w:color="808080" w:themeColor="background1" w:themeShade="80"/>
              <w:left w:val="nil"/>
              <w:bottom w:val="single" w:sz="4" w:space="0" w:color="808080" w:themeColor="background1" w:themeShade="80"/>
              <w:right w:val="nil"/>
            </w:tcBorders>
            <w:vAlign w:val="center"/>
            <w:hideMark/>
          </w:tcPr>
          <w:p w14:paraId="55A93B2A" w14:textId="77777777" w:rsidR="0098755B" w:rsidRPr="00962762" w:rsidRDefault="0098755B" w:rsidP="00962762">
            <w:pPr>
              <w:jc w:val="center"/>
              <w:rPr>
                <w:rFonts w:asciiTheme="majorHAnsi" w:hAnsiTheme="majorHAnsi" w:cstheme="majorHAnsi"/>
                <w:sz w:val="18"/>
                <w:szCs w:val="20"/>
              </w:rPr>
            </w:pPr>
            <w:r w:rsidRPr="00962762">
              <w:rPr>
                <w:rFonts w:asciiTheme="majorHAnsi" w:hAnsiTheme="majorHAnsi" w:cstheme="majorHAnsi"/>
                <w:sz w:val="18"/>
                <w:szCs w:val="20"/>
              </w:rPr>
              <w:t>3</w:t>
            </w:r>
          </w:p>
        </w:tc>
      </w:tr>
      <w:tr w:rsidR="0098755B" w:rsidRPr="00962762" w14:paraId="2164EF1E" w14:textId="77777777" w:rsidTr="00962762">
        <w:trPr>
          <w:trHeight w:val="20"/>
        </w:trPr>
        <w:tc>
          <w:tcPr>
            <w:tcW w:w="2263" w:type="dxa"/>
            <w:vMerge/>
            <w:tcBorders>
              <w:top w:val="single" w:sz="4" w:space="0" w:color="FFFFFF" w:themeColor="background1"/>
              <w:left w:val="single" w:sz="4" w:space="0" w:color="FFFFFF" w:themeColor="background1"/>
              <w:bottom w:val="single" w:sz="4" w:space="0" w:color="FFFFFF" w:themeColor="background1"/>
              <w:right w:val="nil"/>
            </w:tcBorders>
            <w:shd w:val="clear" w:color="auto" w:fill="DEEAF6" w:themeFill="accent1" w:themeFillTint="33"/>
            <w:vAlign w:val="center"/>
            <w:hideMark/>
          </w:tcPr>
          <w:p w14:paraId="7FB4F777" w14:textId="77777777" w:rsidR="0098755B" w:rsidRPr="00962762" w:rsidRDefault="0098755B" w:rsidP="00962762">
            <w:pPr>
              <w:rPr>
                <w:rFonts w:asciiTheme="majorHAnsi" w:hAnsiTheme="majorHAnsi" w:cstheme="majorHAnsi"/>
                <w:sz w:val="18"/>
                <w:szCs w:val="20"/>
              </w:rPr>
            </w:pPr>
          </w:p>
        </w:tc>
        <w:tc>
          <w:tcPr>
            <w:tcW w:w="4536" w:type="dxa"/>
            <w:vMerge w:val="restart"/>
            <w:tcBorders>
              <w:top w:val="single" w:sz="4" w:space="0" w:color="808080" w:themeColor="background1" w:themeShade="80"/>
              <w:left w:val="nil"/>
              <w:bottom w:val="single" w:sz="4" w:space="0" w:color="808080" w:themeColor="background1" w:themeShade="80"/>
              <w:right w:val="nil"/>
            </w:tcBorders>
            <w:vAlign w:val="center"/>
            <w:hideMark/>
          </w:tcPr>
          <w:p w14:paraId="5C8699CC" w14:textId="77777777" w:rsidR="0098755B" w:rsidRPr="00962762" w:rsidRDefault="0098755B" w:rsidP="00962762">
            <w:pPr>
              <w:rPr>
                <w:rFonts w:asciiTheme="majorHAnsi" w:hAnsiTheme="majorHAnsi" w:cstheme="majorHAnsi"/>
                <w:sz w:val="18"/>
                <w:szCs w:val="20"/>
              </w:rPr>
            </w:pPr>
            <w:r w:rsidRPr="00962762">
              <w:rPr>
                <w:rFonts w:asciiTheme="majorHAnsi" w:hAnsiTheme="majorHAnsi" w:cstheme="majorHAnsi"/>
                <w:sz w:val="18"/>
                <w:szCs w:val="20"/>
              </w:rPr>
              <w:t>% korzystających z wodociągu</w:t>
            </w:r>
          </w:p>
        </w:tc>
        <w:tc>
          <w:tcPr>
            <w:tcW w:w="1276" w:type="dxa"/>
            <w:tcBorders>
              <w:top w:val="single" w:sz="4" w:space="0" w:color="808080" w:themeColor="background1" w:themeShade="80"/>
              <w:left w:val="nil"/>
              <w:bottom w:val="single" w:sz="4" w:space="0" w:color="808080" w:themeColor="background1" w:themeShade="80"/>
              <w:right w:val="nil"/>
            </w:tcBorders>
            <w:vAlign w:val="center"/>
            <w:hideMark/>
          </w:tcPr>
          <w:p w14:paraId="32C713D5" w14:textId="77777777" w:rsidR="0098755B" w:rsidRPr="00962762" w:rsidRDefault="0098755B" w:rsidP="00962762">
            <w:pPr>
              <w:jc w:val="both"/>
              <w:rPr>
                <w:rFonts w:asciiTheme="majorHAnsi" w:hAnsiTheme="majorHAnsi" w:cstheme="majorHAnsi"/>
                <w:sz w:val="18"/>
                <w:szCs w:val="20"/>
              </w:rPr>
            </w:pPr>
            <w:r w:rsidRPr="00962762">
              <w:rPr>
                <w:rFonts w:asciiTheme="majorHAnsi" w:hAnsiTheme="majorHAnsi" w:cstheme="majorHAnsi"/>
                <w:sz w:val="18"/>
                <w:szCs w:val="20"/>
              </w:rPr>
              <w:t>Działdowski</w:t>
            </w:r>
          </w:p>
        </w:tc>
        <w:tc>
          <w:tcPr>
            <w:tcW w:w="987" w:type="dxa"/>
            <w:tcBorders>
              <w:top w:val="single" w:sz="4" w:space="0" w:color="808080" w:themeColor="background1" w:themeShade="80"/>
              <w:left w:val="nil"/>
              <w:bottom w:val="single" w:sz="4" w:space="0" w:color="808080" w:themeColor="background1" w:themeShade="80"/>
              <w:right w:val="nil"/>
            </w:tcBorders>
            <w:vAlign w:val="center"/>
            <w:hideMark/>
          </w:tcPr>
          <w:p w14:paraId="1A509B5D" w14:textId="77777777" w:rsidR="0098755B" w:rsidRPr="00962762" w:rsidRDefault="0098755B" w:rsidP="00962762">
            <w:pPr>
              <w:jc w:val="center"/>
              <w:rPr>
                <w:rFonts w:asciiTheme="majorHAnsi" w:hAnsiTheme="majorHAnsi" w:cstheme="majorHAnsi"/>
                <w:sz w:val="18"/>
                <w:szCs w:val="20"/>
              </w:rPr>
            </w:pPr>
            <w:r w:rsidRPr="00962762">
              <w:rPr>
                <w:rFonts w:asciiTheme="majorHAnsi" w:hAnsiTheme="majorHAnsi" w:cstheme="majorHAnsi"/>
                <w:sz w:val="18"/>
                <w:szCs w:val="20"/>
              </w:rPr>
              <w:t>1</w:t>
            </w:r>
          </w:p>
        </w:tc>
      </w:tr>
      <w:tr w:rsidR="0098755B" w:rsidRPr="00962762" w14:paraId="357C76F6" w14:textId="77777777" w:rsidTr="00962762">
        <w:trPr>
          <w:trHeight w:val="20"/>
        </w:trPr>
        <w:tc>
          <w:tcPr>
            <w:tcW w:w="2263" w:type="dxa"/>
            <w:vMerge/>
            <w:tcBorders>
              <w:top w:val="single" w:sz="4" w:space="0" w:color="FFFFFF" w:themeColor="background1"/>
              <w:left w:val="single" w:sz="4" w:space="0" w:color="FFFFFF" w:themeColor="background1"/>
              <w:bottom w:val="single" w:sz="4" w:space="0" w:color="FFFFFF" w:themeColor="background1"/>
              <w:right w:val="nil"/>
            </w:tcBorders>
            <w:shd w:val="clear" w:color="auto" w:fill="DEEAF6" w:themeFill="accent1" w:themeFillTint="33"/>
            <w:vAlign w:val="center"/>
            <w:hideMark/>
          </w:tcPr>
          <w:p w14:paraId="38360B72" w14:textId="77777777" w:rsidR="0098755B" w:rsidRPr="00962762" w:rsidRDefault="0098755B" w:rsidP="00962762">
            <w:pPr>
              <w:rPr>
                <w:rFonts w:asciiTheme="majorHAnsi" w:hAnsiTheme="majorHAnsi" w:cstheme="majorHAnsi"/>
                <w:sz w:val="18"/>
                <w:szCs w:val="20"/>
              </w:rPr>
            </w:pPr>
          </w:p>
        </w:tc>
        <w:tc>
          <w:tcPr>
            <w:tcW w:w="4536" w:type="dxa"/>
            <w:vMerge/>
            <w:tcBorders>
              <w:top w:val="single" w:sz="4" w:space="0" w:color="808080" w:themeColor="background1" w:themeShade="80"/>
              <w:left w:val="nil"/>
              <w:bottom w:val="single" w:sz="4" w:space="0" w:color="808080" w:themeColor="background1" w:themeShade="80"/>
              <w:right w:val="nil"/>
            </w:tcBorders>
            <w:vAlign w:val="center"/>
            <w:hideMark/>
          </w:tcPr>
          <w:p w14:paraId="0C61DB13" w14:textId="77777777" w:rsidR="0098755B" w:rsidRPr="00962762" w:rsidRDefault="0098755B" w:rsidP="00962762">
            <w:pPr>
              <w:rPr>
                <w:rFonts w:asciiTheme="majorHAnsi" w:hAnsiTheme="majorHAnsi" w:cstheme="majorHAnsi"/>
                <w:sz w:val="18"/>
                <w:szCs w:val="20"/>
              </w:rPr>
            </w:pPr>
          </w:p>
        </w:tc>
        <w:tc>
          <w:tcPr>
            <w:tcW w:w="1276" w:type="dxa"/>
            <w:tcBorders>
              <w:top w:val="single" w:sz="4" w:space="0" w:color="808080" w:themeColor="background1" w:themeShade="80"/>
              <w:left w:val="nil"/>
              <w:bottom w:val="single" w:sz="4" w:space="0" w:color="808080" w:themeColor="background1" w:themeShade="80"/>
              <w:right w:val="nil"/>
            </w:tcBorders>
            <w:vAlign w:val="center"/>
            <w:hideMark/>
          </w:tcPr>
          <w:p w14:paraId="211E2665" w14:textId="77777777" w:rsidR="0098755B" w:rsidRPr="00962762" w:rsidRDefault="0098755B" w:rsidP="00962762">
            <w:pPr>
              <w:jc w:val="both"/>
              <w:rPr>
                <w:rFonts w:asciiTheme="majorHAnsi" w:hAnsiTheme="majorHAnsi" w:cstheme="majorHAnsi"/>
                <w:sz w:val="18"/>
                <w:szCs w:val="20"/>
              </w:rPr>
            </w:pPr>
            <w:r w:rsidRPr="00962762">
              <w:rPr>
                <w:rFonts w:asciiTheme="majorHAnsi" w:hAnsiTheme="majorHAnsi" w:cstheme="majorHAnsi"/>
                <w:sz w:val="18"/>
                <w:szCs w:val="20"/>
              </w:rPr>
              <w:t>Nidzicki</w:t>
            </w:r>
          </w:p>
        </w:tc>
        <w:tc>
          <w:tcPr>
            <w:tcW w:w="987" w:type="dxa"/>
            <w:tcBorders>
              <w:top w:val="single" w:sz="4" w:space="0" w:color="808080" w:themeColor="background1" w:themeShade="80"/>
              <w:left w:val="nil"/>
              <w:bottom w:val="single" w:sz="4" w:space="0" w:color="808080" w:themeColor="background1" w:themeShade="80"/>
              <w:right w:val="nil"/>
            </w:tcBorders>
            <w:vAlign w:val="center"/>
            <w:hideMark/>
          </w:tcPr>
          <w:p w14:paraId="1CB3B6E7" w14:textId="77777777" w:rsidR="0098755B" w:rsidRPr="00962762" w:rsidRDefault="0098755B" w:rsidP="00962762">
            <w:pPr>
              <w:jc w:val="center"/>
              <w:rPr>
                <w:rFonts w:asciiTheme="majorHAnsi" w:hAnsiTheme="majorHAnsi" w:cstheme="majorHAnsi"/>
                <w:sz w:val="18"/>
                <w:szCs w:val="20"/>
              </w:rPr>
            </w:pPr>
            <w:r w:rsidRPr="00962762">
              <w:rPr>
                <w:rFonts w:asciiTheme="majorHAnsi" w:hAnsiTheme="majorHAnsi" w:cstheme="majorHAnsi"/>
                <w:sz w:val="18"/>
                <w:szCs w:val="20"/>
              </w:rPr>
              <w:t>3</w:t>
            </w:r>
          </w:p>
        </w:tc>
      </w:tr>
      <w:tr w:rsidR="0098755B" w:rsidRPr="00962762" w14:paraId="32CE1F6F" w14:textId="77777777" w:rsidTr="00962762">
        <w:trPr>
          <w:trHeight w:val="20"/>
        </w:trPr>
        <w:tc>
          <w:tcPr>
            <w:tcW w:w="2263" w:type="dxa"/>
            <w:vMerge/>
            <w:tcBorders>
              <w:top w:val="single" w:sz="4" w:space="0" w:color="FFFFFF" w:themeColor="background1"/>
              <w:left w:val="single" w:sz="4" w:space="0" w:color="FFFFFF" w:themeColor="background1"/>
              <w:bottom w:val="single" w:sz="4" w:space="0" w:color="FFFFFF" w:themeColor="background1"/>
              <w:right w:val="nil"/>
            </w:tcBorders>
            <w:shd w:val="clear" w:color="auto" w:fill="DEEAF6" w:themeFill="accent1" w:themeFillTint="33"/>
            <w:vAlign w:val="center"/>
            <w:hideMark/>
          </w:tcPr>
          <w:p w14:paraId="02EC9A4E" w14:textId="77777777" w:rsidR="0098755B" w:rsidRPr="00962762" w:rsidRDefault="0098755B" w:rsidP="00962762">
            <w:pPr>
              <w:rPr>
                <w:rFonts w:asciiTheme="majorHAnsi" w:hAnsiTheme="majorHAnsi" w:cstheme="majorHAnsi"/>
                <w:sz w:val="18"/>
                <w:szCs w:val="20"/>
              </w:rPr>
            </w:pPr>
          </w:p>
        </w:tc>
        <w:tc>
          <w:tcPr>
            <w:tcW w:w="4536" w:type="dxa"/>
            <w:vMerge/>
            <w:tcBorders>
              <w:top w:val="single" w:sz="4" w:space="0" w:color="808080" w:themeColor="background1" w:themeShade="80"/>
              <w:left w:val="nil"/>
              <w:bottom w:val="single" w:sz="4" w:space="0" w:color="808080" w:themeColor="background1" w:themeShade="80"/>
              <w:right w:val="nil"/>
            </w:tcBorders>
            <w:vAlign w:val="center"/>
            <w:hideMark/>
          </w:tcPr>
          <w:p w14:paraId="49E85B22" w14:textId="77777777" w:rsidR="0098755B" w:rsidRPr="00962762" w:rsidRDefault="0098755B" w:rsidP="00962762">
            <w:pPr>
              <w:rPr>
                <w:rFonts w:asciiTheme="majorHAnsi" w:hAnsiTheme="majorHAnsi" w:cstheme="majorHAnsi"/>
                <w:sz w:val="18"/>
                <w:szCs w:val="20"/>
              </w:rPr>
            </w:pPr>
          </w:p>
        </w:tc>
        <w:tc>
          <w:tcPr>
            <w:tcW w:w="1276" w:type="dxa"/>
            <w:tcBorders>
              <w:top w:val="single" w:sz="4" w:space="0" w:color="808080" w:themeColor="background1" w:themeShade="80"/>
              <w:left w:val="nil"/>
              <w:bottom w:val="single" w:sz="4" w:space="0" w:color="808080" w:themeColor="background1" w:themeShade="80"/>
              <w:right w:val="nil"/>
            </w:tcBorders>
            <w:vAlign w:val="center"/>
            <w:hideMark/>
          </w:tcPr>
          <w:p w14:paraId="71FCF50D" w14:textId="77777777" w:rsidR="0098755B" w:rsidRPr="00962762" w:rsidRDefault="0098755B" w:rsidP="00962762">
            <w:pPr>
              <w:jc w:val="both"/>
              <w:rPr>
                <w:rFonts w:asciiTheme="majorHAnsi" w:hAnsiTheme="majorHAnsi" w:cstheme="majorHAnsi"/>
                <w:sz w:val="18"/>
                <w:szCs w:val="20"/>
              </w:rPr>
            </w:pPr>
            <w:r w:rsidRPr="00962762">
              <w:rPr>
                <w:rFonts w:asciiTheme="majorHAnsi" w:hAnsiTheme="majorHAnsi" w:cstheme="majorHAnsi"/>
                <w:sz w:val="18"/>
                <w:szCs w:val="20"/>
              </w:rPr>
              <w:t>Piski</w:t>
            </w:r>
          </w:p>
        </w:tc>
        <w:tc>
          <w:tcPr>
            <w:tcW w:w="987" w:type="dxa"/>
            <w:tcBorders>
              <w:top w:val="single" w:sz="4" w:space="0" w:color="808080" w:themeColor="background1" w:themeShade="80"/>
              <w:left w:val="nil"/>
              <w:bottom w:val="single" w:sz="4" w:space="0" w:color="808080" w:themeColor="background1" w:themeShade="80"/>
              <w:right w:val="nil"/>
            </w:tcBorders>
            <w:vAlign w:val="center"/>
            <w:hideMark/>
          </w:tcPr>
          <w:p w14:paraId="1051F26E" w14:textId="77777777" w:rsidR="0098755B" w:rsidRPr="00962762" w:rsidRDefault="0098755B" w:rsidP="00962762">
            <w:pPr>
              <w:jc w:val="center"/>
              <w:rPr>
                <w:rFonts w:asciiTheme="majorHAnsi" w:hAnsiTheme="majorHAnsi" w:cstheme="majorHAnsi"/>
                <w:sz w:val="18"/>
                <w:szCs w:val="20"/>
              </w:rPr>
            </w:pPr>
            <w:r w:rsidRPr="00962762">
              <w:rPr>
                <w:rFonts w:asciiTheme="majorHAnsi" w:hAnsiTheme="majorHAnsi" w:cstheme="majorHAnsi"/>
                <w:sz w:val="18"/>
                <w:szCs w:val="20"/>
              </w:rPr>
              <w:t>4</w:t>
            </w:r>
          </w:p>
        </w:tc>
      </w:tr>
      <w:tr w:rsidR="0098755B" w:rsidRPr="00962762" w14:paraId="1AECC137" w14:textId="77777777" w:rsidTr="00962762">
        <w:trPr>
          <w:trHeight w:val="20"/>
        </w:trPr>
        <w:tc>
          <w:tcPr>
            <w:tcW w:w="2263" w:type="dxa"/>
            <w:vMerge/>
            <w:tcBorders>
              <w:top w:val="single" w:sz="4" w:space="0" w:color="FFFFFF" w:themeColor="background1"/>
              <w:left w:val="single" w:sz="4" w:space="0" w:color="FFFFFF" w:themeColor="background1"/>
              <w:bottom w:val="single" w:sz="4" w:space="0" w:color="FFFFFF" w:themeColor="background1"/>
              <w:right w:val="nil"/>
            </w:tcBorders>
            <w:shd w:val="clear" w:color="auto" w:fill="DEEAF6" w:themeFill="accent1" w:themeFillTint="33"/>
            <w:vAlign w:val="center"/>
            <w:hideMark/>
          </w:tcPr>
          <w:p w14:paraId="2898A504" w14:textId="77777777" w:rsidR="0098755B" w:rsidRPr="00962762" w:rsidRDefault="0098755B" w:rsidP="00962762">
            <w:pPr>
              <w:rPr>
                <w:rFonts w:asciiTheme="majorHAnsi" w:hAnsiTheme="majorHAnsi" w:cstheme="majorHAnsi"/>
                <w:sz w:val="18"/>
                <w:szCs w:val="20"/>
              </w:rPr>
            </w:pPr>
          </w:p>
        </w:tc>
        <w:tc>
          <w:tcPr>
            <w:tcW w:w="4536" w:type="dxa"/>
            <w:vMerge/>
            <w:tcBorders>
              <w:top w:val="single" w:sz="4" w:space="0" w:color="808080" w:themeColor="background1" w:themeShade="80"/>
              <w:left w:val="nil"/>
              <w:bottom w:val="single" w:sz="4" w:space="0" w:color="808080" w:themeColor="background1" w:themeShade="80"/>
              <w:right w:val="nil"/>
            </w:tcBorders>
            <w:vAlign w:val="center"/>
            <w:hideMark/>
          </w:tcPr>
          <w:p w14:paraId="02FF4D12" w14:textId="77777777" w:rsidR="0098755B" w:rsidRPr="00962762" w:rsidRDefault="0098755B" w:rsidP="00962762">
            <w:pPr>
              <w:rPr>
                <w:rFonts w:asciiTheme="majorHAnsi" w:hAnsiTheme="majorHAnsi" w:cstheme="majorHAnsi"/>
                <w:sz w:val="18"/>
                <w:szCs w:val="20"/>
              </w:rPr>
            </w:pPr>
          </w:p>
        </w:tc>
        <w:tc>
          <w:tcPr>
            <w:tcW w:w="1276" w:type="dxa"/>
            <w:tcBorders>
              <w:top w:val="single" w:sz="4" w:space="0" w:color="808080" w:themeColor="background1" w:themeShade="80"/>
              <w:left w:val="nil"/>
              <w:bottom w:val="single" w:sz="4" w:space="0" w:color="808080" w:themeColor="background1" w:themeShade="80"/>
              <w:right w:val="nil"/>
            </w:tcBorders>
            <w:vAlign w:val="center"/>
            <w:hideMark/>
          </w:tcPr>
          <w:p w14:paraId="173C4B03" w14:textId="77777777" w:rsidR="0098755B" w:rsidRPr="00962762" w:rsidRDefault="0098755B" w:rsidP="00962762">
            <w:pPr>
              <w:jc w:val="both"/>
              <w:rPr>
                <w:rFonts w:asciiTheme="majorHAnsi" w:hAnsiTheme="majorHAnsi" w:cstheme="majorHAnsi"/>
                <w:sz w:val="18"/>
                <w:szCs w:val="20"/>
              </w:rPr>
            </w:pPr>
            <w:r w:rsidRPr="00962762">
              <w:rPr>
                <w:rFonts w:asciiTheme="majorHAnsi" w:hAnsiTheme="majorHAnsi" w:cstheme="majorHAnsi"/>
                <w:sz w:val="18"/>
                <w:szCs w:val="20"/>
              </w:rPr>
              <w:t>Szczycieński</w:t>
            </w:r>
          </w:p>
        </w:tc>
        <w:tc>
          <w:tcPr>
            <w:tcW w:w="987" w:type="dxa"/>
            <w:tcBorders>
              <w:top w:val="single" w:sz="4" w:space="0" w:color="808080" w:themeColor="background1" w:themeShade="80"/>
              <w:left w:val="nil"/>
              <w:bottom w:val="single" w:sz="4" w:space="0" w:color="808080" w:themeColor="background1" w:themeShade="80"/>
              <w:right w:val="nil"/>
            </w:tcBorders>
            <w:vAlign w:val="center"/>
            <w:hideMark/>
          </w:tcPr>
          <w:p w14:paraId="7F1670A7" w14:textId="77777777" w:rsidR="0098755B" w:rsidRPr="00962762" w:rsidRDefault="0098755B" w:rsidP="00962762">
            <w:pPr>
              <w:jc w:val="center"/>
              <w:rPr>
                <w:rFonts w:asciiTheme="majorHAnsi" w:hAnsiTheme="majorHAnsi" w:cstheme="majorHAnsi"/>
                <w:sz w:val="18"/>
                <w:szCs w:val="20"/>
              </w:rPr>
            </w:pPr>
            <w:r w:rsidRPr="00962762">
              <w:rPr>
                <w:rFonts w:asciiTheme="majorHAnsi" w:hAnsiTheme="majorHAnsi" w:cstheme="majorHAnsi"/>
                <w:sz w:val="18"/>
                <w:szCs w:val="20"/>
              </w:rPr>
              <w:t>2</w:t>
            </w:r>
          </w:p>
        </w:tc>
      </w:tr>
      <w:tr w:rsidR="0098755B" w:rsidRPr="00962762" w14:paraId="1922CDC9" w14:textId="77777777" w:rsidTr="00962762">
        <w:trPr>
          <w:trHeight w:val="20"/>
        </w:trPr>
        <w:tc>
          <w:tcPr>
            <w:tcW w:w="2263" w:type="dxa"/>
            <w:vMerge/>
            <w:tcBorders>
              <w:top w:val="single" w:sz="4" w:space="0" w:color="FFFFFF" w:themeColor="background1"/>
              <w:left w:val="single" w:sz="4" w:space="0" w:color="FFFFFF" w:themeColor="background1"/>
              <w:bottom w:val="single" w:sz="4" w:space="0" w:color="FFFFFF" w:themeColor="background1"/>
              <w:right w:val="nil"/>
            </w:tcBorders>
            <w:shd w:val="clear" w:color="auto" w:fill="DEEAF6" w:themeFill="accent1" w:themeFillTint="33"/>
            <w:vAlign w:val="center"/>
            <w:hideMark/>
          </w:tcPr>
          <w:p w14:paraId="07BD08EA" w14:textId="77777777" w:rsidR="0098755B" w:rsidRPr="00962762" w:rsidRDefault="0098755B" w:rsidP="00962762">
            <w:pPr>
              <w:rPr>
                <w:rFonts w:asciiTheme="majorHAnsi" w:hAnsiTheme="majorHAnsi" w:cstheme="majorHAnsi"/>
                <w:sz w:val="18"/>
                <w:szCs w:val="20"/>
              </w:rPr>
            </w:pPr>
          </w:p>
        </w:tc>
        <w:tc>
          <w:tcPr>
            <w:tcW w:w="4536" w:type="dxa"/>
            <w:vMerge w:val="restart"/>
            <w:tcBorders>
              <w:top w:val="single" w:sz="4" w:space="0" w:color="808080" w:themeColor="background1" w:themeShade="80"/>
              <w:left w:val="nil"/>
              <w:bottom w:val="single" w:sz="4" w:space="0" w:color="808080" w:themeColor="background1" w:themeShade="80"/>
              <w:right w:val="nil"/>
            </w:tcBorders>
            <w:vAlign w:val="center"/>
            <w:hideMark/>
          </w:tcPr>
          <w:p w14:paraId="7A0BB9BE" w14:textId="77777777" w:rsidR="0098755B" w:rsidRPr="00962762" w:rsidRDefault="0098755B" w:rsidP="00962762">
            <w:pPr>
              <w:rPr>
                <w:rFonts w:asciiTheme="majorHAnsi" w:hAnsiTheme="majorHAnsi" w:cstheme="majorHAnsi"/>
                <w:sz w:val="18"/>
                <w:szCs w:val="20"/>
              </w:rPr>
            </w:pPr>
            <w:r w:rsidRPr="00962762">
              <w:rPr>
                <w:rFonts w:asciiTheme="majorHAnsi" w:hAnsiTheme="majorHAnsi" w:cstheme="majorHAnsi"/>
                <w:sz w:val="18"/>
                <w:szCs w:val="20"/>
              </w:rPr>
              <w:t>% korzystających z kanalizacji</w:t>
            </w:r>
          </w:p>
        </w:tc>
        <w:tc>
          <w:tcPr>
            <w:tcW w:w="1276" w:type="dxa"/>
            <w:tcBorders>
              <w:top w:val="single" w:sz="4" w:space="0" w:color="808080" w:themeColor="background1" w:themeShade="80"/>
              <w:left w:val="nil"/>
              <w:bottom w:val="single" w:sz="4" w:space="0" w:color="808080" w:themeColor="background1" w:themeShade="80"/>
              <w:right w:val="nil"/>
            </w:tcBorders>
            <w:vAlign w:val="center"/>
            <w:hideMark/>
          </w:tcPr>
          <w:p w14:paraId="2EE1ABD4" w14:textId="77777777" w:rsidR="0098755B" w:rsidRPr="00962762" w:rsidRDefault="0098755B" w:rsidP="00962762">
            <w:pPr>
              <w:jc w:val="both"/>
              <w:rPr>
                <w:rFonts w:asciiTheme="majorHAnsi" w:hAnsiTheme="majorHAnsi" w:cstheme="majorHAnsi"/>
                <w:sz w:val="18"/>
                <w:szCs w:val="20"/>
              </w:rPr>
            </w:pPr>
            <w:r w:rsidRPr="00962762">
              <w:rPr>
                <w:rFonts w:asciiTheme="majorHAnsi" w:hAnsiTheme="majorHAnsi" w:cstheme="majorHAnsi"/>
                <w:sz w:val="18"/>
                <w:szCs w:val="20"/>
              </w:rPr>
              <w:t>Działdowski</w:t>
            </w:r>
          </w:p>
        </w:tc>
        <w:tc>
          <w:tcPr>
            <w:tcW w:w="987" w:type="dxa"/>
            <w:tcBorders>
              <w:top w:val="single" w:sz="4" w:space="0" w:color="808080" w:themeColor="background1" w:themeShade="80"/>
              <w:left w:val="nil"/>
              <w:bottom w:val="single" w:sz="4" w:space="0" w:color="808080" w:themeColor="background1" w:themeShade="80"/>
              <w:right w:val="nil"/>
            </w:tcBorders>
            <w:vAlign w:val="center"/>
            <w:hideMark/>
          </w:tcPr>
          <w:p w14:paraId="2289BCF5" w14:textId="77777777" w:rsidR="0098755B" w:rsidRPr="00962762" w:rsidRDefault="0098755B" w:rsidP="00962762">
            <w:pPr>
              <w:jc w:val="center"/>
              <w:rPr>
                <w:rFonts w:asciiTheme="majorHAnsi" w:hAnsiTheme="majorHAnsi" w:cstheme="majorHAnsi"/>
                <w:sz w:val="18"/>
                <w:szCs w:val="20"/>
              </w:rPr>
            </w:pPr>
            <w:r w:rsidRPr="00962762">
              <w:rPr>
                <w:rFonts w:asciiTheme="majorHAnsi" w:hAnsiTheme="majorHAnsi" w:cstheme="majorHAnsi"/>
                <w:sz w:val="18"/>
                <w:szCs w:val="20"/>
              </w:rPr>
              <w:t>2</w:t>
            </w:r>
          </w:p>
        </w:tc>
      </w:tr>
      <w:tr w:rsidR="0098755B" w:rsidRPr="00962762" w14:paraId="575680C7" w14:textId="77777777" w:rsidTr="00962762">
        <w:trPr>
          <w:trHeight w:val="20"/>
        </w:trPr>
        <w:tc>
          <w:tcPr>
            <w:tcW w:w="2263" w:type="dxa"/>
            <w:vMerge/>
            <w:tcBorders>
              <w:top w:val="single" w:sz="4" w:space="0" w:color="FFFFFF" w:themeColor="background1"/>
              <w:left w:val="single" w:sz="4" w:space="0" w:color="FFFFFF" w:themeColor="background1"/>
              <w:bottom w:val="single" w:sz="4" w:space="0" w:color="FFFFFF" w:themeColor="background1"/>
              <w:right w:val="nil"/>
            </w:tcBorders>
            <w:shd w:val="clear" w:color="auto" w:fill="DEEAF6" w:themeFill="accent1" w:themeFillTint="33"/>
            <w:vAlign w:val="center"/>
            <w:hideMark/>
          </w:tcPr>
          <w:p w14:paraId="673D5622" w14:textId="77777777" w:rsidR="0098755B" w:rsidRPr="00962762" w:rsidRDefault="0098755B" w:rsidP="00962762">
            <w:pPr>
              <w:rPr>
                <w:rFonts w:asciiTheme="majorHAnsi" w:hAnsiTheme="majorHAnsi" w:cstheme="majorHAnsi"/>
                <w:sz w:val="18"/>
                <w:szCs w:val="20"/>
              </w:rPr>
            </w:pPr>
          </w:p>
        </w:tc>
        <w:tc>
          <w:tcPr>
            <w:tcW w:w="4536" w:type="dxa"/>
            <w:vMerge/>
            <w:tcBorders>
              <w:top w:val="single" w:sz="4" w:space="0" w:color="808080" w:themeColor="background1" w:themeShade="80"/>
              <w:left w:val="nil"/>
              <w:bottom w:val="single" w:sz="4" w:space="0" w:color="808080" w:themeColor="background1" w:themeShade="80"/>
              <w:right w:val="nil"/>
            </w:tcBorders>
            <w:vAlign w:val="center"/>
            <w:hideMark/>
          </w:tcPr>
          <w:p w14:paraId="371E4672" w14:textId="77777777" w:rsidR="0098755B" w:rsidRPr="00962762" w:rsidRDefault="0098755B" w:rsidP="00962762">
            <w:pPr>
              <w:rPr>
                <w:rFonts w:asciiTheme="majorHAnsi" w:hAnsiTheme="majorHAnsi" w:cstheme="majorHAnsi"/>
                <w:sz w:val="18"/>
                <w:szCs w:val="20"/>
              </w:rPr>
            </w:pPr>
          </w:p>
        </w:tc>
        <w:tc>
          <w:tcPr>
            <w:tcW w:w="1276" w:type="dxa"/>
            <w:tcBorders>
              <w:top w:val="single" w:sz="4" w:space="0" w:color="808080" w:themeColor="background1" w:themeShade="80"/>
              <w:left w:val="nil"/>
              <w:bottom w:val="single" w:sz="4" w:space="0" w:color="808080" w:themeColor="background1" w:themeShade="80"/>
              <w:right w:val="nil"/>
            </w:tcBorders>
            <w:vAlign w:val="center"/>
            <w:hideMark/>
          </w:tcPr>
          <w:p w14:paraId="1F815311" w14:textId="77777777" w:rsidR="0098755B" w:rsidRPr="00962762" w:rsidRDefault="0098755B" w:rsidP="00962762">
            <w:pPr>
              <w:jc w:val="both"/>
              <w:rPr>
                <w:rFonts w:asciiTheme="majorHAnsi" w:hAnsiTheme="majorHAnsi" w:cstheme="majorHAnsi"/>
                <w:sz w:val="18"/>
                <w:szCs w:val="20"/>
              </w:rPr>
            </w:pPr>
            <w:r w:rsidRPr="00962762">
              <w:rPr>
                <w:rFonts w:asciiTheme="majorHAnsi" w:hAnsiTheme="majorHAnsi" w:cstheme="majorHAnsi"/>
                <w:sz w:val="18"/>
                <w:szCs w:val="20"/>
              </w:rPr>
              <w:t>Nidzicki</w:t>
            </w:r>
          </w:p>
        </w:tc>
        <w:tc>
          <w:tcPr>
            <w:tcW w:w="987" w:type="dxa"/>
            <w:tcBorders>
              <w:top w:val="single" w:sz="4" w:space="0" w:color="808080" w:themeColor="background1" w:themeShade="80"/>
              <w:left w:val="nil"/>
              <w:bottom w:val="single" w:sz="4" w:space="0" w:color="808080" w:themeColor="background1" w:themeShade="80"/>
              <w:right w:val="nil"/>
            </w:tcBorders>
            <w:vAlign w:val="center"/>
            <w:hideMark/>
          </w:tcPr>
          <w:p w14:paraId="3F5C69E0" w14:textId="77777777" w:rsidR="0098755B" w:rsidRPr="00962762" w:rsidRDefault="0098755B" w:rsidP="00962762">
            <w:pPr>
              <w:jc w:val="center"/>
              <w:rPr>
                <w:rFonts w:asciiTheme="majorHAnsi" w:hAnsiTheme="majorHAnsi" w:cstheme="majorHAnsi"/>
                <w:sz w:val="18"/>
                <w:szCs w:val="20"/>
              </w:rPr>
            </w:pPr>
            <w:r w:rsidRPr="00962762">
              <w:rPr>
                <w:rFonts w:asciiTheme="majorHAnsi" w:hAnsiTheme="majorHAnsi" w:cstheme="majorHAnsi"/>
                <w:sz w:val="18"/>
                <w:szCs w:val="20"/>
              </w:rPr>
              <w:t>3</w:t>
            </w:r>
          </w:p>
        </w:tc>
      </w:tr>
      <w:tr w:rsidR="0098755B" w:rsidRPr="00962762" w14:paraId="04800546" w14:textId="77777777" w:rsidTr="00962762">
        <w:trPr>
          <w:trHeight w:val="20"/>
        </w:trPr>
        <w:tc>
          <w:tcPr>
            <w:tcW w:w="2263" w:type="dxa"/>
            <w:vMerge/>
            <w:tcBorders>
              <w:top w:val="single" w:sz="4" w:space="0" w:color="FFFFFF" w:themeColor="background1"/>
              <w:left w:val="single" w:sz="4" w:space="0" w:color="FFFFFF" w:themeColor="background1"/>
              <w:bottom w:val="single" w:sz="4" w:space="0" w:color="FFFFFF" w:themeColor="background1"/>
              <w:right w:val="nil"/>
            </w:tcBorders>
            <w:shd w:val="clear" w:color="auto" w:fill="DEEAF6" w:themeFill="accent1" w:themeFillTint="33"/>
            <w:vAlign w:val="center"/>
            <w:hideMark/>
          </w:tcPr>
          <w:p w14:paraId="2C973A4C" w14:textId="77777777" w:rsidR="0098755B" w:rsidRPr="00962762" w:rsidRDefault="0098755B" w:rsidP="00962762">
            <w:pPr>
              <w:rPr>
                <w:rFonts w:asciiTheme="majorHAnsi" w:hAnsiTheme="majorHAnsi" w:cstheme="majorHAnsi"/>
                <w:sz w:val="18"/>
                <w:szCs w:val="20"/>
              </w:rPr>
            </w:pPr>
          </w:p>
        </w:tc>
        <w:tc>
          <w:tcPr>
            <w:tcW w:w="4536" w:type="dxa"/>
            <w:vMerge/>
            <w:tcBorders>
              <w:top w:val="single" w:sz="4" w:space="0" w:color="808080" w:themeColor="background1" w:themeShade="80"/>
              <w:left w:val="nil"/>
              <w:bottom w:val="single" w:sz="4" w:space="0" w:color="808080" w:themeColor="background1" w:themeShade="80"/>
              <w:right w:val="nil"/>
            </w:tcBorders>
            <w:vAlign w:val="center"/>
            <w:hideMark/>
          </w:tcPr>
          <w:p w14:paraId="40A42D95" w14:textId="77777777" w:rsidR="0098755B" w:rsidRPr="00962762" w:rsidRDefault="0098755B" w:rsidP="00962762">
            <w:pPr>
              <w:rPr>
                <w:rFonts w:asciiTheme="majorHAnsi" w:hAnsiTheme="majorHAnsi" w:cstheme="majorHAnsi"/>
                <w:sz w:val="18"/>
                <w:szCs w:val="20"/>
              </w:rPr>
            </w:pPr>
          </w:p>
        </w:tc>
        <w:tc>
          <w:tcPr>
            <w:tcW w:w="1276" w:type="dxa"/>
            <w:tcBorders>
              <w:top w:val="single" w:sz="4" w:space="0" w:color="808080" w:themeColor="background1" w:themeShade="80"/>
              <w:left w:val="nil"/>
              <w:bottom w:val="single" w:sz="4" w:space="0" w:color="808080" w:themeColor="background1" w:themeShade="80"/>
              <w:right w:val="nil"/>
            </w:tcBorders>
            <w:vAlign w:val="center"/>
            <w:hideMark/>
          </w:tcPr>
          <w:p w14:paraId="75757AE7" w14:textId="77777777" w:rsidR="0098755B" w:rsidRPr="00962762" w:rsidRDefault="0098755B" w:rsidP="00962762">
            <w:pPr>
              <w:jc w:val="both"/>
              <w:rPr>
                <w:rFonts w:asciiTheme="majorHAnsi" w:hAnsiTheme="majorHAnsi" w:cstheme="majorHAnsi"/>
                <w:sz w:val="18"/>
                <w:szCs w:val="20"/>
              </w:rPr>
            </w:pPr>
            <w:r w:rsidRPr="00962762">
              <w:rPr>
                <w:rFonts w:asciiTheme="majorHAnsi" w:hAnsiTheme="majorHAnsi" w:cstheme="majorHAnsi"/>
                <w:sz w:val="18"/>
                <w:szCs w:val="20"/>
              </w:rPr>
              <w:t>Piski</w:t>
            </w:r>
          </w:p>
        </w:tc>
        <w:tc>
          <w:tcPr>
            <w:tcW w:w="987" w:type="dxa"/>
            <w:tcBorders>
              <w:top w:val="single" w:sz="4" w:space="0" w:color="808080" w:themeColor="background1" w:themeShade="80"/>
              <w:left w:val="nil"/>
              <w:bottom w:val="single" w:sz="4" w:space="0" w:color="808080" w:themeColor="background1" w:themeShade="80"/>
              <w:right w:val="nil"/>
            </w:tcBorders>
            <w:vAlign w:val="center"/>
            <w:hideMark/>
          </w:tcPr>
          <w:p w14:paraId="36F8DE97" w14:textId="77777777" w:rsidR="0098755B" w:rsidRPr="00962762" w:rsidRDefault="0098755B" w:rsidP="00962762">
            <w:pPr>
              <w:jc w:val="center"/>
              <w:rPr>
                <w:rFonts w:asciiTheme="majorHAnsi" w:hAnsiTheme="majorHAnsi" w:cstheme="majorHAnsi"/>
                <w:sz w:val="18"/>
                <w:szCs w:val="20"/>
              </w:rPr>
            </w:pPr>
            <w:r w:rsidRPr="00962762">
              <w:rPr>
                <w:rFonts w:asciiTheme="majorHAnsi" w:hAnsiTheme="majorHAnsi" w:cstheme="majorHAnsi"/>
                <w:sz w:val="18"/>
                <w:szCs w:val="20"/>
              </w:rPr>
              <w:t>1</w:t>
            </w:r>
          </w:p>
        </w:tc>
      </w:tr>
      <w:tr w:rsidR="0098755B" w:rsidRPr="00962762" w14:paraId="08C54A0A" w14:textId="77777777" w:rsidTr="00962762">
        <w:trPr>
          <w:trHeight w:val="20"/>
        </w:trPr>
        <w:tc>
          <w:tcPr>
            <w:tcW w:w="2263" w:type="dxa"/>
            <w:vMerge/>
            <w:tcBorders>
              <w:top w:val="single" w:sz="4" w:space="0" w:color="FFFFFF" w:themeColor="background1"/>
              <w:left w:val="single" w:sz="4" w:space="0" w:color="FFFFFF" w:themeColor="background1"/>
              <w:bottom w:val="single" w:sz="4" w:space="0" w:color="FFFFFF" w:themeColor="background1"/>
              <w:right w:val="nil"/>
            </w:tcBorders>
            <w:shd w:val="clear" w:color="auto" w:fill="DEEAF6" w:themeFill="accent1" w:themeFillTint="33"/>
            <w:vAlign w:val="center"/>
            <w:hideMark/>
          </w:tcPr>
          <w:p w14:paraId="3E570DAB" w14:textId="77777777" w:rsidR="0098755B" w:rsidRPr="00962762" w:rsidRDefault="0098755B" w:rsidP="00962762">
            <w:pPr>
              <w:rPr>
                <w:rFonts w:asciiTheme="majorHAnsi" w:hAnsiTheme="majorHAnsi" w:cstheme="majorHAnsi"/>
                <w:sz w:val="18"/>
                <w:szCs w:val="20"/>
              </w:rPr>
            </w:pPr>
          </w:p>
        </w:tc>
        <w:tc>
          <w:tcPr>
            <w:tcW w:w="4536" w:type="dxa"/>
            <w:vMerge/>
            <w:tcBorders>
              <w:top w:val="single" w:sz="4" w:space="0" w:color="808080" w:themeColor="background1" w:themeShade="80"/>
              <w:left w:val="nil"/>
              <w:bottom w:val="single" w:sz="4" w:space="0" w:color="808080" w:themeColor="background1" w:themeShade="80"/>
              <w:right w:val="nil"/>
            </w:tcBorders>
            <w:vAlign w:val="center"/>
            <w:hideMark/>
          </w:tcPr>
          <w:p w14:paraId="2CB43EA7" w14:textId="77777777" w:rsidR="0098755B" w:rsidRPr="00962762" w:rsidRDefault="0098755B" w:rsidP="00962762">
            <w:pPr>
              <w:rPr>
                <w:rFonts w:asciiTheme="majorHAnsi" w:hAnsiTheme="majorHAnsi" w:cstheme="majorHAnsi"/>
                <w:sz w:val="18"/>
                <w:szCs w:val="20"/>
              </w:rPr>
            </w:pPr>
          </w:p>
        </w:tc>
        <w:tc>
          <w:tcPr>
            <w:tcW w:w="1276" w:type="dxa"/>
            <w:tcBorders>
              <w:top w:val="single" w:sz="4" w:space="0" w:color="808080" w:themeColor="background1" w:themeShade="80"/>
              <w:left w:val="nil"/>
              <w:bottom w:val="single" w:sz="4" w:space="0" w:color="808080" w:themeColor="background1" w:themeShade="80"/>
              <w:right w:val="nil"/>
            </w:tcBorders>
            <w:vAlign w:val="center"/>
            <w:hideMark/>
          </w:tcPr>
          <w:p w14:paraId="19D444DE" w14:textId="77777777" w:rsidR="0098755B" w:rsidRPr="00962762" w:rsidRDefault="0098755B" w:rsidP="00962762">
            <w:pPr>
              <w:jc w:val="both"/>
              <w:rPr>
                <w:rFonts w:asciiTheme="majorHAnsi" w:hAnsiTheme="majorHAnsi" w:cstheme="majorHAnsi"/>
                <w:sz w:val="18"/>
                <w:szCs w:val="20"/>
              </w:rPr>
            </w:pPr>
            <w:r w:rsidRPr="00962762">
              <w:rPr>
                <w:rFonts w:asciiTheme="majorHAnsi" w:hAnsiTheme="majorHAnsi" w:cstheme="majorHAnsi"/>
                <w:sz w:val="18"/>
                <w:szCs w:val="20"/>
              </w:rPr>
              <w:t>Szczycieński</w:t>
            </w:r>
          </w:p>
        </w:tc>
        <w:tc>
          <w:tcPr>
            <w:tcW w:w="987" w:type="dxa"/>
            <w:tcBorders>
              <w:top w:val="single" w:sz="4" w:space="0" w:color="808080" w:themeColor="background1" w:themeShade="80"/>
              <w:left w:val="nil"/>
              <w:bottom w:val="single" w:sz="4" w:space="0" w:color="808080" w:themeColor="background1" w:themeShade="80"/>
              <w:right w:val="nil"/>
            </w:tcBorders>
            <w:vAlign w:val="center"/>
            <w:hideMark/>
          </w:tcPr>
          <w:p w14:paraId="7F62B4F6" w14:textId="77777777" w:rsidR="0098755B" w:rsidRPr="00962762" w:rsidRDefault="0098755B" w:rsidP="00962762">
            <w:pPr>
              <w:jc w:val="center"/>
              <w:rPr>
                <w:rFonts w:asciiTheme="majorHAnsi" w:hAnsiTheme="majorHAnsi" w:cstheme="majorHAnsi"/>
                <w:sz w:val="18"/>
                <w:szCs w:val="20"/>
              </w:rPr>
            </w:pPr>
            <w:r w:rsidRPr="00962762">
              <w:rPr>
                <w:rFonts w:asciiTheme="majorHAnsi" w:hAnsiTheme="majorHAnsi" w:cstheme="majorHAnsi"/>
                <w:sz w:val="18"/>
                <w:szCs w:val="20"/>
              </w:rPr>
              <w:t>4</w:t>
            </w:r>
          </w:p>
        </w:tc>
      </w:tr>
      <w:tr w:rsidR="0098755B" w:rsidRPr="00962762" w14:paraId="70806998" w14:textId="77777777" w:rsidTr="00962762">
        <w:trPr>
          <w:trHeight w:val="20"/>
        </w:trPr>
        <w:tc>
          <w:tcPr>
            <w:tcW w:w="2263" w:type="dxa"/>
            <w:vMerge/>
            <w:tcBorders>
              <w:top w:val="single" w:sz="4" w:space="0" w:color="FFFFFF" w:themeColor="background1"/>
              <w:left w:val="single" w:sz="4" w:space="0" w:color="FFFFFF" w:themeColor="background1"/>
              <w:bottom w:val="single" w:sz="4" w:space="0" w:color="FFFFFF" w:themeColor="background1"/>
              <w:right w:val="nil"/>
            </w:tcBorders>
            <w:shd w:val="clear" w:color="auto" w:fill="DEEAF6" w:themeFill="accent1" w:themeFillTint="33"/>
            <w:vAlign w:val="center"/>
            <w:hideMark/>
          </w:tcPr>
          <w:p w14:paraId="13B6211A" w14:textId="77777777" w:rsidR="0098755B" w:rsidRPr="00962762" w:rsidRDefault="0098755B" w:rsidP="00962762">
            <w:pPr>
              <w:rPr>
                <w:rFonts w:asciiTheme="majorHAnsi" w:hAnsiTheme="majorHAnsi" w:cstheme="majorHAnsi"/>
                <w:sz w:val="18"/>
                <w:szCs w:val="20"/>
              </w:rPr>
            </w:pPr>
          </w:p>
        </w:tc>
        <w:tc>
          <w:tcPr>
            <w:tcW w:w="4536" w:type="dxa"/>
            <w:vMerge w:val="restart"/>
            <w:tcBorders>
              <w:top w:val="single" w:sz="4" w:space="0" w:color="808080" w:themeColor="background1" w:themeShade="80"/>
              <w:left w:val="nil"/>
              <w:bottom w:val="single" w:sz="4" w:space="0" w:color="808080" w:themeColor="background1" w:themeShade="80"/>
              <w:right w:val="nil"/>
            </w:tcBorders>
            <w:vAlign w:val="center"/>
            <w:hideMark/>
          </w:tcPr>
          <w:p w14:paraId="4D209027" w14:textId="77777777" w:rsidR="0098755B" w:rsidRPr="00962762" w:rsidRDefault="0098755B" w:rsidP="00962762">
            <w:pPr>
              <w:rPr>
                <w:rFonts w:asciiTheme="majorHAnsi" w:hAnsiTheme="majorHAnsi" w:cstheme="majorHAnsi"/>
                <w:sz w:val="18"/>
                <w:szCs w:val="20"/>
              </w:rPr>
            </w:pPr>
            <w:r w:rsidRPr="00962762">
              <w:rPr>
                <w:rFonts w:asciiTheme="majorHAnsi" w:hAnsiTheme="majorHAnsi" w:cstheme="majorHAnsi"/>
                <w:sz w:val="18"/>
                <w:szCs w:val="20"/>
              </w:rPr>
              <w:t>Długość ścieżek rowerowych na 1000 ludności</w:t>
            </w:r>
          </w:p>
        </w:tc>
        <w:tc>
          <w:tcPr>
            <w:tcW w:w="1276" w:type="dxa"/>
            <w:tcBorders>
              <w:top w:val="single" w:sz="4" w:space="0" w:color="808080" w:themeColor="background1" w:themeShade="80"/>
              <w:left w:val="nil"/>
              <w:bottom w:val="single" w:sz="4" w:space="0" w:color="808080" w:themeColor="background1" w:themeShade="80"/>
              <w:right w:val="nil"/>
            </w:tcBorders>
            <w:vAlign w:val="center"/>
            <w:hideMark/>
          </w:tcPr>
          <w:p w14:paraId="7546FA5D" w14:textId="77777777" w:rsidR="0098755B" w:rsidRPr="00962762" w:rsidRDefault="0098755B" w:rsidP="00962762">
            <w:pPr>
              <w:jc w:val="both"/>
              <w:rPr>
                <w:rFonts w:asciiTheme="majorHAnsi" w:hAnsiTheme="majorHAnsi" w:cstheme="majorHAnsi"/>
                <w:sz w:val="18"/>
                <w:szCs w:val="20"/>
              </w:rPr>
            </w:pPr>
            <w:r w:rsidRPr="00962762">
              <w:rPr>
                <w:rFonts w:asciiTheme="majorHAnsi" w:hAnsiTheme="majorHAnsi" w:cstheme="majorHAnsi"/>
                <w:sz w:val="18"/>
                <w:szCs w:val="20"/>
              </w:rPr>
              <w:t>Działdowski</w:t>
            </w:r>
          </w:p>
        </w:tc>
        <w:tc>
          <w:tcPr>
            <w:tcW w:w="987" w:type="dxa"/>
            <w:tcBorders>
              <w:top w:val="single" w:sz="4" w:space="0" w:color="808080" w:themeColor="background1" w:themeShade="80"/>
              <w:left w:val="nil"/>
              <w:bottom w:val="single" w:sz="4" w:space="0" w:color="808080" w:themeColor="background1" w:themeShade="80"/>
              <w:right w:val="nil"/>
            </w:tcBorders>
            <w:vAlign w:val="center"/>
            <w:hideMark/>
          </w:tcPr>
          <w:p w14:paraId="3EFFA597" w14:textId="77777777" w:rsidR="0098755B" w:rsidRPr="00962762" w:rsidRDefault="0098755B" w:rsidP="00962762">
            <w:pPr>
              <w:jc w:val="center"/>
              <w:rPr>
                <w:rFonts w:asciiTheme="majorHAnsi" w:hAnsiTheme="majorHAnsi" w:cstheme="majorHAnsi"/>
                <w:sz w:val="18"/>
                <w:szCs w:val="20"/>
              </w:rPr>
            </w:pPr>
            <w:r w:rsidRPr="00962762">
              <w:rPr>
                <w:rFonts w:asciiTheme="majorHAnsi" w:hAnsiTheme="majorHAnsi" w:cstheme="majorHAnsi"/>
                <w:sz w:val="18"/>
                <w:szCs w:val="20"/>
              </w:rPr>
              <w:t>4</w:t>
            </w:r>
          </w:p>
        </w:tc>
      </w:tr>
      <w:tr w:rsidR="0098755B" w:rsidRPr="00962762" w14:paraId="53BBAFD1" w14:textId="77777777" w:rsidTr="00962762">
        <w:trPr>
          <w:trHeight w:val="20"/>
        </w:trPr>
        <w:tc>
          <w:tcPr>
            <w:tcW w:w="2263" w:type="dxa"/>
            <w:vMerge/>
            <w:tcBorders>
              <w:top w:val="single" w:sz="4" w:space="0" w:color="FFFFFF" w:themeColor="background1"/>
              <w:left w:val="single" w:sz="4" w:space="0" w:color="FFFFFF" w:themeColor="background1"/>
              <w:bottom w:val="single" w:sz="4" w:space="0" w:color="FFFFFF" w:themeColor="background1"/>
              <w:right w:val="nil"/>
            </w:tcBorders>
            <w:shd w:val="clear" w:color="auto" w:fill="DEEAF6" w:themeFill="accent1" w:themeFillTint="33"/>
            <w:vAlign w:val="center"/>
            <w:hideMark/>
          </w:tcPr>
          <w:p w14:paraId="095FE0F6" w14:textId="77777777" w:rsidR="0098755B" w:rsidRPr="00962762" w:rsidRDefault="0098755B" w:rsidP="00962762">
            <w:pPr>
              <w:rPr>
                <w:rFonts w:asciiTheme="majorHAnsi" w:hAnsiTheme="majorHAnsi" w:cstheme="majorHAnsi"/>
                <w:sz w:val="18"/>
                <w:szCs w:val="20"/>
              </w:rPr>
            </w:pPr>
          </w:p>
        </w:tc>
        <w:tc>
          <w:tcPr>
            <w:tcW w:w="4536" w:type="dxa"/>
            <w:vMerge/>
            <w:tcBorders>
              <w:top w:val="single" w:sz="4" w:space="0" w:color="808080" w:themeColor="background1" w:themeShade="80"/>
              <w:left w:val="nil"/>
              <w:bottom w:val="single" w:sz="4" w:space="0" w:color="808080" w:themeColor="background1" w:themeShade="80"/>
              <w:right w:val="nil"/>
            </w:tcBorders>
            <w:vAlign w:val="center"/>
            <w:hideMark/>
          </w:tcPr>
          <w:p w14:paraId="3E45F0D8" w14:textId="77777777" w:rsidR="0098755B" w:rsidRPr="00962762" w:rsidRDefault="0098755B" w:rsidP="00962762">
            <w:pPr>
              <w:rPr>
                <w:rFonts w:asciiTheme="majorHAnsi" w:hAnsiTheme="majorHAnsi" w:cstheme="majorHAnsi"/>
                <w:sz w:val="18"/>
                <w:szCs w:val="20"/>
              </w:rPr>
            </w:pPr>
          </w:p>
        </w:tc>
        <w:tc>
          <w:tcPr>
            <w:tcW w:w="1276" w:type="dxa"/>
            <w:tcBorders>
              <w:top w:val="single" w:sz="4" w:space="0" w:color="808080" w:themeColor="background1" w:themeShade="80"/>
              <w:left w:val="nil"/>
              <w:bottom w:val="single" w:sz="4" w:space="0" w:color="808080" w:themeColor="background1" w:themeShade="80"/>
              <w:right w:val="nil"/>
            </w:tcBorders>
            <w:vAlign w:val="center"/>
            <w:hideMark/>
          </w:tcPr>
          <w:p w14:paraId="1C356025" w14:textId="77777777" w:rsidR="0098755B" w:rsidRPr="00962762" w:rsidRDefault="0098755B" w:rsidP="00962762">
            <w:pPr>
              <w:jc w:val="both"/>
              <w:rPr>
                <w:rFonts w:asciiTheme="majorHAnsi" w:hAnsiTheme="majorHAnsi" w:cstheme="majorHAnsi"/>
                <w:sz w:val="18"/>
                <w:szCs w:val="20"/>
              </w:rPr>
            </w:pPr>
            <w:r w:rsidRPr="00962762">
              <w:rPr>
                <w:rFonts w:asciiTheme="majorHAnsi" w:hAnsiTheme="majorHAnsi" w:cstheme="majorHAnsi"/>
                <w:sz w:val="18"/>
                <w:szCs w:val="20"/>
              </w:rPr>
              <w:t>Nidzicki</w:t>
            </w:r>
          </w:p>
        </w:tc>
        <w:tc>
          <w:tcPr>
            <w:tcW w:w="987" w:type="dxa"/>
            <w:tcBorders>
              <w:top w:val="single" w:sz="4" w:space="0" w:color="808080" w:themeColor="background1" w:themeShade="80"/>
              <w:left w:val="nil"/>
              <w:bottom w:val="single" w:sz="4" w:space="0" w:color="808080" w:themeColor="background1" w:themeShade="80"/>
              <w:right w:val="nil"/>
            </w:tcBorders>
            <w:vAlign w:val="center"/>
            <w:hideMark/>
          </w:tcPr>
          <w:p w14:paraId="46B61E78" w14:textId="77777777" w:rsidR="0098755B" w:rsidRPr="00962762" w:rsidRDefault="0098755B" w:rsidP="00962762">
            <w:pPr>
              <w:jc w:val="center"/>
              <w:rPr>
                <w:rFonts w:asciiTheme="majorHAnsi" w:hAnsiTheme="majorHAnsi" w:cstheme="majorHAnsi"/>
                <w:sz w:val="18"/>
                <w:szCs w:val="20"/>
              </w:rPr>
            </w:pPr>
            <w:r w:rsidRPr="00962762">
              <w:rPr>
                <w:rFonts w:asciiTheme="majorHAnsi" w:hAnsiTheme="majorHAnsi" w:cstheme="majorHAnsi"/>
                <w:sz w:val="18"/>
                <w:szCs w:val="20"/>
              </w:rPr>
              <w:t>1</w:t>
            </w:r>
          </w:p>
        </w:tc>
      </w:tr>
      <w:tr w:rsidR="0098755B" w:rsidRPr="00962762" w14:paraId="7E585C23" w14:textId="77777777" w:rsidTr="00962762">
        <w:trPr>
          <w:trHeight w:val="20"/>
        </w:trPr>
        <w:tc>
          <w:tcPr>
            <w:tcW w:w="2263" w:type="dxa"/>
            <w:vMerge/>
            <w:tcBorders>
              <w:top w:val="single" w:sz="4" w:space="0" w:color="FFFFFF" w:themeColor="background1"/>
              <w:left w:val="single" w:sz="4" w:space="0" w:color="FFFFFF" w:themeColor="background1"/>
              <w:bottom w:val="single" w:sz="4" w:space="0" w:color="FFFFFF" w:themeColor="background1"/>
              <w:right w:val="nil"/>
            </w:tcBorders>
            <w:shd w:val="clear" w:color="auto" w:fill="DEEAF6" w:themeFill="accent1" w:themeFillTint="33"/>
            <w:vAlign w:val="center"/>
            <w:hideMark/>
          </w:tcPr>
          <w:p w14:paraId="6254D70A" w14:textId="77777777" w:rsidR="0098755B" w:rsidRPr="00962762" w:rsidRDefault="0098755B" w:rsidP="00962762">
            <w:pPr>
              <w:rPr>
                <w:rFonts w:asciiTheme="majorHAnsi" w:hAnsiTheme="majorHAnsi" w:cstheme="majorHAnsi"/>
                <w:sz w:val="18"/>
                <w:szCs w:val="20"/>
              </w:rPr>
            </w:pPr>
          </w:p>
        </w:tc>
        <w:tc>
          <w:tcPr>
            <w:tcW w:w="4536" w:type="dxa"/>
            <w:vMerge/>
            <w:tcBorders>
              <w:top w:val="single" w:sz="4" w:space="0" w:color="808080" w:themeColor="background1" w:themeShade="80"/>
              <w:left w:val="nil"/>
              <w:bottom w:val="single" w:sz="4" w:space="0" w:color="808080" w:themeColor="background1" w:themeShade="80"/>
              <w:right w:val="nil"/>
            </w:tcBorders>
            <w:vAlign w:val="center"/>
            <w:hideMark/>
          </w:tcPr>
          <w:p w14:paraId="6BCA8CF9" w14:textId="77777777" w:rsidR="0098755B" w:rsidRPr="00962762" w:rsidRDefault="0098755B" w:rsidP="00962762">
            <w:pPr>
              <w:rPr>
                <w:rFonts w:asciiTheme="majorHAnsi" w:hAnsiTheme="majorHAnsi" w:cstheme="majorHAnsi"/>
                <w:sz w:val="18"/>
                <w:szCs w:val="20"/>
              </w:rPr>
            </w:pPr>
          </w:p>
        </w:tc>
        <w:tc>
          <w:tcPr>
            <w:tcW w:w="1276" w:type="dxa"/>
            <w:tcBorders>
              <w:top w:val="single" w:sz="4" w:space="0" w:color="808080" w:themeColor="background1" w:themeShade="80"/>
              <w:left w:val="nil"/>
              <w:bottom w:val="single" w:sz="4" w:space="0" w:color="808080" w:themeColor="background1" w:themeShade="80"/>
              <w:right w:val="nil"/>
            </w:tcBorders>
            <w:vAlign w:val="center"/>
            <w:hideMark/>
          </w:tcPr>
          <w:p w14:paraId="548F0D57" w14:textId="77777777" w:rsidR="0098755B" w:rsidRPr="00962762" w:rsidRDefault="0098755B" w:rsidP="00962762">
            <w:pPr>
              <w:jc w:val="both"/>
              <w:rPr>
                <w:rFonts w:asciiTheme="majorHAnsi" w:hAnsiTheme="majorHAnsi" w:cstheme="majorHAnsi"/>
                <w:sz w:val="18"/>
                <w:szCs w:val="20"/>
              </w:rPr>
            </w:pPr>
            <w:r w:rsidRPr="00962762">
              <w:rPr>
                <w:rFonts w:asciiTheme="majorHAnsi" w:hAnsiTheme="majorHAnsi" w:cstheme="majorHAnsi"/>
                <w:sz w:val="18"/>
                <w:szCs w:val="20"/>
              </w:rPr>
              <w:t>Piski</w:t>
            </w:r>
          </w:p>
        </w:tc>
        <w:tc>
          <w:tcPr>
            <w:tcW w:w="987" w:type="dxa"/>
            <w:tcBorders>
              <w:top w:val="single" w:sz="4" w:space="0" w:color="808080" w:themeColor="background1" w:themeShade="80"/>
              <w:left w:val="nil"/>
              <w:bottom w:val="single" w:sz="4" w:space="0" w:color="808080" w:themeColor="background1" w:themeShade="80"/>
              <w:right w:val="nil"/>
            </w:tcBorders>
            <w:vAlign w:val="center"/>
            <w:hideMark/>
          </w:tcPr>
          <w:p w14:paraId="0EFF9734" w14:textId="77777777" w:rsidR="0098755B" w:rsidRPr="00962762" w:rsidRDefault="0098755B" w:rsidP="00962762">
            <w:pPr>
              <w:jc w:val="center"/>
              <w:rPr>
                <w:rFonts w:asciiTheme="majorHAnsi" w:hAnsiTheme="majorHAnsi" w:cstheme="majorHAnsi"/>
                <w:sz w:val="18"/>
                <w:szCs w:val="20"/>
              </w:rPr>
            </w:pPr>
            <w:r w:rsidRPr="00962762">
              <w:rPr>
                <w:rFonts w:asciiTheme="majorHAnsi" w:hAnsiTheme="majorHAnsi" w:cstheme="majorHAnsi"/>
                <w:sz w:val="18"/>
                <w:szCs w:val="20"/>
              </w:rPr>
              <w:t>2</w:t>
            </w:r>
          </w:p>
        </w:tc>
      </w:tr>
      <w:tr w:rsidR="0098755B" w:rsidRPr="00962762" w14:paraId="4CBFB4C5" w14:textId="77777777" w:rsidTr="00962762">
        <w:trPr>
          <w:trHeight w:val="20"/>
        </w:trPr>
        <w:tc>
          <w:tcPr>
            <w:tcW w:w="2263" w:type="dxa"/>
            <w:vMerge/>
            <w:tcBorders>
              <w:top w:val="single" w:sz="4" w:space="0" w:color="FFFFFF" w:themeColor="background1"/>
              <w:left w:val="single" w:sz="4" w:space="0" w:color="FFFFFF" w:themeColor="background1"/>
              <w:bottom w:val="single" w:sz="4" w:space="0" w:color="FFFFFF" w:themeColor="background1"/>
              <w:right w:val="nil"/>
            </w:tcBorders>
            <w:shd w:val="clear" w:color="auto" w:fill="DEEAF6" w:themeFill="accent1" w:themeFillTint="33"/>
            <w:vAlign w:val="center"/>
            <w:hideMark/>
          </w:tcPr>
          <w:p w14:paraId="1ED3980A" w14:textId="77777777" w:rsidR="0098755B" w:rsidRPr="00962762" w:rsidRDefault="0098755B" w:rsidP="00962762">
            <w:pPr>
              <w:rPr>
                <w:rFonts w:asciiTheme="majorHAnsi" w:hAnsiTheme="majorHAnsi" w:cstheme="majorHAnsi"/>
                <w:sz w:val="18"/>
                <w:szCs w:val="20"/>
              </w:rPr>
            </w:pPr>
          </w:p>
        </w:tc>
        <w:tc>
          <w:tcPr>
            <w:tcW w:w="4536" w:type="dxa"/>
            <w:vMerge/>
            <w:tcBorders>
              <w:top w:val="single" w:sz="4" w:space="0" w:color="808080" w:themeColor="background1" w:themeShade="80"/>
              <w:left w:val="nil"/>
              <w:bottom w:val="single" w:sz="4" w:space="0" w:color="808080" w:themeColor="background1" w:themeShade="80"/>
              <w:right w:val="nil"/>
            </w:tcBorders>
            <w:vAlign w:val="center"/>
            <w:hideMark/>
          </w:tcPr>
          <w:p w14:paraId="367C6BB5" w14:textId="77777777" w:rsidR="0098755B" w:rsidRPr="00962762" w:rsidRDefault="0098755B" w:rsidP="00962762">
            <w:pPr>
              <w:rPr>
                <w:rFonts w:asciiTheme="majorHAnsi" w:hAnsiTheme="majorHAnsi" w:cstheme="majorHAnsi"/>
                <w:sz w:val="18"/>
                <w:szCs w:val="20"/>
              </w:rPr>
            </w:pPr>
          </w:p>
        </w:tc>
        <w:tc>
          <w:tcPr>
            <w:tcW w:w="1276" w:type="dxa"/>
            <w:tcBorders>
              <w:top w:val="single" w:sz="4" w:space="0" w:color="808080" w:themeColor="background1" w:themeShade="80"/>
              <w:left w:val="nil"/>
              <w:bottom w:val="single" w:sz="4" w:space="0" w:color="808080" w:themeColor="background1" w:themeShade="80"/>
              <w:right w:val="nil"/>
            </w:tcBorders>
            <w:vAlign w:val="center"/>
            <w:hideMark/>
          </w:tcPr>
          <w:p w14:paraId="5E3CE1CF" w14:textId="77777777" w:rsidR="0098755B" w:rsidRPr="00962762" w:rsidRDefault="0098755B" w:rsidP="00962762">
            <w:pPr>
              <w:jc w:val="both"/>
              <w:rPr>
                <w:rFonts w:asciiTheme="majorHAnsi" w:hAnsiTheme="majorHAnsi" w:cstheme="majorHAnsi"/>
                <w:sz w:val="18"/>
                <w:szCs w:val="20"/>
              </w:rPr>
            </w:pPr>
            <w:r w:rsidRPr="00962762">
              <w:rPr>
                <w:rFonts w:asciiTheme="majorHAnsi" w:hAnsiTheme="majorHAnsi" w:cstheme="majorHAnsi"/>
                <w:sz w:val="18"/>
                <w:szCs w:val="20"/>
              </w:rPr>
              <w:t>Szczycieński</w:t>
            </w:r>
          </w:p>
        </w:tc>
        <w:tc>
          <w:tcPr>
            <w:tcW w:w="987" w:type="dxa"/>
            <w:tcBorders>
              <w:top w:val="single" w:sz="4" w:space="0" w:color="808080" w:themeColor="background1" w:themeShade="80"/>
              <w:left w:val="nil"/>
              <w:bottom w:val="single" w:sz="4" w:space="0" w:color="808080" w:themeColor="background1" w:themeShade="80"/>
              <w:right w:val="nil"/>
            </w:tcBorders>
            <w:vAlign w:val="center"/>
            <w:hideMark/>
          </w:tcPr>
          <w:p w14:paraId="60AFA0FB" w14:textId="77777777" w:rsidR="0098755B" w:rsidRPr="00962762" w:rsidRDefault="0098755B" w:rsidP="00962762">
            <w:pPr>
              <w:jc w:val="center"/>
              <w:rPr>
                <w:rFonts w:asciiTheme="majorHAnsi" w:hAnsiTheme="majorHAnsi" w:cstheme="majorHAnsi"/>
                <w:sz w:val="18"/>
                <w:szCs w:val="20"/>
              </w:rPr>
            </w:pPr>
            <w:r w:rsidRPr="00962762">
              <w:rPr>
                <w:rFonts w:asciiTheme="majorHAnsi" w:hAnsiTheme="majorHAnsi" w:cstheme="majorHAnsi"/>
                <w:sz w:val="18"/>
                <w:szCs w:val="20"/>
              </w:rPr>
              <w:t>3</w:t>
            </w:r>
          </w:p>
        </w:tc>
      </w:tr>
    </w:tbl>
    <w:p w14:paraId="7186BF82" w14:textId="77777777" w:rsidR="00077C83" w:rsidRPr="00F25EBD" w:rsidRDefault="00077C83" w:rsidP="00FC7062">
      <w:pPr>
        <w:spacing w:line="276" w:lineRule="auto"/>
        <w:jc w:val="both"/>
        <w:rPr>
          <w:rFonts w:asciiTheme="majorHAnsi" w:hAnsiTheme="majorHAnsi" w:cstheme="majorHAnsi"/>
        </w:rPr>
      </w:pPr>
    </w:p>
    <w:p w14:paraId="596DC52D" w14:textId="77777777" w:rsidR="00077C83" w:rsidRPr="00F25EBD" w:rsidRDefault="00077C83" w:rsidP="00FC7062">
      <w:pPr>
        <w:spacing w:line="276" w:lineRule="auto"/>
        <w:jc w:val="both"/>
        <w:rPr>
          <w:rFonts w:asciiTheme="majorHAnsi" w:hAnsiTheme="majorHAnsi" w:cstheme="majorHAnsi"/>
        </w:rPr>
      </w:pPr>
      <w:r w:rsidRPr="00F25EBD">
        <w:rPr>
          <w:rFonts w:asciiTheme="majorHAnsi" w:hAnsiTheme="majorHAnsi" w:cstheme="majorHAnsi"/>
        </w:rPr>
        <w:t>W wyniku wyliczenia średniej punktów każdy z powiatów uzyskał średnią 2,5 punktu. Należy zatem stwierdzić, że potencjał powiatów jest porównywalny, przy czym przedstawiony ranking wskazuje na mocniejsze i słabsze strony danych powiatów. Tabela poniżej przedstawia średnie liczby punktów przypisane zgodnie z analizowanymi sferami. Im niższa wartość punktowa tym sytuacja danego powiatu w danej sferze jest lepsza.</w:t>
      </w:r>
    </w:p>
    <w:p w14:paraId="700CD77A" w14:textId="4CDC45DA" w:rsidR="00B153BA" w:rsidRDefault="00B153BA" w:rsidP="00B153BA">
      <w:pPr>
        <w:pStyle w:val="nad"/>
      </w:pPr>
      <w:bookmarkStart w:id="103" w:name="_Toc81300553"/>
      <w:r>
        <w:t xml:space="preserve">Tabela </w:t>
      </w:r>
      <w:r w:rsidR="00094ACC">
        <w:rPr>
          <w:noProof/>
        </w:rPr>
        <w:fldChar w:fldCharType="begin"/>
      </w:r>
      <w:r w:rsidR="00094ACC">
        <w:rPr>
          <w:noProof/>
        </w:rPr>
        <w:instrText xml:space="preserve"> SEQ Tabela \* ARABIC </w:instrText>
      </w:r>
      <w:r w:rsidR="00094ACC">
        <w:rPr>
          <w:noProof/>
        </w:rPr>
        <w:fldChar w:fldCharType="separate"/>
      </w:r>
      <w:r w:rsidR="006C7815">
        <w:rPr>
          <w:noProof/>
        </w:rPr>
        <w:t>27</w:t>
      </w:r>
      <w:r w:rsidR="00094ACC">
        <w:rPr>
          <w:noProof/>
        </w:rPr>
        <w:fldChar w:fldCharType="end"/>
      </w:r>
      <w:r>
        <w:t xml:space="preserve"> Średnie licz</w:t>
      </w:r>
      <w:r w:rsidR="00602799">
        <w:t>ba</w:t>
      </w:r>
      <w:r>
        <w:t xml:space="preserve"> punktów dla powiatów zgodnie z analizowanymi sferami</w:t>
      </w:r>
      <w:bookmarkEnd w:id="103"/>
    </w:p>
    <w:tbl>
      <w:tblPr>
        <w:tblW w:w="5003" w:type="pct"/>
        <w:tblInd w:w="-5" w:type="dxa"/>
        <w:tblCellMar>
          <w:left w:w="70" w:type="dxa"/>
          <w:right w:w="70" w:type="dxa"/>
        </w:tblCellMar>
        <w:tblLook w:val="04A0" w:firstRow="1" w:lastRow="0" w:firstColumn="1" w:lastColumn="0" w:noHBand="0" w:noVBand="1"/>
      </w:tblPr>
      <w:tblGrid>
        <w:gridCol w:w="3241"/>
        <w:gridCol w:w="1748"/>
        <w:gridCol w:w="1323"/>
        <w:gridCol w:w="1323"/>
        <w:gridCol w:w="1430"/>
      </w:tblGrid>
      <w:tr w:rsidR="00077C83" w:rsidRPr="00646BD8" w14:paraId="6DE8B2D2" w14:textId="77777777" w:rsidTr="00B153BA">
        <w:trPr>
          <w:trHeight w:val="318"/>
        </w:trPr>
        <w:tc>
          <w:tcPr>
            <w:tcW w:w="1787" w:type="pct"/>
            <w:tcBorders>
              <w:top w:val="single" w:sz="4" w:space="0" w:color="FFFFFF" w:themeColor="background1"/>
              <w:left w:val="single" w:sz="4" w:space="0" w:color="FFFFFF" w:themeColor="background1"/>
              <w:right w:val="single" w:sz="4" w:space="0" w:color="808080" w:themeColor="background1" w:themeShade="80"/>
            </w:tcBorders>
            <w:noWrap/>
            <w:vAlign w:val="bottom"/>
            <w:hideMark/>
          </w:tcPr>
          <w:p w14:paraId="63323F5D" w14:textId="77777777" w:rsidR="00077C83" w:rsidRPr="00646BD8" w:rsidRDefault="00077C83" w:rsidP="00646BD8">
            <w:pPr>
              <w:spacing w:after="0" w:line="240" w:lineRule="auto"/>
              <w:rPr>
                <w:rFonts w:asciiTheme="majorHAnsi" w:hAnsiTheme="majorHAnsi" w:cstheme="majorHAnsi"/>
                <w:sz w:val="20"/>
              </w:rPr>
            </w:pPr>
          </w:p>
        </w:tc>
        <w:tc>
          <w:tcPr>
            <w:tcW w:w="964" w:type="pct"/>
            <w:tcBorders>
              <w:top w:val="single" w:sz="4" w:space="0" w:color="FFFFFF" w:themeColor="background1"/>
              <w:left w:val="single" w:sz="4" w:space="0" w:color="808080" w:themeColor="background1" w:themeShade="80"/>
              <w:bottom w:val="single" w:sz="4" w:space="0" w:color="FFFFFF" w:themeColor="background1"/>
              <w:right w:val="single" w:sz="4" w:space="0" w:color="808080" w:themeColor="background1" w:themeShade="80"/>
            </w:tcBorders>
            <w:noWrap/>
            <w:vAlign w:val="center"/>
            <w:hideMark/>
          </w:tcPr>
          <w:p w14:paraId="19B5C1D5" w14:textId="77777777" w:rsidR="00077C83" w:rsidRPr="00646BD8" w:rsidRDefault="00077C83" w:rsidP="00646BD8">
            <w:pPr>
              <w:spacing w:after="0" w:line="240" w:lineRule="auto"/>
              <w:jc w:val="center"/>
              <w:rPr>
                <w:rFonts w:asciiTheme="majorHAnsi" w:eastAsia="Times New Roman" w:hAnsiTheme="majorHAnsi" w:cstheme="majorHAnsi"/>
                <w:sz w:val="20"/>
                <w:lang w:eastAsia="pl-PL"/>
              </w:rPr>
            </w:pPr>
            <w:r w:rsidRPr="00646BD8">
              <w:rPr>
                <w:rFonts w:asciiTheme="majorHAnsi" w:eastAsia="Times New Roman" w:hAnsiTheme="majorHAnsi" w:cstheme="majorHAnsi"/>
                <w:sz w:val="20"/>
                <w:lang w:eastAsia="pl-PL"/>
              </w:rPr>
              <w:t>Działdowski</w:t>
            </w:r>
          </w:p>
        </w:tc>
        <w:tc>
          <w:tcPr>
            <w:tcW w:w="730" w:type="pct"/>
            <w:tcBorders>
              <w:top w:val="single" w:sz="4" w:space="0" w:color="FFFFFF" w:themeColor="background1"/>
              <w:left w:val="single" w:sz="4" w:space="0" w:color="808080" w:themeColor="background1" w:themeShade="80"/>
              <w:bottom w:val="single" w:sz="4" w:space="0" w:color="FFFFFF" w:themeColor="background1"/>
              <w:right w:val="single" w:sz="4" w:space="0" w:color="808080" w:themeColor="background1" w:themeShade="80"/>
            </w:tcBorders>
            <w:noWrap/>
            <w:vAlign w:val="center"/>
            <w:hideMark/>
          </w:tcPr>
          <w:p w14:paraId="6CD9C332" w14:textId="77777777" w:rsidR="00077C83" w:rsidRPr="00646BD8" w:rsidRDefault="00077C83" w:rsidP="00646BD8">
            <w:pPr>
              <w:spacing w:after="0" w:line="240" w:lineRule="auto"/>
              <w:jc w:val="center"/>
              <w:rPr>
                <w:rFonts w:asciiTheme="majorHAnsi" w:eastAsia="Times New Roman" w:hAnsiTheme="majorHAnsi" w:cstheme="majorHAnsi"/>
                <w:sz w:val="20"/>
                <w:lang w:eastAsia="pl-PL"/>
              </w:rPr>
            </w:pPr>
            <w:r w:rsidRPr="00646BD8">
              <w:rPr>
                <w:rFonts w:asciiTheme="majorHAnsi" w:eastAsia="Times New Roman" w:hAnsiTheme="majorHAnsi" w:cstheme="majorHAnsi"/>
                <w:sz w:val="20"/>
                <w:lang w:eastAsia="pl-PL"/>
              </w:rPr>
              <w:t>Nidzicki</w:t>
            </w:r>
          </w:p>
        </w:tc>
        <w:tc>
          <w:tcPr>
            <w:tcW w:w="730" w:type="pct"/>
            <w:tcBorders>
              <w:top w:val="single" w:sz="4" w:space="0" w:color="FFFFFF" w:themeColor="background1"/>
              <w:left w:val="single" w:sz="4" w:space="0" w:color="808080" w:themeColor="background1" w:themeShade="80"/>
              <w:bottom w:val="single" w:sz="4" w:space="0" w:color="FFFFFF" w:themeColor="background1"/>
              <w:right w:val="single" w:sz="4" w:space="0" w:color="808080" w:themeColor="background1" w:themeShade="80"/>
            </w:tcBorders>
            <w:noWrap/>
            <w:vAlign w:val="center"/>
            <w:hideMark/>
          </w:tcPr>
          <w:p w14:paraId="7922458E" w14:textId="77777777" w:rsidR="00077C83" w:rsidRPr="00646BD8" w:rsidRDefault="00077C83" w:rsidP="00646BD8">
            <w:pPr>
              <w:spacing w:after="0" w:line="240" w:lineRule="auto"/>
              <w:jc w:val="center"/>
              <w:rPr>
                <w:rFonts w:asciiTheme="majorHAnsi" w:eastAsia="Times New Roman" w:hAnsiTheme="majorHAnsi" w:cstheme="majorHAnsi"/>
                <w:sz w:val="20"/>
                <w:lang w:eastAsia="pl-PL"/>
              </w:rPr>
            </w:pPr>
            <w:r w:rsidRPr="00646BD8">
              <w:rPr>
                <w:rFonts w:asciiTheme="majorHAnsi" w:eastAsia="Times New Roman" w:hAnsiTheme="majorHAnsi" w:cstheme="majorHAnsi"/>
                <w:sz w:val="20"/>
                <w:lang w:eastAsia="pl-PL"/>
              </w:rPr>
              <w:t>Piski</w:t>
            </w:r>
          </w:p>
        </w:tc>
        <w:tc>
          <w:tcPr>
            <w:tcW w:w="790" w:type="pct"/>
            <w:tcBorders>
              <w:top w:val="single" w:sz="4" w:space="0" w:color="FFFFFF" w:themeColor="background1"/>
              <w:left w:val="single" w:sz="4" w:space="0" w:color="808080" w:themeColor="background1" w:themeShade="80"/>
              <w:bottom w:val="single" w:sz="4" w:space="0" w:color="FFFFFF" w:themeColor="background1"/>
              <w:right w:val="single" w:sz="4" w:space="0" w:color="FFFFFF" w:themeColor="background1"/>
            </w:tcBorders>
            <w:noWrap/>
            <w:vAlign w:val="center"/>
            <w:hideMark/>
          </w:tcPr>
          <w:p w14:paraId="32D3441C" w14:textId="77777777" w:rsidR="00077C83" w:rsidRPr="00646BD8" w:rsidRDefault="00077C83" w:rsidP="00646BD8">
            <w:pPr>
              <w:spacing w:after="0" w:line="240" w:lineRule="auto"/>
              <w:jc w:val="center"/>
              <w:rPr>
                <w:rFonts w:asciiTheme="majorHAnsi" w:eastAsia="Times New Roman" w:hAnsiTheme="majorHAnsi" w:cstheme="majorHAnsi"/>
                <w:sz w:val="20"/>
                <w:lang w:eastAsia="pl-PL"/>
              </w:rPr>
            </w:pPr>
            <w:r w:rsidRPr="00646BD8">
              <w:rPr>
                <w:rFonts w:asciiTheme="majorHAnsi" w:eastAsia="Times New Roman" w:hAnsiTheme="majorHAnsi" w:cstheme="majorHAnsi"/>
                <w:sz w:val="20"/>
                <w:lang w:eastAsia="pl-PL"/>
              </w:rPr>
              <w:t>Szczycieński</w:t>
            </w:r>
          </w:p>
        </w:tc>
      </w:tr>
      <w:tr w:rsidR="00077C83" w:rsidRPr="00F25EBD" w14:paraId="74AC7FBE" w14:textId="77777777" w:rsidTr="00B153BA">
        <w:trPr>
          <w:trHeight w:val="318"/>
        </w:trPr>
        <w:tc>
          <w:tcPr>
            <w:tcW w:w="1787" w:type="pct"/>
            <w:tcBorders>
              <w:bottom w:val="single" w:sz="4" w:space="0" w:color="808080" w:themeColor="background1" w:themeShade="80"/>
            </w:tcBorders>
            <w:noWrap/>
            <w:vAlign w:val="bottom"/>
            <w:hideMark/>
          </w:tcPr>
          <w:p w14:paraId="13211B87" w14:textId="77777777" w:rsidR="00077C83" w:rsidRPr="0069557E" w:rsidRDefault="00077C83" w:rsidP="00646BD8">
            <w:pPr>
              <w:spacing w:after="0" w:line="240" w:lineRule="auto"/>
              <w:jc w:val="both"/>
              <w:rPr>
                <w:rFonts w:asciiTheme="majorHAnsi" w:eastAsia="Times New Roman" w:hAnsiTheme="majorHAnsi" w:cstheme="majorHAnsi"/>
                <w:color w:val="000000"/>
                <w:sz w:val="20"/>
                <w:lang w:eastAsia="pl-PL"/>
              </w:rPr>
            </w:pPr>
            <w:r w:rsidRPr="0069557E">
              <w:rPr>
                <w:rFonts w:asciiTheme="majorHAnsi" w:eastAsia="Times New Roman" w:hAnsiTheme="majorHAnsi" w:cstheme="majorHAnsi"/>
                <w:color w:val="000000"/>
                <w:sz w:val="20"/>
                <w:lang w:eastAsia="pl-PL"/>
              </w:rPr>
              <w:t>Demografia</w:t>
            </w:r>
          </w:p>
        </w:tc>
        <w:tc>
          <w:tcPr>
            <w:tcW w:w="964" w:type="pct"/>
            <w:tcBorders>
              <w:top w:val="single" w:sz="4" w:space="0" w:color="FFFFFF" w:themeColor="background1"/>
              <w:left w:val="nil"/>
              <w:bottom w:val="single" w:sz="4" w:space="0" w:color="FFFFFF" w:themeColor="background1"/>
              <w:right w:val="single" w:sz="4" w:space="0" w:color="FFFFFF" w:themeColor="background1"/>
            </w:tcBorders>
            <w:shd w:val="clear" w:color="auto" w:fill="F8696B"/>
            <w:noWrap/>
            <w:vAlign w:val="center"/>
            <w:hideMark/>
          </w:tcPr>
          <w:p w14:paraId="7829B99F" w14:textId="77777777" w:rsidR="00077C83" w:rsidRPr="0069557E" w:rsidRDefault="00077C83" w:rsidP="00646BD8">
            <w:pPr>
              <w:spacing w:after="0" w:line="240" w:lineRule="auto"/>
              <w:jc w:val="center"/>
              <w:rPr>
                <w:rFonts w:asciiTheme="majorHAnsi" w:eastAsia="Times New Roman" w:hAnsiTheme="majorHAnsi" w:cstheme="majorHAnsi"/>
                <w:color w:val="000000"/>
                <w:sz w:val="20"/>
                <w:lang w:eastAsia="pl-PL"/>
              </w:rPr>
            </w:pPr>
            <w:r w:rsidRPr="0069557E">
              <w:rPr>
                <w:rFonts w:asciiTheme="majorHAnsi" w:eastAsia="Times New Roman" w:hAnsiTheme="majorHAnsi" w:cstheme="majorHAnsi"/>
                <w:color w:val="000000"/>
                <w:sz w:val="20"/>
                <w:lang w:eastAsia="pl-PL"/>
              </w:rPr>
              <w:t>3,00</w:t>
            </w:r>
          </w:p>
        </w:tc>
        <w:tc>
          <w:tcPr>
            <w:tcW w:w="73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DC07C"/>
            <w:noWrap/>
            <w:vAlign w:val="center"/>
            <w:hideMark/>
          </w:tcPr>
          <w:p w14:paraId="73C2EFB6" w14:textId="77777777" w:rsidR="00077C83" w:rsidRPr="0069557E" w:rsidRDefault="00077C83" w:rsidP="00646BD8">
            <w:pPr>
              <w:spacing w:after="0" w:line="240" w:lineRule="auto"/>
              <w:jc w:val="center"/>
              <w:rPr>
                <w:rFonts w:asciiTheme="majorHAnsi" w:eastAsia="Times New Roman" w:hAnsiTheme="majorHAnsi" w:cstheme="majorHAnsi"/>
                <w:color w:val="000000"/>
                <w:sz w:val="20"/>
                <w:lang w:eastAsia="pl-PL"/>
              </w:rPr>
            </w:pPr>
            <w:r w:rsidRPr="0069557E">
              <w:rPr>
                <w:rFonts w:asciiTheme="majorHAnsi" w:eastAsia="Times New Roman" w:hAnsiTheme="majorHAnsi" w:cstheme="majorHAnsi"/>
                <w:color w:val="000000"/>
                <w:sz w:val="20"/>
                <w:lang w:eastAsia="pl-PL"/>
              </w:rPr>
              <w:t>2,67</w:t>
            </w:r>
          </w:p>
        </w:tc>
        <w:tc>
          <w:tcPr>
            <w:tcW w:w="73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DC81"/>
            <w:noWrap/>
            <w:vAlign w:val="center"/>
            <w:hideMark/>
          </w:tcPr>
          <w:p w14:paraId="18730923" w14:textId="77777777" w:rsidR="00077C83" w:rsidRPr="0069557E" w:rsidRDefault="00077C83" w:rsidP="00646BD8">
            <w:pPr>
              <w:spacing w:after="0" w:line="240" w:lineRule="auto"/>
              <w:jc w:val="center"/>
              <w:rPr>
                <w:rFonts w:asciiTheme="majorHAnsi" w:eastAsia="Times New Roman" w:hAnsiTheme="majorHAnsi" w:cstheme="majorHAnsi"/>
                <w:color w:val="000000"/>
                <w:sz w:val="20"/>
                <w:lang w:eastAsia="pl-PL"/>
              </w:rPr>
            </w:pPr>
            <w:r w:rsidRPr="0069557E">
              <w:rPr>
                <w:rFonts w:asciiTheme="majorHAnsi" w:eastAsia="Times New Roman" w:hAnsiTheme="majorHAnsi" w:cstheme="majorHAnsi"/>
                <w:color w:val="000000"/>
                <w:sz w:val="20"/>
                <w:lang w:eastAsia="pl-PL"/>
              </w:rPr>
              <w:t>2,33</w:t>
            </w:r>
          </w:p>
        </w:tc>
        <w:tc>
          <w:tcPr>
            <w:tcW w:w="79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3BE7B"/>
            <w:noWrap/>
            <w:vAlign w:val="center"/>
            <w:hideMark/>
          </w:tcPr>
          <w:p w14:paraId="10324C79" w14:textId="77777777" w:rsidR="00077C83" w:rsidRPr="0069557E" w:rsidRDefault="00077C83" w:rsidP="00646BD8">
            <w:pPr>
              <w:spacing w:after="0" w:line="240" w:lineRule="auto"/>
              <w:jc w:val="center"/>
              <w:rPr>
                <w:rFonts w:asciiTheme="majorHAnsi" w:eastAsia="Times New Roman" w:hAnsiTheme="majorHAnsi" w:cstheme="majorHAnsi"/>
                <w:color w:val="000000"/>
                <w:sz w:val="20"/>
                <w:lang w:eastAsia="pl-PL"/>
              </w:rPr>
            </w:pPr>
            <w:r w:rsidRPr="0069557E">
              <w:rPr>
                <w:rFonts w:asciiTheme="majorHAnsi" w:eastAsia="Times New Roman" w:hAnsiTheme="majorHAnsi" w:cstheme="majorHAnsi"/>
                <w:color w:val="000000"/>
                <w:sz w:val="20"/>
                <w:lang w:eastAsia="pl-PL"/>
              </w:rPr>
              <w:t>2,00</w:t>
            </w:r>
          </w:p>
        </w:tc>
      </w:tr>
      <w:tr w:rsidR="00077C83" w:rsidRPr="00F25EBD" w14:paraId="6A9E60E6" w14:textId="77777777" w:rsidTr="00B153BA">
        <w:trPr>
          <w:trHeight w:val="318"/>
        </w:trPr>
        <w:tc>
          <w:tcPr>
            <w:tcW w:w="1787" w:type="pct"/>
            <w:tcBorders>
              <w:top w:val="single" w:sz="4" w:space="0" w:color="808080" w:themeColor="background1" w:themeShade="80"/>
              <w:bottom w:val="single" w:sz="4" w:space="0" w:color="808080" w:themeColor="background1" w:themeShade="80"/>
            </w:tcBorders>
            <w:noWrap/>
            <w:vAlign w:val="bottom"/>
            <w:hideMark/>
          </w:tcPr>
          <w:p w14:paraId="18AD884C" w14:textId="77777777" w:rsidR="00077C83" w:rsidRPr="0069557E" w:rsidRDefault="00077C83" w:rsidP="00646BD8">
            <w:pPr>
              <w:spacing w:after="0" w:line="240" w:lineRule="auto"/>
              <w:jc w:val="both"/>
              <w:rPr>
                <w:rFonts w:asciiTheme="majorHAnsi" w:eastAsia="Times New Roman" w:hAnsiTheme="majorHAnsi" w:cstheme="majorHAnsi"/>
                <w:color w:val="000000"/>
                <w:sz w:val="20"/>
                <w:lang w:eastAsia="pl-PL"/>
              </w:rPr>
            </w:pPr>
            <w:r w:rsidRPr="0069557E">
              <w:rPr>
                <w:rFonts w:asciiTheme="majorHAnsi" w:eastAsia="Times New Roman" w:hAnsiTheme="majorHAnsi" w:cstheme="majorHAnsi"/>
                <w:color w:val="000000"/>
                <w:sz w:val="20"/>
                <w:lang w:eastAsia="pl-PL"/>
              </w:rPr>
              <w:t>Zdrowie</w:t>
            </w:r>
          </w:p>
        </w:tc>
        <w:tc>
          <w:tcPr>
            <w:tcW w:w="964" w:type="pct"/>
            <w:tcBorders>
              <w:top w:val="single" w:sz="4" w:space="0" w:color="FFFFFF" w:themeColor="background1"/>
              <w:left w:val="nil"/>
              <w:bottom w:val="single" w:sz="4" w:space="0" w:color="FFFFFF" w:themeColor="background1"/>
              <w:right w:val="single" w:sz="4" w:space="0" w:color="FFFFFF" w:themeColor="background1"/>
            </w:tcBorders>
            <w:shd w:val="clear" w:color="auto" w:fill="63BE7B"/>
            <w:noWrap/>
            <w:vAlign w:val="center"/>
            <w:hideMark/>
          </w:tcPr>
          <w:p w14:paraId="54529138" w14:textId="77777777" w:rsidR="00077C83" w:rsidRPr="0069557E" w:rsidRDefault="00077C83" w:rsidP="00646BD8">
            <w:pPr>
              <w:spacing w:after="0" w:line="240" w:lineRule="auto"/>
              <w:jc w:val="center"/>
              <w:rPr>
                <w:rFonts w:asciiTheme="majorHAnsi" w:eastAsia="Times New Roman" w:hAnsiTheme="majorHAnsi" w:cstheme="majorHAnsi"/>
                <w:color w:val="000000"/>
                <w:sz w:val="20"/>
                <w:lang w:eastAsia="pl-PL"/>
              </w:rPr>
            </w:pPr>
            <w:r w:rsidRPr="0069557E">
              <w:rPr>
                <w:rFonts w:asciiTheme="majorHAnsi" w:eastAsia="Times New Roman" w:hAnsiTheme="majorHAnsi" w:cstheme="majorHAnsi"/>
                <w:color w:val="000000"/>
                <w:sz w:val="20"/>
                <w:lang w:eastAsia="pl-PL"/>
              </w:rPr>
              <w:t>1,25</w:t>
            </w:r>
          </w:p>
        </w:tc>
        <w:tc>
          <w:tcPr>
            <w:tcW w:w="73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3E783"/>
            <w:noWrap/>
            <w:vAlign w:val="center"/>
            <w:hideMark/>
          </w:tcPr>
          <w:p w14:paraId="7E99E15D" w14:textId="77777777" w:rsidR="00077C83" w:rsidRPr="0069557E" w:rsidRDefault="00077C83" w:rsidP="00646BD8">
            <w:pPr>
              <w:spacing w:after="0" w:line="240" w:lineRule="auto"/>
              <w:jc w:val="center"/>
              <w:rPr>
                <w:rFonts w:asciiTheme="majorHAnsi" w:eastAsia="Times New Roman" w:hAnsiTheme="majorHAnsi" w:cstheme="majorHAnsi"/>
                <w:color w:val="000000"/>
                <w:sz w:val="20"/>
                <w:lang w:eastAsia="pl-PL"/>
              </w:rPr>
            </w:pPr>
            <w:r w:rsidRPr="0069557E">
              <w:rPr>
                <w:rFonts w:asciiTheme="majorHAnsi" w:eastAsia="Times New Roman" w:hAnsiTheme="majorHAnsi" w:cstheme="majorHAnsi"/>
                <w:color w:val="000000"/>
                <w:sz w:val="20"/>
                <w:lang w:eastAsia="pl-PL"/>
              </w:rPr>
              <w:t>2,75</w:t>
            </w:r>
          </w:p>
        </w:tc>
        <w:tc>
          <w:tcPr>
            <w:tcW w:w="73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8696B"/>
            <w:noWrap/>
            <w:vAlign w:val="center"/>
            <w:hideMark/>
          </w:tcPr>
          <w:p w14:paraId="7067ACAF" w14:textId="77777777" w:rsidR="00077C83" w:rsidRPr="0069557E" w:rsidRDefault="00077C83" w:rsidP="00646BD8">
            <w:pPr>
              <w:spacing w:after="0" w:line="240" w:lineRule="auto"/>
              <w:jc w:val="center"/>
              <w:rPr>
                <w:rFonts w:asciiTheme="majorHAnsi" w:eastAsia="Times New Roman" w:hAnsiTheme="majorHAnsi" w:cstheme="majorHAnsi"/>
                <w:color w:val="000000"/>
                <w:sz w:val="20"/>
                <w:lang w:eastAsia="pl-PL"/>
              </w:rPr>
            </w:pPr>
            <w:r w:rsidRPr="0069557E">
              <w:rPr>
                <w:rFonts w:asciiTheme="majorHAnsi" w:eastAsia="Times New Roman" w:hAnsiTheme="majorHAnsi" w:cstheme="majorHAnsi"/>
                <w:color w:val="000000"/>
                <w:sz w:val="20"/>
                <w:lang w:eastAsia="pl-PL"/>
              </w:rPr>
              <w:t>3,00</w:t>
            </w:r>
          </w:p>
        </w:tc>
        <w:tc>
          <w:tcPr>
            <w:tcW w:w="79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8696B"/>
            <w:noWrap/>
            <w:vAlign w:val="center"/>
            <w:hideMark/>
          </w:tcPr>
          <w:p w14:paraId="5458B82C" w14:textId="77777777" w:rsidR="00077C83" w:rsidRPr="0069557E" w:rsidRDefault="00077C83" w:rsidP="00646BD8">
            <w:pPr>
              <w:spacing w:after="0" w:line="240" w:lineRule="auto"/>
              <w:jc w:val="center"/>
              <w:rPr>
                <w:rFonts w:asciiTheme="majorHAnsi" w:eastAsia="Times New Roman" w:hAnsiTheme="majorHAnsi" w:cstheme="majorHAnsi"/>
                <w:color w:val="000000"/>
                <w:sz w:val="20"/>
                <w:lang w:eastAsia="pl-PL"/>
              </w:rPr>
            </w:pPr>
            <w:r w:rsidRPr="0069557E">
              <w:rPr>
                <w:rFonts w:asciiTheme="majorHAnsi" w:eastAsia="Times New Roman" w:hAnsiTheme="majorHAnsi" w:cstheme="majorHAnsi"/>
                <w:color w:val="000000"/>
                <w:sz w:val="20"/>
                <w:lang w:eastAsia="pl-PL"/>
              </w:rPr>
              <w:t>3,00</w:t>
            </w:r>
          </w:p>
        </w:tc>
      </w:tr>
      <w:tr w:rsidR="00077C83" w:rsidRPr="00F25EBD" w14:paraId="44D9DD6D" w14:textId="77777777" w:rsidTr="00B153BA">
        <w:trPr>
          <w:trHeight w:val="318"/>
        </w:trPr>
        <w:tc>
          <w:tcPr>
            <w:tcW w:w="1787" w:type="pct"/>
            <w:tcBorders>
              <w:top w:val="single" w:sz="4" w:space="0" w:color="808080" w:themeColor="background1" w:themeShade="80"/>
              <w:bottom w:val="single" w:sz="4" w:space="0" w:color="808080" w:themeColor="background1" w:themeShade="80"/>
            </w:tcBorders>
            <w:noWrap/>
            <w:vAlign w:val="bottom"/>
            <w:hideMark/>
          </w:tcPr>
          <w:p w14:paraId="58F84D7E" w14:textId="77777777" w:rsidR="00077C83" w:rsidRPr="0069557E" w:rsidRDefault="00077C83" w:rsidP="00646BD8">
            <w:pPr>
              <w:spacing w:after="0" w:line="240" w:lineRule="auto"/>
              <w:jc w:val="both"/>
              <w:rPr>
                <w:rFonts w:asciiTheme="majorHAnsi" w:eastAsia="Times New Roman" w:hAnsiTheme="majorHAnsi" w:cstheme="majorHAnsi"/>
                <w:color w:val="000000"/>
                <w:sz w:val="20"/>
                <w:lang w:eastAsia="pl-PL"/>
              </w:rPr>
            </w:pPr>
            <w:r w:rsidRPr="0069557E">
              <w:rPr>
                <w:rFonts w:asciiTheme="majorHAnsi" w:eastAsia="Times New Roman" w:hAnsiTheme="majorHAnsi" w:cstheme="majorHAnsi"/>
                <w:color w:val="000000"/>
                <w:sz w:val="20"/>
                <w:lang w:eastAsia="pl-PL"/>
              </w:rPr>
              <w:t>Edukacja</w:t>
            </w:r>
          </w:p>
        </w:tc>
        <w:tc>
          <w:tcPr>
            <w:tcW w:w="964" w:type="pct"/>
            <w:tcBorders>
              <w:top w:val="single" w:sz="4" w:space="0" w:color="FFFFFF" w:themeColor="background1"/>
              <w:left w:val="nil"/>
              <w:bottom w:val="single" w:sz="4" w:space="0" w:color="FFFFFF" w:themeColor="background1"/>
              <w:right w:val="single" w:sz="4" w:space="0" w:color="FFFFFF" w:themeColor="background1"/>
            </w:tcBorders>
            <w:shd w:val="clear" w:color="auto" w:fill="F8696B"/>
            <w:noWrap/>
            <w:vAlign w:val="center"/>
            <w:hideMark/>
          </w:tcPr>
          <w:p w14:paraId="48C1B0DE" w14:textId="77777777" w:rsidR="00077C83" w:rsidRPr="0069557E" w:rsidRDefault="00077C83" w:rsidP="00646BD8">
            <w:pPr>
              <w:spacing w:after="0" w:line="240" w:lineRule="auto"/>
              <w:jc w:val="center"/>
              <w:rPr>
                <w:rFonts w:asciiTheme="majorHAnsi" w:eastAsia="Times New Roman" w:hAnsiTheme="majorHAnsi" w:cstheme="majorHAnsi"/>
                <w:color w:val="000000"/>
                <w:sz w:val="20"/>
                <w:lang w:eastAsia="pl-PL"/>
              </w:rPr>
            </w:pPr>
            <w:r w:rsidRPr="0069557E">
              <w:rPr>
                <w:rFonts w:asciiTheme="majorHAnsi" w:eastAsia="Times New Roman" w:hAnsiTheme="majorHAnsi" w:cstheme="majorHAnsi"/>
                <w:color w:val="000000"/>
                <w:sz w:val="20"/>
                <w:lang w:eastAsia="pl-PL"/>
              </w:rPr>
              <w:t>3,00</w:t>
            </w:r>
          </w:p>
        </w:tc>
        <w:tc>
          <w:tcPr>
            <w:tcW w:w="73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3BE7B"/>
            <w:noWrap/>
            <w:vAlign w:val="center"/>
            <w:hideMark/>
          </w:tcPr>
          <w:p w14:paraId="49AB032C" w14:textId="77777777" w:rsidR="00077C83" w:rsidRPr="0069557E" w:rsidRDefault="00077C83" w:rsidP="00646BD8">
            <w:pPr>
              <w:spacing w:after="0" w:line="240" w:lineRule="auto"/>
              <w:jc w:val="center"/>
              <w:rPr>
                <w:rFonts w:asciiTheme="majorHAnsi" w:eastAsia="Times New Roman" w:hAnsiTheme="majorHAnsi" w:cstheme="majorHAnsi"/>
                <w:color w:val="000000"/>
                <w:sz w:val="20"/>
                <w:lang w:eastAsia="pl-PL"/>
              </w:rPr>
            </w:pPr>
            <w:r w:rsidRPr="0069557E">
              <w:rPr>
                <w:rFonts w:asciiTheme="majorHAnsi" w:eastAsia="Times New Roman" w:hAnsiTheme="majorHAnsi" w:cstheme="majorHAnsi"/>
                <w:color w:val="000000"/>
                <w:sz w:val="20"/>
                <w:lang w:eastAsia="pl-PL"/>
              </w:rPr>
              <w:t>1,67</w:t>
            </w:r>
          </w:p>
        </w:tc>
        <w:tc>
          <w:tcPr>
            <w:tcW w:w="73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EB84"/>
            <w:noWrap/>
            <w:vAlign w:val="center"/>
            <w:hideMark/>
          </w:tcPr>
          <w:p w14:paraId="40A5969C" w14:textId="77777777" w:rsidR="00077C83" w:rsidRPr="0069557E" w:rsidRDefault="00077C83" w:rsidP="00646BD8">
            <w:pPr>
              <w:spacing w:after="0" w:line="240" w:lineRule="auto"/>
              <w:jc w:val="center"/>
              <w:rPr>
                <w:rFonts w:asciiTheme="majorHAnsi" w:eastAsia="Times New Roman" w:hAnsiTheme="majorHAnsi" w:cstheme="majorHAnsi"/>
                <w:color w:val="000000"/>
                <w:sz w:val="20"/>
                <w:lang w:eastAsia="pl-PL"/>
              </w:rPr>
            </w:pPr>
            <w:r w:rsidRPr="0069557E">
              <w:rPr>
                <w:rFonts w:asciiTheme="majorHAnsi" w:eastAsia="Times New Roman" w:hAnsiTheme="majorHAnsi" w:cstheme="majorHAnsi"/>
                <w:color w:val="000000"/>
                <w:sz w:val="20"/>
                <w:lang w:eastAsia="pl-PL"/>
              </w:rPr>
              <w:t>2,67</w:t>
            </w:r>
          </w:p>
        </w:tc>
        <w:tc>
          <w:tcPr>
            <w:tcW w:w="79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EB84"/>
            <w:noWrap/>
            <w:vAlign w:val="center"/>
            <w:hideMark/>
          </w:tcPr>
          <w:p w14:paraId="2B8FC088" w14:textId="77777777" w:rsidR="00077C83" w:rsidRPr="0069557E" w:rsidRDefault="00077C83" w:rsidP="00646BD8">
            <w:pPr>
              <w:spacing w:after="0" w:line="240" w:lineRule="auto"/>
              <w:jc w:val="center"/>
              <w:rPr>
                <w:rFonts w:asciiTheme="majorHAnsi" w:eastAsia="Times New Roman" w:hAnsiTheme="majorHAnsi" w:cstheme="majorHAnsi"/>
                <w:color w:val="000000"/>
                <w:sz w:val="20"/>
                <w:lang w:eastAsia="pl-PL"/>
              </w:rPr>
            </w:pPr>
            <w:r w:rsidRPr="0069557E">
              <w:rPr>
                <w:rFonts w:asciiTheme="majorHAnsi" w:eastAsia="Times New Roman" w:hAnsiTheme="majorHAnsi" w:cstheme="majorHAnsi"/>
                <w:color w:val="000000"/>
                <w:sz w:val="20"/>
                <w:lang w:eastAsia="pl-PL"/>
              </w:rPr>
              <w:t>2,67</w:t>
            </w:r>
          </w:p>
        </w:tc>
      </w:tr>
      <w:tr w:rsidR="00077C83" w:rsidRPr="00F25EBD" w14:paraId="66045420" w14:textId="77777777" w:rsidTr="00B153BA">
        <w:trPr>
          <w:trHeight w:val="318"/>
        </w:trPr>
        <w:tc>
          <w:tcPr>
            <w:tcW w:w="1787" w:type="pct"/>
            <w:tcBorders>
              <w:top w:val="single" w:sz="4" w:space="0" w:color="808080" w:themeColor="background1" w:themeShade="80"/>
              <w:bottom w:val="single" w:sz="4" w:space="0" w:color="808080" w:themeColor="background1" w:themeShade="80"/>
            </w:tcBorders>
            <w:noWrap/>
            <w:vAlign w:val="bottom"/>
            <w:hideMark/>
          </w:tcPr>
          <w:p w14:paraId="75106507" w14:textId="77777777" w:rsidR="00077C83" w:rsidRPr="0069557E" w:rsidRDefault="00077C83" w:rsidP="00646BD8">
            <w:pPr>
              <w:spacing w:after="0" w:line="240" w:lineRule="auto"/>
              <w:jc w:val="both"/>
              <w:rPr>
                <w:rFonts w:asciiTheme="majorHAnsi" w:eastAsia="Times New Roman" w:hAnsiTheme="majorHAnsi" w:cstheme="majorHAnsi"/>
                <w:color w:val="000000"/>
                <w:sz w:val="20"/>
                <w:lang w:eastAsia="pl-PL"/>
              </w:rPr>
            </w:pPr>
            <w:r w:rsidRPr="0069557E">
              <w:rPr>
                <w:rFonts w:asciiTheme="majorHAnsi" w:eastAsia="Times New Roman" w:hAnsiTheme="majorHAnsi" w:cstheme="majorHAnsi"/>
                <w:color w:val="000000"/>
                <w:sz w:val="20"/>
                <w:lang w:eastAsia="pl-PL"/>
              </w:rPr>
              <w:t>Gospodarka i rynek pracy</w:t>
            </w:r>
          </w:p>
        </w:tc>
        <w:tc>
          <w:tcPr>
            <w:tcW w:w="964" w:type="pct"/>
            <w:tcBorders>
              <w:top w:val="single" w:sz="4" w:space="0" w:color="FFFFFF" w:themeColor="background1"/>
              <w:left w:val="nil"/>
              <w:bottom w:val="single" w:sz="4" w:space="0" w:color="FFFFFF" w:themeColor="background1"/>
              <w:right w:val="single" w:sz="4" w:space="0" w:color="FFFFFF" w:themeColor="background1"/>
            </w:tcBorders>
            <w:shd w:val="clear" w:color="auto" w:fill="F8696B"/>
            <w:noWrap/>
            <w:vAlign w:val="center"/>
            <w:hideMark/>
          </w:tcPr>
          <w:p w14:paraId="1100B3DC" w14:textId="77777777" w:rsidR="00077C83" w:rsidRPr="0069557E" w:rsidRDefault="00077C83" w:rsidP="00646BD8">
            <w:pPr>
              <w:spacing w:after="0" w:line="240" w:lineRule="auto"/>
              <w:jc w:val="center"/>
              <w:rPr>
                <w:rFonts w:asciiTheme="majorHAnsi" w:eastAsia="Times New Roman" w:hAnsiTheme="majorHAnsi" w:cstheme="majorHAnsi"/>
                <w:color w:val="000000"/>
                <w:sz w:val="20"/>
                <w:lang w:eastAsia="pl-PL"/>
              </w:rPr>
            </w:pPr>
            <w:r w:rsidRPr="0069557E">
              <w:rPr>
                <w:rFonts w:asciiTheme="majorHAnsi" w:eastAsia="Times New Roman" w:hAnsiTheme="majorHAnsi" w:cstheme="majorHAnsi"/>
                <w:color w:val="000000"/>
                <w:sz w:val="20"/>
                <w:lang w:eastAsia="pl-PL"/>
              </w:rPr>
              <w:t>3,00</w:t>
            </w:r>
          </w:p>
        </w:tc>
        <w:tc>
          <w:tcPr>
            <w:tcW w:w="73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3BE7B"/>
            <w:noWrap/>
            <w:vAlign w:val="center"/>
            <w:hideMark/>
          </w:tcPr>
          <w:p w14:paraId="6300AB34" w14:textId="77777777" w:rsidR="00077C83" w:rsidRPr="0069557E" w:rsidRDefault="00077C83" w:rsidP="00646BD8">
            <w:pPr>
              <w:spacing w:after="0" w:line="240" w:lineRule="auto"/>
              <w:jc w:val="center"/>
              <w:rPr>
                <w:rFonts w:asciiTheme="majorHAnsi" w:eastAsia="Times New Roman" w:hAnsiTheme="majorHAnsi" w:cstheme="majorHAnsi"/>
                <w:color w:val="000000"/>
                <w:sz w:val="20"/>
                <w:lang w:eastAsia="pl-PL"/>
              </w:rPr>
            </w:pPr>
            <w:r w:rsidRPr="0069557E">
              <w:rPr>
                <w:rFonts w:asciiTheme="majorHAnsi" w:eastAsia="Times New Roman" w:hAnsiTheme="majorHAnsi" w:cstheme="majorHAnsi"/>
                <w:color w:val="000000"/>
                <w:sz w:val="20"/>
                <w:lang w:eastAsia="pl-PL"/>
              </w:rPr>
              <w:t>2,00</w:t>
            </w:r>
          </w:p>
        </w:tc>
        <w:tc>
          <w:tcPr>
            <w:tcW w:w="73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8696B"/>
            <w:noWrap/>
            <w:vAlign w:val="center"/>
            <w:hideMark/>
          </w:tcPr>
          <w:p w14:paraId="2BB4D125" w14:textId="77777777" w:rsidR="00077C83" w:rsidRPr="0069557E" w:rsidRDefault="00077C83" w:rsidP="00646BD8">
            <w:pPr>
              <w:spacing w:after="0" w:line="240" w:lineRule="auto"/>
              <w:jc w:val="center"/>
              <w:rPr>
                <w:rFonts w:asciiTheme="majorHAnsi" w:eastAsia="Times New Roman" w:hAnsiTheme="majorHAnsi" w:cstheme="majorHAnsi"/>
                <w:color w:val="000000"/>
                <w:sz w:val="20"/>
                <w:lang w:eastAsia="pl-PL"/>
              </w:rPr>
            </w:pPr>
            <w:r w:rsidRPr="0069557E">
              <w:rPr>
                <w:rFonts w:asciiTheme="majorHAnsi" w:eastAsia="Times New Roman" w:hAnsiTheme="majorHAnsi" w:cstheme="majorHAnsi"/>
                <w:color w:val="000000"/>
                <w:sz w:val="20"/>
                <w:lang w:eastAsia="pl-PL"/>
              </w:rPr>
              <w:t>3,00</w:t>
            </w:r>
          </w:p>
        </w:tc>
        <w:tc>
          <w:tcPr>
            <w:tcW w:w="79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3BE7B"/>
            <w:noWrap/>
            <w:vAlign w:val="center"/>
            <w:hideMark/>
          </w:tcPr>
          <w:p w14:paraId="52C83775" w14:textId="77777777" w:rsidR="00077C83" w:rsidRPr="0069557E" w:rsidRDefault="00077C83" w:rsidP="00646BD8">
            <w:pPr>
              <w:spacing w:after="0" w:line="240" w:lineRule="auto"/>
              <w:jc w:val="center"/>
              <w:rPr>
                <w:rFonts w:asciiTheme="majorHAnsi" w:eastAsia="Times New Roman" w:hAnsiTheme="majorHAnsi" w:cstheme="majorHAnsi"/>
                <w:color w:val="000000"/>
                <w:sz w:val="20"/>
                <w:lang w:eastAsia="pl-PL"/>
              </w:rPr>
            </w:pPr>
            <w:r w:rsidRPr="0069557E">
              <w:rPr>
                <w:rFonts w:asciiTheme="majorHAnsi" w:eastAsia="Times New Roman" w:hAnsiTheme="majorHAnsi" w:cstheme="majorHAnsi"/>
                <w:color w:val="000000"/>
                <w:sz w:val="20"/>
                <w:lang w:eastAsia="pl-PL"/>
              </w:rPr>
              <w:t>2,00</w:t>
            </w:r>
          </w:p>
        </w:tc>
      </w:tr>
      <w:tr w:rsidR="00077C83" w:rsidRPr="00F25EBD" w14:paraId="29D752D8" w14:textId="77777777" w:rsidTr="00B153BA">
        <w:trPr>
          <w:trHeight w:val="318"/>
        </w:trPr>
        <w:tc>
          <w:tcPr>
            <w:tcW w:w="1787" w:type="pct"/>
            <w:tcBorders>
              <w:top w:val="single" w:sz="4" w:space="0" w:color="808080" w:themeColor="background1" w:themeShade="80"/>
              <w:bottom w:val="single" w:sz="4" w:space="0" w:color="808080" w:themeColor="background1" w:themeShade="80"/>
            </w:tcBorders>
            <w:noWrap/>
            <w:vAlign w:val="bottom"/>
            <w:hideMark/>
          </w:tcPr>
          <w:p w14:paraId="4F1C3A8C" w14:textId="77777777" w:rsidR="00077C83" w:rsidRPr="0069557E" w:rsidRDefault="00077C83" w:rsidP="00646BD8">
            <w:pPr>
              <w:spacing w:after="0" w:line="240" w:lineRule="auto"/>
              <w:jc w:val="both"/>
              <w:rPr>
                <w:rFonts w:asciiTheme="majorHAnsi" w:eastAsia="Times New Roman" w:hAnsiTheme="majorHAnsi" w:cstheme="majorHAnsi"/>
                <w:color w:val="000000"/>
                <w:sz w:val="20"/>
                <w:lang w:eastAsia="pl-PL"/>
              </w:rPr>
            </w:pPr>
            <w:r w:rsidRPr="0069557E">
              <w:rPr>
                <w:rFonts w:asciiTheme="majorHAnsi" w:eastAsia="Times New Roman" w:hAnsiTheme="majorHAnsi" w:cstheme="majorHAnsi"/>
                <w:color w:val="000000"/>
                <w:sz w:val="20"/>
                <w:lang w:eastAsia="pl-PL"/>
              </w:rPr>
              <w:t>Turystyka</w:t>
            </w:r>
          </w:p>
        </w:tc>
        <w:tc>
          <w:tcPr>
            <w:tcW w:w="964" w:type="pct"/>
            <w:tcBorders>
              <w:top w:val="single" w:sz="4" w:space="0" w:color="FFFFFF" w:themeColor="background1"/>
              <w:left w:val="nil"/>
              <w:bottom w:val="single" w:sz="4" w:space="0" w:color="FFFFFF" w:themeColor="background1"/>
              <w:right w:val="single" w:sz="4" w:space="0" w:color="FFFFFF" w:themeColor="background1"/>
            </w:tcBorders>
            <w:shd w:val="clear" w:color="auto" w:fill="FB9574"/>
            <w:noWrap/>
            <w:vAlign w:val="center"/>
            <w:hideMark/>
          </w:tcPr>
          <w:p w14:paraId="08FEEE6B" w14:textId="77777777" w:rsidR="00077C83" w:rsidRPr="0069557E" w:rsidRDefault="00077C83" w:rsidP="00646BD8">
            <w:pPr>
              <w:spacing w:after="0" w:line="240" w:lineRule="auto"/>
              <w:jc w:val="center"/>
              <w:rPr>
                <w:rFonts w:asciiTheme="majorHAnsi" w:eastAsia="Times New Roman" w:hAnsiTheme="majorHAnsi" w:cstheme="majorHAnsi"/>
                <w:color w:val="000000"/>
                <w:sz w:val="20"/>
                <w:lang w:eastAsia="pl-PL"/>
              </w:rPr>
            </w:pPr>
            <w:r w:rsidRPr="0069557E">
              <w:rPr>
                <w:rFonts w:asciiTheme="majorHAnsi" w:eastAsia="Times New Roman" w:hAnsiTheme="majorHAnsi" w:cstheme="majorHAnsi"/>
                <w:color w:val="000000"/>
                <w:sz w:val="20"/>
                <w:lang w:eastAsia="pl-PL"/>
              </w:rPr>
              <w:t>3,33</w:t>
            </w:r>
          </w:p>
        </w:tc>
        <w:tc>
          <w:tcPr>
            <w:tcW w:w="73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8696B"/>
            <w:noWrap/>
            <w:vAlign w:val="center"/>
            <w:hideMark/>
          </w:tcPr>
          <w:p w14:paraId="370D4561" w14:textId="77777777" w:rsidR="00077C83" w:rsidRPr="0069557E" w:rsidRDefault="00077C83" w:rsidP="00646BD8">
            <w:pPr>
              <w:spacing w:after="0" w:line="240" w:lineRule="auto"/>
              <w:jc w:val="center"/>
              <w:rPr>
                <w:rFonts w:asciiTheme="majorHAnsi" w:eastAsia="Times New Roman" w:hAnsiTheme="majorHAnsi" w:cstheme="majorHAnsi"/>
                <w:color w:val="000000"/>
                <w:sz w:val="20"/>
                <w:lang w:eastAsia="pl-PL"/>
              </w:rPr>
            </w:pPr>
            <w:r w:rsidRPr="0069557E">
              <w:rPr>
                <w:rFonts w:asciiTheme="majorHAnsi" w:eastAsia="Times New Roman" w:hAnsiTheme="majorHAnsi" w:cstheme="majorHAnsi"/>
                <w:color w:val="000000"/>
                <w:sz w:val="20"/>
                <w:lang w:eastAsia="pl-PL"/>
              </w:rPr>
              <w:t>3,67</w:t>
            </w:r>
          </w:p>
        </w:tc>
        <w:tc>
          <w:tcPr>
            <w:tcW w:w="73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3BE7B"/>
            <w:noWrap/>
            <w:vAlign w:val="center"/>
            <w:hideMark/>
          </w:tcPr>
          <w:p w14:paraId="132B7128" w14:textId="77777777" w:rsidR="00077C83" w:rsidRPr="0069557E" w:rsidRDefault="00077C83" w:rsidP="00646BD8">
            <w:pPr>
              <w:spacing w:after="0" w:line="240" w:lineRule="auto"/>
              <w:jc w:val="center"/>
              <w:rPr>
                <w:rFonts w:asciiTheme="majorHAnsi" w:eastAsia="Times New Roman" w:hAnsiTheme="majorHAnsi" w:cstheme="majorHAnsi"/>
                <w:color w:val="000000"/>
                <w:sz w:val="20"/>
                <w:lang w:eastAsia="pl-PL"/>
              </w:rPr>
            </w:pPr>
            <w:r w:rsidRPr="0069557E">
              <w:rPr>
                <w:rFonts w:asciiTheme="majorHAnsi" w:eastAsia="Times New Roman" w:hAnsiTheme="majorHAnsi" w:cstheme="majorHAnsi"/>
                <w:color w:val="000000"/>
                <w:sz w:val="20"/>
                <w:lang w:eastAsia="pl-PL"/>
              </w:rPr>
              <w:t>1,00</w:t>
            </w:r>
          </w:p>
        </w:tc>
        <w:tc>
          <w:tcPr>
            <w:tcW w:w="79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0D880"/>
            <w:noWrap/>
            <w:vAlign w:val="center"/>
            <w:hideMark/>
          </w:tcPr>
          <w:p w14:paraId="04A0D9FC" w14:textId="77777777" w:rsidR="00077C83" w:rsidRPr="0069557E" w:rsidRDefault="00077C83" w:rsidP="00646BD8">
            <w:pPr>
              <w:spacing w:after="0" w:line="240" w:lineRule="auto"/>
              <w:jc w:val="center"/>
              <w:rPr>
                <w:rFonts w:asciiTheme="majorHAnsi" w:eastAsia="Times New Roman" w:hAnsiTheme="majorHAnsi" w:cstheme="majorHAnsi"/>
                <w:color w:val="000000"/>
                <w:sz w:val="20"/>
                <w:lang w:eastAsia="pl-PL"/>
              </w:rPr>
            </w:pPr>
            <w:r w:rsidRPr="0069557E">
              <w:rPr>
                <w:rFonts w:asciiTheme="majorHAnsi" w:eastAsia="Times New Roman" w:hAnsiTheme="majorHAnsi" w:cstheme="majorHAnsi"/>
                <w:color w:val="000000"/>
                <w:sz w:val="20"/>
                <w:lang w:eastAsia="pl-PL"/>
              </w:rPr>
              <w:t>2,00</w:t>
            </w:r>
          </w:p>
        </w:tc>
      </w:tr>
      <w:tr w:rsidR="00077C83" w:rsidRPr="00F25EBD" w14:paraId="372262A1" w14:textId="77777777" w:rsidTr="00B153BA">
        <w:trPr>
          <w:trHeight w:val="318"/>
        </w:trPr>
        <w:tc>
          <w:tcPr>
            <w:tcW w:w="1787" w:type="pct"/>
            <w:tcBorders>
              <w:top w:val="single" w:sz="4" w:space="0" w:color="808080" w:themeColor="background1" w:themeShade="80"/>
            </w:tcBorders>
            <w:noWrap/>
            <w:vAlign w:val="bottom"/>
            <w:hideMark/>
          </w:tcPr>
          <w:p w14:paraId="4491E815" w14:textId="77777777" w:rsidR="00077C83" w:rsidRPr="0069557E" w:rsidRDefault="00077C83" w:rsidP="00646BD8">
            <w:pPr>
              <w:spacing w:after="0" w:line="240" w:lineRule="auto"/>
              <w:jc w:val="both"/>
              <w:rPr>
                <w:rFonts w:asciiTheme="majorHAnsi" w:eastAsia="Times New Roman" w:hAnsiTheme="majorHAnsi" w:cstheme="majorHAnsi"/>
                <w:color w:val="000000"/>
                <w:sz w:val="20"/>
                <w:lang w:eastAsia="pl-PL"/>
              </w:rPr>
            </w:pPr>
            <w:r w:rsidRPr="0069557E">
              <w:rPr>
                <w:rFonts w:asciiTheme="majorHAnsi" w:eastAsia="Times New Roman" w:hAnsiTheme="majorHAnsi" w:cstheme="majorHAnsi"/>
                <w:color w:val="000000"/>
                <w:sz w:val="20"/>
                <w:lang w:eastAsia="pl-PL"/>
              </w:rPr>
              <w:t>Infrastruktura</w:t>
            </w:r>
          </w:p>
        </w:tc>
        <w:tc>
          <w:tcPr>
            <w:tcW w:w="964" w:type="pct"/>
            <w:tcBorders>
              <w:top w:val="single" w:sz="4" w:space="0" w:color="FFFFFF" w:themeColor="background1"/>
              <w:left w:val="nil"/>
              <w:bottom w:val="single" w:sz="4" w:space="0" w:color="FFFFFF" w:themeColor="background1"/>
              <w:right w:val="single" w:sz="4" w:space="0" w:color="FFFFFF" w:themeColor="background1"/>
            </w:tcBorders>
            <w:shd w:val="clear" w:color="auto" w:fill="63BE7B"/>
            <w:noWrap/>
            <w:vAlign w:val="center"/>
            <w:hideMark/>
          </w:tcPr>
          <w:p w14:paraId="2C814FA3" w14:textId="77777777" w:rsidR="00077C83" w:rsidRPr="0069557E" w:rsidRDefault="00077C83" w:rsidP="00646BD8">
            <w:pPr>
              <w:spacing w:after="0" w:line="240" w:lineRule="auto"/>
              <w:jc w:val="center"/>
              <w:rPr>
                <w:rFonts w:asciiTheme="majorHAnsi" w:eastAsia="Times New Roman" w:hAnsiTheme="majorHAnsi" w:cstheme="majorHAnsi"/>
                <w:color w:val="000000"/>
                <w:sz w:val="20"/>
                <w:lang w:eastAsia="pl-PL"/>
              </w:rPr>
            </w:pPr>
            <w:r w:rsidRPr="0069557E">
              <w:rPr>
                <w:rFonts w:asciiTheme="majorHAnsi" w:eastAsia="Times New Roman" w:hAnsiTheme="majorHAnsi" w:cstheme="majorHAnsi"/>
                <w:color w:val="000000"/>
                <w:sz w:val="20"/>
                <w:lang w:eastAsia="pl-PL"/>
              </w:rPr>
              <w:t>2,00</w:t>
            </w:r>
          </w:p>
        </w:tc>
        <w:tc>
          <w:tcPr>
            <w:tcW w:w="73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1D47F"/>
            <w:noWrap/>
            <w:vAlign w:val="center"/>
            <w:hideMark/>
          </w:tcPr>
          <w:p w14:paraId="77D8EA2A" w14:textId="77777777" w:rsidR="00077C83" w:rsidRPr="0069557E" w:rsidRDefault="00077C83" w:rsidP="00646BD8">
            <w:pPr>
              <w:spacing w:after="0" w:line="240" w:lineRule="auto"/>
              <w:jc w:val="center"/>
              <w:rPr>
                <w:rFonts w:asciiTheme="majorHAnsi" w:eastAsia="Times New Roman" w:hAnsiTheme="majorHAnsi" w:cstheme="majorHAnsi"/>
                <w:color w:val="000000"/>
                <w:sz w:val="20"/>
                <w:lang w:eastAsia="pl-PL"/>
              </w:rPr>
            </w:pPr>
            <w:r w:rsidRPr="0069557E">
              <w:rPr>
                <w:rFonts w:asciiTheme="majorHAnsi" w:eastAsia="Times New Roman" w:hAnsiTheme="majorHAnsi" w:cstheme="majorHAnsi"/>
                <w:color w:val="000000"/>
                <w:sz w:val="20"/>
                <w:lang w:eastAsia="pl-PL"/>
              </w:rPr>
              <w:t>2,25</w:t>
            </w:r>
          </w:p>
        </w:tc>
        <w:tc>
          <w:tcPr>
            <w:tcW w:w="73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CAA78"/>
            <w:noWrap/>
            <w:vAlign w:val="center"/>
            <w:hideMark/>
          </w:tcPr>
          <w:p w14:paraId="579C582C" w14:textId="77777777" w:rsidR="00077C83" w:rsidRPr="0069557E" w:rsidRDefault="00077C83" w:rsidP="00646BD8">
            <w:pPr>
              <w:spacing w:after="0" w:line="240" w:lineRule="auto"/>
              <w:jc w:val="center"/>
              <w:rPr>
                <w:rFonts w:asciiTheme="majorHAnsi" w:eastAsia="Times New Roman" w:hAnsiTheme="majorHAnsi" w:cstheme="majorHAnsi"/>
                <w:color w:val="000000"/>
                <w:sz w:val="20"/>
                <w:lang w:eastAsia="pl-PL"/>
              </w:rPr>
            </w:pPr>
            <w:r w:rsidRPr="0069557E">
              <w:rPr>
                <w:rFonts w:asciiTheme="majorHAnsi" w:eastAsia="Times New Roman" w:hAnsiTheme="majorHAnsi" w:cstheme="majorHAnsi"/>
                <w:color w:val="000000"/>
                <w:sz w:val="20"/>
                <w:lang w:eastAsia="pl-PL"/>
              </w:rPr>
              <w:t>2,75</w:t>
            </w:r>
          </w:p>
        </w:tc>
        <w:tc>
          <w:tcPr>
            <w:tcW w:w="79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8696B"/>
            <w:noWrap/>
            <w:vAlign w:val="center"/>
            <w:hideMark/>
          </w:tcPr>
          <w:p w14:paraId="23EF8733" w14:textId="77777777" w:rsidR="00077C83" w:rsidRPr="0069557E" w:rsidRDefault="00077C83" w:rsidP="00646BD8">
            <w:pPr>
              <w:spacing w:after="0" w:line="240" w:lineRule="auto"/>
              <w:jc w:val="center"/>
              <w:rPr>
                <w:rFonts w:asciiTheme="majorHAnsi" w:eastAsia="Times New Roman" w:hAnsiTheme="majorHAnsi" w:cstheme="majorHAnsi"/>
                <w:color w:val="000000"/>
                <w:sz w:val="20"/>
                <w:lang w:eastAsia="pl-PL"/>
              </w:rPr>
            </w:pPr>
            <w:r w:rsidRPr="0069557E">
              <w:rPr>
                <w:rFonts w:asciiTheme="majorHAnsi" w:eastAsia="Times New Roman" w:hAnsiTheme="majorHAnsi" w:cstheme="majorHAnsi"/>
                <w:color w:val="000000"/>
                <w:sz w:val="20"/>
                <w:lang w:eastAsia="pl-PL"/>
              </w:rPr>
              <w:t>3,00</w:t>
            </w:r>
          </w:p>
        </w:tc>
      </w:tr>
    </w:tbl>
    <w:p w14:paraId="3D2E8FAF" w14:textId="77777777" w:rsidR="00DA52F9" w:rsidRDefault="00DA52F9" w:rsidP="00FC7062">
      <w:pPr>
        <w:spacing w:line="276" w:lineRule="auto"/>
        <w:rPr>
          <w:rFonts w:asciiTheme="majorHAnsi" w:hAnsiTheme="majorHAnsi" w:cstheme="majorHAnsi"/>
        </w:rPr>
      </w:pPr>
    </w:p>
    <w:p w14:paraId="3E4AF435" w14:textId="77777777" w:rsidR="00DA52F9" w:rsidRDefault="00DA52F9">
      <w:pPr>
        <w:rPr>
          <w:rFonts w:asciiTheme="majorHAnsi" w:hAnsiTheme="majorHAnsi" w:cstheme="majorHAnsi"/>
        </w:rPr>
      </w:pPr>
      <w:r>
        <w:rPr>
          <w:rFonts w:asciiTheme="majorHAnsi" w:hAnsiTheme="majorHAnsi" w:cstheme="majorHAnsi"/>
        </w:rPr>
        <w:br w:type="page"/>
      </w:r>
    </w:p>
    <w:p w14:paraId="50B854AB" w14:textId="075FC5DE" w:rsidR="005E4E72" w:rsidRPr="00F25EBD" w:rsidRDefault="00646BD8" w:rsidP="00646BD8">
      <w:pPr>
        <w:pStyle w:val="Nagwek1"/>
        <w:spacing w:line="276" w:lineRule="auto"/>
        <w:jc w:val="both"/>
        <w:rPr>
          <w:rFonts w:cstheme="majorHAnsi"/>
        </w:rPr>
      </w:pPr>
      <w:bookmarkStart w:id="104" w:name="_Toc77070632"/>
      <w:r>
        <w:rPr>
          <w:rFonts w:cstheme="majorHAnsi"/>
        </w:rPr>
        <w:t xml:space="preserve">9. </w:t>
      </w:r>
      <w:r w:rsidR="005E4E72" w:rsidRPr="00F25EBD">
        <w:rPr>
          <w:rFonts w:cstheme="majorHAnsi"/>
        </w:rPr>
        <w:t>Analiza SWOT</w:t>
      </w:r>
      <w:bookmarkEnd w:id="104"/>
    </w:p>
    <w:p w14:paraId="52BCC292" w14:textId="77777777" w:rsidR="00683451" w:rsidRPr="00F25EBD" w:rsidRDefault="00683451" w:rsidP="00FC7062">
      <w:pPr>
        <w:pStyle w:val="NormZIT"/>
        <w:rPr>
          <w:rFonts w:cstheme="majorHAnsi"/>
        </w:rPr>
      </w:pPr>
      <w:r w:rsidRPr="00F25EBD">
        <w:rPr>
          <w:rFonts w:cstheme="majorHAnsi"/>
        </w:rPr>
        <w:t>Analiza SWOT przeprowadzona w ramach opracowania Strategii OF polega na usystematyzowaniu faktów, danych i informacji zawartych we wcześniejszych rozdziałac</w:t>
      </w:r>
      <w:r w:rsidRPr="00F25EBD">
        <w:rPr>
          <w:rStyle w:val="NormZITZnak"/>
          <w:rFonts w:cstheme="majorHAnsi"/>
        </w:rPr>
        <w:t>h</w:t>
      </w:r>
      <w:r w:rsidRPr="00F25EBD">
        <w:rPr>
          <w:rFonts w:cstheme="majorHAnsi"/>
        </w:rPr>
        <w:t xml:space="preserve"> oraz opinii uzyskanych metodą eksploracji źródeł wtórnych. W ramach poszczególnych pól analiza SWOT obejmuje następujące elementy:</w:t>
      </w:r>
    </w:p>
    <w:p w14:paraId="2E813AE0" w14:textId="77777777" w:rsidR="00683451" w:rsidRPr="00F25EBD" w:rsidRDefault="00683451" w:rsidP="00624F1F">
      <w:pPr>
        <w:pStyle w:val="NormZIT"/>
        <w:numPr>
          <w:ilvl w:val="0"/>
          <w:numId w:val="17"/>
        </w:numPr>
        <w:rPr>
          <w:rFonts w:cstheme="majorHAnsi"/>
        </w:rPr>
      </w:pPr>
      <w:r w:rsidRPr="00F25EBD">
        <w:rPr>
          <w:rFonts w:cstheme="majorHAnsi"/>
        </w:rPr>
        <w:t>Czynniki wewnętrzne pozytywne (mocne strony)</w:t>
      </w:r>
      <w:r w:rsidR="00512DE6">
        <w:rPr>
          <w:rFonts w:cstheme="majorHAnsi"/>
        </w:rPr>
        <w:t xml:space="preserve"> - </w:t>
      </w:r>
      <w:r w:rsidRPr="00F25EBD">
        <w:rPr>
          <w:rFonts w:cstheme="majorHAnsi"/>
        </w:rPr>
        <w:t>działalność i zasoby Obszaru Funkcjonalnego Południowe Mazur, doświadczenie, wymiar polityczny, organizacyjny, techniczny, instytucjonalny, wszystko to, co pozwala oczekiwać rozwoju OF;</w:t>
      </w:r>
    </w:p>
    <w:p w14:paraId="2EBC6311" w14:textId="77777777" w:rsidR="00683451" w:rsidRPr="00F25EBD" w:rsidRDefault="00683451" w:rsidP="00624F1F">
      <w:pPr>
        <w:pStyle w:val="NormZIT"/>
        <w:numPr>
          <w:ilvl w:val="0"/>
          <w:numId w:val="17"/>
        </w:numPr>
        <w:rPr>
          <w:rFonts w:cstheme="majorHAnsi"/>
        </w:rPr>
      </w:pPr>
      <w:r w:rsidRPr="00F25EBD">
        <w:rPr>
          <w:rFonts w:cstheme="majorHAnsi"/>
        </w:rPr>
        <w:t>Czynniki wewnętrzne negatywne</w:t>
      </w:r>
      <w:r w:rsidR="00512DE6">
        <w:rPr>
          <w:rFonts w:cstheme="majorHAnsi"/>
        </w:rPr>
        <w:t xml:space="preserve"> - </w:t>
      </w:r>
      <w:r w:rsidRPr="00F25EBD">
        <w:rPr>
          <w:rFonts w:cstheme="majorHAnsi"/>
        </w:rPr>
        <w:t>słabe strony regionu, będące konsekwencją ograniczeń szeroko rozumianych zasobów;</w:t>
      </w:r>
    </w:p>
    <w:p w14:paraId="0C3145CA" w14:textId="77777777" w:rsidR="00683451" w:rsidRPr="00F25EBD" w:rsidRDefault="00683451" w:rsidP="00624F1F">
      <w:pPr>
        <w:pStyle w:val="NormZIT"/>
        <w:numPr>
          <w:ilvl w:val="0"/>
          <w:numId w:val="17"/>
        </w:numPr>
        <w:rPr>
          <w:rFonts w:cstheme="majorHAnsi"/>
        </w:rPr>
      </w:pPr>
      <w:r w:rsidRPr="00F25EBD">
        <w:rPr>
          <w:rFonts w:cstheme="majorHAnsi"/>
        </w:rPr>
        <w:t>Czynniki zewnętrzne pozytywne</w:t>
      </w:r>
      <w:r w:rsidR="00512DE6">
        <w:rPr>
          <w:rFonts w:cstheme="majorHAnsi"/>
        </w:rPr>
        <w:t xml:space="preserve"> - </w:t>
      </w:r>
      <w:r w:rsidRPr="00F25EBD">
        <w:rPr>
          <w:rFonts w:cstheme="majorHAnsi"/>
        </w:rPr>
        <w:t>szanse, korzystne tendencje w otoczeniu zewnętrznym, które właściwie wykorzystane mogą stanowić istotny impuls rozwojowy;</w:t>
      </w:r>
    </w:p>
    <w:p w14:paraId="594F1C37" w14:textId="77777777" w:rsidR="00683451" w:rsidRPr="00F25EBD" w:rsidRDefault="00683451" w:rsidP="00624F1F">
      <w:pPr>
        <w:pStyle w:val="NormZIT"/>
        <w:numPr>
          <w:ilvl w:val="0"/>
          <w:numId w:val="17"/>
        </w:numPr>
        <w:rPr>
          <w:rFonts w:cstheme="majorHAnsi"/>
        </w:rPr>
      </w:pPr>
      <w:r w:rsidRPr="00F25EBD">
        <w:rPr>
          <w:rFonts w:cstheme="majorHAnsi"/>
        </w:rPr>
        <w:t>Czynniki zewnętrzne negatywne</w:t>
      </w:r>
      <w:r w:rsidR="00512DE6">
        <w:rPr>
          <w:rFonts w:cstheme="majorHAnsi"/>
        </w:rPr>
        <w:t xml:space="preserve"> - </w:t>
      </w:r>
      <w:r w:rsidRPr="00F25EBD">
        <w:rPr>
          <w:rFonts w:cstheme="majorHAnsi"/>
        </w:rPr>
        <w:t>zagrożenia, niekorzystne zjawiska zewnętrzne, które mogą być poważną barierą rozwoju regionu.</w:t>
      </w:r>
    </w:p>
    <w:p w14:paraId="4AFA4EE9" w14:textId="77777777" w:rsidR="00683451" w:rsidRPr="00F25EBD" w:rsidRDefault="00683451" w:rsidP="00FC7062">
      <w:pPr>
        <w:pStyle w:val="NormZIT"/>
        <w:rPr>
          <w:rFonts w:cstheme="majorHAnsi"/>
        </w:rPr>
      </w:pPr>
    </w:p>
    <w:p w14:paraId="7FB20DD1" w14:textId="77777777" w:rsidR="00683451" w:rsidRPr="00F25EBD" w:rsidRDefault="00683451" w:rsidP="00FC7062">
      <w:pPr>
        <w:pStyle w:val="NormZIT"/>
        <w:rPr>
          <w:rFonts w:cstheme="majorHAnsi"/>
        </w:rPr>
      </w:pPr>
      <w:r w:rsidRPr="00F25EBD">
        <w:rPr>
          <w:rFonts w:cstheme="majorHAnsi"/>
        </w:rPr>
        <w:t>Poniżej zaprezentowano analizę SWOT dla Obszaru Funkcjonalnego Południowe Mazur.</w:t>
      </w:r>
    </w:p>
    <w:p w14:paraId="6CC90E93" w14:textId="77777777" w:rsidR="00683451" w:rsidRPr="00F25EBD" w:rsidRDefault="00683451" w:rsidP="00FC7062">
      <w:pPr>
        <w:pStyle w:val="NormZIT"/>
        <w:rPr>
          <w:rFonts w:cstheme="majorHAnsi"/>
        </w:rPr>
      </w:pPr>
    </w:p>
    <w:p w14:paraId="7840FCC8" w14:textId="4F706DEA" w:rsidR="00683451" w:rsidRPr="00F25EBD" w:rsidRDefault="00683451" w:rsidP="00FC7062">
      <w:pPr>
        <w:pStyle w:val="Legenda"/>
        <w:spacing w:line="276" w:lineRule="auto"/>
        <w:jc w:val="both"/>
        <w:rPr>
          <w:rFonts w:asciiTheme="majorHAnsi" w:hAnsiTheme="majorHAnsi" w:cstheme="majorHAnsi"/>
        </w:rPr>
      </w:pPr>
      <w:bookmarkStart w:id="105" w:name="_Toc431309255"/>
      <w:bookmarkStart w:id="106" w:name="_Toc517788722"/>
      <w:bookmarkStart w:id="107" w:name="_Toc81300554"/>
      <w:r w:rsidRPr="00F25EBD">
        <w:rPr>
          <w:rFonts w:asciiTheme="majorHAnsi" w:hAnsiTheme="majorHAnsi" w:cstheme="majorHAnsi"/>
        </w:rPr>
        <w:t xml:space="preserve">Tabela </w:t>
      </w:r>
      <w:r w:rsidRPr="00F25EBD">
        <w:rPr>
          <w:rFonts w:asciiTheme="majorHAnsi" w:hAnsiTheme="majorHAnsi" w:cstheme="majorHAnsi"/>
          <w:noProof/>
        </w:rPr>
        <w:fldChar w:fldCharType="begin"/>
      </w:r>
      <w:r w:rsidRPr="00F25EBD">
        <w:rPr>
          <w:rFonts w:asciiTheme="majorHAnsi" w:hAnsiTheme="majorHAnsi" w:cstheme="majorHAnsi"/>
          <w:noProof/>
        </w:rPr>
        <w:instrText xml:space="preserve"> SEQ Tabela \* ARABIC </w:instrText>
      </w:r>
      <w:r w:rsidRPr="00F25EBD">
        <w:rPr>
          <w:rFonts w:asciiTheme="majorHAnsi" w:hAnsiTheme="majorHAnsi" w:cstheme="majorHAnsi"/>
          <w:noProof/>
        </w:rPr>
        <w:fldChar w:fldCharType="separate"/>
      </w:r>
      <w:r w:rsidR="006C7815">
        <w:rPr>
          <w:rFonts w:asciiTheme="majorHAnsi" w:hAnsiTheme="majorHAnsi" w:cstheme="majorHAnsi"/>
          <w:noProof/>
        </w:rPr>
        <w:t>28</w:t>
      </w:r>
      <w:r w:rsidRPr="00F25EBD">
        <w:rPr>
          <w:rFonts w:asciiTheme="majorHAnsi" w:hAnsiTheme="majorHAnsi" w:cstheme="majorHAnsi"/>
          <w:noProof/>
        </w:rPr>
        <w:fldChar w:fldCharType="end"/>
      </w:r>
      <w:r w:rsidRPr="00F25EBD">
        <w:rPr>
          <w:rFonts w:asciiTheme="majorHAnsi" w:hAnsiTheme="majorHAnsi" w:cstheme="majorHAnsi"/>
        </w:rPr>
        <w:t xml:space="preserve"> Analiza SWOT </w:t>
      </w:r>
      <w:bookmarkEnd w:id="105"/>
      <w:bookmarkEnd w:id="106"/>
      <w:r w:rsidR="00372ABC" w:rsidRPr="00F25EBD">
        <w:rPr>
          <w:rFonts w:asciiTheme="majorHAnsi" w:hAnsiTheme="majorHAnsi" w:cstheme="majorHAnsi"/>
        </w:rPr>
        <w:t>Obszaru Funkcjonalnego Południowe Mazur</w:t>
      </w:r>
      <w:r w:rsidR="00245EF6">
        <w:rPr>
          <w:rFonts w:asciiTheme="majorHAnsi" w:hAnsiTheme="majorHAnsi" w:cstheme="majorHAnsi"/>
        </w:rPr>
        <w:t>y</w:t>
      </w:r>
      <w:bookmarkEnd w:id="107"/>
    </w:p>
    <w:tbl>
      <w:tblPr>
        <w:tblStyle w:val="Tabela-Siatka"/>
        <w:tblW w:w="9105" w:type="dxa"/>
        <w:jc w:val="center"/>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ayout w:type="fixed"/>
        <w:tblLook w:val="04A0" w:firstRow="1" w:lastRow="0" w:firstColumn="1" w:lastColumn="0" w:noHBand="0" w:noVBand="1"/>
      </w:tblPr>
      <w:tblGrid>
        <w:gridCol w:w="2268"/>
        <w:gridCol w:w="2268"/>
        <w:gridCol w:w="236"/>
        <w:gridCol w:w="1862"/>
        <w:gridCol w:w="203"/>
        <w:gridCol w:w="1895"/>
        <w:gridCol w:w="373"/>
      </w:tblGrid>
      <w:tr w:rsidR="00683451" w:rsidRPr="007C777C" w14:paraId="16F949F3" w14:textId="77777777" w:rsidTr="00B97034">
        <w:trPr>
          <w:gridAfter w:val="1"/>
          <w:wAfter w:w="373" w:type="dxa"/>
          <w:trHeight w:val="167"/>
          <w:jc w:val="center"/>
        </w:trPr>
        <w:tc>
          <w:tcPr>
            <w:tcW w:w="2268" w:type="dxa"/>
            <w:shd w:val="clear" w:color="auto" w:fill="FFFFFF" w:themeFill="background1"/>
            <w:vAlign w:val="center"/>
          </w:tcPr>
          <w:p w14:paraId="702E8DB3" w14:textId="77777777" w:rsidR="00683451" w:rsidRPr="007C777C" w:rsidRDefault="00683451" w:rsidP="007C777C">
            <w:pPr>
              <w:spacing w:line="276" w:lineRule="auto"/>
              <w:jc w:val="center"/>
              <w:rPr>
                <w:rFonts w:asciiTheme="majorHAnsi" w:hAnsiTheme="majorHAnsi" w:cstheme="majorHAnsi"/>
                <w:b/>
                <w:color w:val="1F4E79" w:themeColor="accent1" w:themeShade="80"/>
                <w:sz w:val="18"/>
                <w:szCs w:val="18"/>
              </w:rPr>
            </w:pPr>
            <w:r w:rsidRPr="007C777C">
              <w:rPr>
                <w:rFonts w:asciiTheme="majorHAnsi" w:hAnsiTheme="majorHAnsi" w:cstheme="majorHAnsi"/>
                <w:b/>
                <w:color w:val="1F4E79" w:themeColor="accent1" w:themeShade="80"/>
                <w:sz w:val="18"/>
                <w:szCs w:val="18"/>
              </w:rPr>
              <w:t>MOCNE STRONY</w:t>
            </w:r>
          </w:p>
        </w:tc>
        <w:tc>
          <w:tcPr>
            <w:tcW w:w="2268" w:type="dxa"/>
            <w:shd w:val="clear" w:color="auto" w:fill="FFFFFF" w:themeFill="background1"/>
          </w:tcPr>
          <w:p w14:paraId="44FEEE69" w14:textId="77777777" w:rsidR="00683451" w:rsidRPr="007C777C" w:rsidRDefault="00683451" w:rsidP="007C777C">
            <w:pPr>
              <w:spacing w:line="276" w:lineRule="auto"/>
              <w:jc w:val="center"/>
              <w:rPr>
                <w:rFonts w:asciiTheme="majorHAnsi" w:hAnsiTheme="majorHAnsi" w:cstheme="majorHAnsi"/>
                <w:b/>
                <w:color w:val="1F4E79" w:themeColor="accent1" w:themeShade="80"/>
                <w:sz w:val="18"/>
                <w:szCs w:val="18"/>
              </w:rPr>
            </w:pPr>
          </w:p>
        </w:tc>
        <w:tc>
          <w:tcPr>
            <w:tcW w:w="2098" w:type="dxa"/>
            <w:gridSpan w:val="2"/>
            <w:shd w:val="clear" w:color="auto" w:fill="FFFFFF" w:themeFill="background1"/>
            <w:vAlign w:val="center"/>
          </w:tcPr>
          <w:p w14:paraId="030CF8A8" w14:textId="77777777" w:rsidR="00683451" w:rsidRPr="007C777C" w:rsidRDefault="00683451" w:rsidP="007C777C">
            <w:pPr>
              <w:spacing w:line="276" w:lineRule="auto"/>
              <w:jc w:val="center"/>
              <w:rPr>
                <w:rFonts w:asciiTheme="majorHAnsi" w:hAnsiTheme="majorHAnsi" w:cstheme="majorHAnsi"/>
                <w:b/>
                <w:color w:val="1F4E79" w:themeColor="accent1" w:themeShade="80"/>
                <w:sz w:val="18"/>
                <w:szCs w:val="18"/>
              </w:rPr>
            </w:pPr>
          </w:p>
        </w:tc>
        <w:tc>
          <w:tcPr>
            <w:tcW w:w="2098" w:type="dxa"/>
            <w:gridSpan w:val="2"/>
            <w:shd w:val="clear" w:color="auto" w:fill="FFFFFF" w:themeFill="background1"/>
            <w:vAlign w:val="center"/>
          </w:tcPr>
          <w:p w14:paraId="23ABF596" w14:textId="77777777" w:rsidR="00683451" w:rsidRPr="007C777C" w:rsidRDefault="00683451" w:rsidP="007C777C">
            <w:pPr>
              <w:spacing w:line="276" w:lineRule="auto"/>
              <w:jc w:val="center"/>
              <w:rPr>
                <w:rFonts w:asciiTheme="majorHAnsi" w:hAnsiTheme="majorHAnsi" w:cstheme="majorHAnsi"/>
                <w:b/>
                <w:color w:val="1F4E79" w:themeColor="accent1" w:themeShade="80"/>
                <w:sz w:val="18"/>
                <w:szCs w:val="18"/>
              </w:rPr>
            </w:pPr>
            <w:r w:rsidRPr="007C777C">
              <w:rPr>
                <w:rFonts w:asciiTheme="majorHAnsi" w:hAnsiTheme="majorHAnsi" w:cstheme="majorHAnsi"/>
                <w:b/>
                <w:color w:val="1F4E79" w:themeColor="accent1" w:themeShade="80"/>
                <w:sz w:val="18"/>
                <w:szCs w:val="18"/>
              </w:rPr>
              <w:t>SŁABE STRONY</w:t>
            </w:r>
          </w:p>
        </w:tc>
      </w:tr>
      <w:tr w:rsidR="00683451" w:rsidRPr="00F25EBD" w14:paraId="4EFA9258" w14:textId="77777777" w:rsidTr="00646BD8">
        <w:trPr>
          <w:trHeight w:val="1864"/>
          <w:jc w:val="center"/>
        </w:trPr>
        <w:tc>
          <w:tcPr>
            <w:tcW w:w="2268" w:type="dxa"/>
            <w:shd w:val="clear" w:color="auto" w:fill="E1F2CE"/>
            <w:vAlign w:val="center"/>
          </w:tcPr>
          <w:p w14:paraId="74969A35" w14:textId="77777777" w:rsidR="00683451" w:rsidRPr="00F25EBD" w:rsidRDefault="00230A70" w:rsidP="00646BD8">
            <w:pPr>
              <w:spacing w:after="60" w:line="276" w:lineRule="auto"/>
              <w:contextualSpacing/>
              <w:jc w:val="center"/>
              <w:rPr>
                <w:rFonts w:asciiTheme="majorHAnsi" w:hAnsiTheme="majorHAnsi" w:cstheme="majorHAnsi"/>
                <w:sz w:val="18"/>
                <w:szCs w:val="18"/>
              </w:rPr>
            </w:pPr>
            <w:r w:rsidRPr="00F25EBD">
              <w:rPr>
                <w:rFonts w:asciiTheme="majorHAnsi" w:hAnsiTheme="majorHAnsi" w:cstheme="majorHAnsi"/>
                <w:sz w:val="18"/>
                <w:szCs w:val="18"/>
              </w:rPr>
              <w:t>Nastawienie samorządów OF na podnoszenie atrakcyjności inwestycyjnej wraz z intensywnymi działaniami na rzecz przyciągania nowych inwestorów (np. strony www, foldery informacyjne)</w:t>
            </w:r>
          </w:p>
        </w:tc>
        <w:tc>
          <w:tcPr>
            <w:tcW w:w="2268" w:type="dxa"/>
            <w:shd w:val="clear" w:color="auto" w:fill="DEEAF6" w:themeFill="accent1" w:themeFillTint="33"/>
            <w:vAlign w:val="center"/>
          </w:tcPr>
          <w:p w14:paraId="50A6E687" w14:textId="77777777" w:rsidR="00683451" w:rsidRPr="00F25EBD" w:rsidRDefault="00C41581" w:rsidP="00646BD8">
            <w:pPr>
              <w:spacing w:line="276" w:lineRule="auto"/>
              <w:contextualSpacing/>
              <w:jc w:val="center"/>
              <w:rPr>
                <w:rFonts w:asciiTheme="majorHAnsi" w:hAnsiTheme="majorHAnsi" w:cstheme="majorHAnsi"/>
                <w:sz w:val="18"/>
                <w:szCs w:val="20"/>
              </w:rPr>
            </w:pPr>
            <w:r w:rsidRPr="00F25EBD">
              <w:rPr>
                <w:rFonts w:asciiTheme="majorHAnsi" w:hAnsiTheme="majorHAnsi" w:cstheme="majorHAnsi"/>
                <w:sz w:val="18"/>
              </w:rPr>
              <w:t>Stosunkowo wysoki udział w powierzchni obszarów cennych przyrodniczo</w:t>
            </w:r>
          </w:p>
        </w:tc>
        <w:tc>
          <w:tcPr>
            <w:tcW w:w="236" w:type="dxa"/>
            <w:shd w:val="clear" w:color="auto" w:fill="FFFFFF" w:themeFill="background1"/>
            <w:vAlign w:val="center"/>
          </w:tcPr>
          <w:p w14:paraId="2DE6ABE0" w14:textId="77777777" w:rsidR="00683451" w:rsidRPr="00F25EBD" w:rsidRDefault="00683451" w:rsidP="00FC7062">
            <w:pPr>
              <w:spacing w:line="276" w:lineRule="auto"/>
              <w:rPr>
                <w:rFonts w:asciiTheme="majorHAnsi" w:hAnsiTheme="majorHAnsi" w:cstheme="majorHAnsi"/>
                <w:sz w:val="18"/>
                <w:szCs w:val="18"/>
              </w:rPr>
            </w:pPr>
          </w:p>
        </w:tc>
        <w:tc>
          <w:tcPr>
            <w:tcW w:w="2065" w:type="dxa"/>
            <w:gridSpan w:val="2"/>
            <w:shd w:val="clear" w:color="auto" w:fill="EDEDED" w:themeFill="accent3" w:themeFillTint="33"/>
            <w:vAlign w:val="center"/>
          </w:tcPr>
          <w:p w14:paraId="055C7A42" w14:textId="77777777" w:rsidR="00683451" w:rsidRPr="00F25EBD" w:rsidRDefault="004A4098" w:rsidP="00646BD8">
            <w:pPr>
              <w:spacing w:line="276" w:lineRule="auto"/>
              <w:jc w:val="center"/>
              <w:rPr>
                <w:rFonts w:asciiTheme="majorHAnsi" w:hAnsiTheme="majorHAnsi" w:cstheme="majorHAnsi"/>
                <w:sz w:val="18"/>
                <w:szCs w:val="18"/>
              </w:rPr>
            </w:pPr>
            <w:r w:rsidRPr="00F25EBD">
              <w:rPr>
                <w:rFonts w:asciiTheme="majorHAnsi" w:hAnsiTheme="majorHAnsi" w:cstheme="majorHAnsi"/>
                <w:sz w:val="18"/>
                <w:szCs w:val="18"/>
              </w:rPr>
              <w:t>Negatywne trendy demograficzne</w:t>
            </w:r>
          </w:p>
        </w:tc>
        <w:tc>
          <w:tcPr>
            <w:tcW w:w="2268" w:type="dxa"/>
            <w:gridSpan w:val="2"/>
            <w:shd w:val="clear" w:color="auto" w:fill="DEEAF6" w:themeFill="accent1" w:themeFillTint="33"/>
            <w:vAlign w:val="center"/>
          </w:tcPr>
          <w:p w14:paraId="2525AF6F" w14:textId="77777777" w:rsidR="00646BD8" w:rsidRDefault="000A2E51" w:rsidP="00646BD8">
            <w:pPr>
              <w:spacing w:line="276" w:lineRule="auto"/>
              <w:jc w:val="center"/>
              <w:rPr>
                <w:rFonts w:asciiTheme="majorHAnsi" w:hAnsiTheme="majorHAnsi" w:cstheme="majorHAnsi"/>
                <w:sz w:val="18"/>
                <w:szCs w:val="18"/>
              </w:rPr>
            </w:pPr>
            <w:r w:rsidRPr="00F25EBD">
              <w:rPr>
                <w:rFonts w:asciiTheme="majorHAnsi" w:hAnsiTheme="majorHAnsi" w:cstheme="majorHAnsi"/>
                <w:sz w:val="18"/>
                <w:szCs w:val="18"/>
              </w:rPr>
              <w:t xml:space="preserve">Niewystarczająca spójność komunikacyjna OF </w:t>
            </w:r>
          </w:p>
          <w:p w14:paraId="47CAED33" w14:textId="31C7FFE1" w:rsidR="00683451" w:rsidRPr="00F25EBD" w:rsidRDefault="000A2E51" w:rsidP="00646BD8">
            <w:pPr>
              <w:spacing w:line="276" w:lineRule="auto"/>
              <w:jc w:val="center"/>
              <w:rPr>
                <w:rFonts w:asciiTheme="majorHAnsi" w:hAnsiTheme="majorHAnsi" w:cstheme="majorHAnsi"/>
                <w:sz w:val="18"/>
                <w:szCs w:val="18"/>
              </w:rPr>
            </w:pPr>
            <w:r w:rsidRPr="00F25EBD">
              <w:rPr>
                <w:rFonts w:asciiTheme="majorHAnsi" w:hAnsiTheme="majorHAnsi" w:cstheme="majorHAnsi"/>
                <w:sz w:val="18"/>
                <w:szCs w:val="18"/>
              </w:rPr>
              <w:t>w zakresie dostępności do sieci TEN-T</w:t>
            </w:r>
          </w:p>
        </w:tc>
      </w:tr>
      <w:tr w:rsidR="00683451" w:rsidRPr="00F25EBD" w14:paraId="594E4639" w14:textId="77777777" w:rsidTr="00646BD8">
        <w:trPr>
          <w:trHeight w:val="1871"/>
          <w:jc w:val="center"/>
        </w:trPr>
        <w:tc>
          <w:tcPr>
            <w:tcW w:w="2268" w:type="dxa"/>
            <w:shd w:val="clear" w:color="auto" w:fill="EDEDED" w:themeFill="accent3" w:themeFillTint="33"/>
            <w:vAlign w:val="center"/>
          </w:tcPr>
          <w:p w14:paraId="7DCD2B7B" w14:textId="77777777" w:rsidR="00683451" w:rsidRPr="00F25EBD" w:rsidRDefault="000A2E51" w:rsidP="00646BD8">
            <w:pPr>
              <w:spacing w:after="60" w:line="276" w:lineRule="auto"/>
              <w:contextualSpacing/>
              <w:jc w:val="center"/>
              <w:rPr>
                <w:rFonts w:asciiTheme="majorHAnsi" w:hAnsiTheme="majorHAnsi" w:cstheme="majorHAnsi"/>
                <w:sz w:val="18"/>
                <w:szCs w:val="18"/>
              </w:rPr>
            </w:pPr>
            <w:r w:rsidRPr="00F25EBD">
              <w:rPr>
                <w:rFonts w:asciiTheme="majorHAnsi" w:hAnsiTheme="majorHAnsi" w:cstheme="majorHAnsi"/>
                <w:sz w:val="18"/>
                <w:szCs w:val="18"/>
              </w:rPr>
              <w:t>Niższe koszty pracy (wynagrodzeń) i wysoki poziom jej podaży, jako ważny element składowy atrakcyjności inwestycyjnej obszaru</w:t>
            </w:r>
          </w:p>
        </w:tc>
        <w:tc>
          <w:tcPr>
            <w:tcW w:w="2268" w:type="dxa"/>
            <w:shd w:val="clear" w:color="auto" w:fill="D5DCE4" w:themeFill="text2" w:themeFillTint="33"/>
            <w:vAlign w:val="center"/>
          </w:tcPr>
          <w:p w14:paraId="430A1501" w14:textId="1FAE4E23" w:rsidR="00683451" w:rsidRPr="00F25EBD" w:rsidRDefault="000A2E51" w:rsidP="00646BD8">
            <w:pPr>
              <w:spacing w:after="60" w:line="276" w:lineRule="auto"/>
              <w:jc w:val="center"/>
              <w:rPr>
                <w:rFonts w:asciiTheme="majorHAnsi" w:hAnsiTheme="majorHAnsi" w:cstheme="majorHAnsi"/>
                <w:sz w:val="18"/>
                <w:szCs w:val="20"/>
              </w:rPr>
            </w:pPr>
            <w:r w:rsidRPr="00F25EBD">
              <w:rPr>
                <w:rFonts w:asciiTheme="majorHAnsi" w:hAnsiTheme="majorHAnsi" w:cstheme="majorHAnsi"/>
                <w:sz w:val="18"/>
                <w:szCs w:val="20"/>
              </w:rPr>
              <w:t xml:space="preserve">Wysoki potencjał OF dla rozwoju gospodarki opartej o </w:t>
            </w:r>
            <w:r w:rsidR="00230A70" w:rsidRPr="00F25EBD">
              <w:rPr>
                <w:rFonts w:asciiTheme="majorHAnsi" w:hAnsiTheme="majorHAnsi" w:cstheme="majorHAnsi"/>
                <w:sz w:val="18"/>
                <w:szCs w:val="20"/>
              </w:rPr>
              <w:t>turystykę</w:t>
            </w:r>
          </w:p>
        </w:tc>
        <w:tc>
          <w:tcPr>
            <w:tcW w:w="236" w:type="dxa"/>
            <w:shd w:val="clear" w:color="auto" w:fill="FFFFFF" w:themeFill="background1"/>
            <w:vAlign w:val="center"/>
          </w:tcPr>
          <w:p w14:paraId="74D4A2FF" w14:textId="77777777" w:rsidR="00683451" w:rsidRPr="00F25EBD" w:rsidRDefault="00683451" w:rsidP="00FC7062">
            <w:pPr>
              <w:spacing w:line="276" w:lineRule="auto"/>
              <w:rPr>
                <w:rFonts w:asciiTheme="majorHAnsi" w:hAnsiTheme="majorHAnsi" w:cstheme="majorHAnsi"/>
                <w:sz w:val="18"/>
                <w:szCs w:val="18"/>
              </w:rPr>
            </w:pPr>
          </w:p>
        </w:tc>
        <w:tc>
          <w:tcPr>
            <w:tcW w:w="2065" w:type="dxa"/>
            <w:gridSpan w:val="2"/>
            <w:shd w:val="clear" w:color="auto" w:fill="9CC2E5" w:themeFill="accent1" w:themeFillTint="99"/>
            <w:vAlign w:val="center"/>
          </w:tcPr>
          <w:p w14:paraId="1C7E1676" w14:textId="77777777" w:rsidR="00683451" w:rsidRPr="00F25EBD" w:rsidRDefault="000A2E51" w:rsidP="00646BD8">
            <w:pPr>
              <w:spacing w:line="276" w:lineRule="auto"/>
              <w:jc w:val="center"/>
              <w:rPr>
                <w:rFonts w:asciiTheme="majorHAnsi" w:hAnsiTheme="majorHAnsi" w:cstheme="majorHAnsi"/>
                <w:sz w:val="18"/>
                <w:szCs w:val="18"/>
              </w:rPr>
            </w:pPr>
            <w:r w:rsidRPr="00F25EBD">
              <w:rPr>
                <w:rFonts w:asciiTheme="majorHAnsi" w:hAnsiTheme="majorHAnsi" w:cstheme="majorHAnsi"/>
                <w:sz w:val="18"/>
                <w:szCs w:val="18"/>
              </w:rPr>
              <w:t xml:space="preserve">Zbyt niski stopień rozwoju przedsiębiorczości </w:t>
            </w:r>
            <w:r w:rsidRPr="00F25EBD">
              <w:rPr>
                <w:rFonts w:asciiTheme="majorHAnsi" w:hAnsiTheme="majorHAnsi" w:cstheme="majorHAnsi"/>
                <w:sz w:val="18"/>
                <w:szCs w:val="18"/>
              </w:rPr>
              <w:br/>
              <w:t>w stosunku do średniej krajowej</w:t>
            </w:r>
          </w:p>
        </w:tc>
        <w:tc>
          <w:tcPr>
            <w:tcW w:w="2268" w:type="dxa"/>
            <w:gridSpan w:val="2"/>
            <w:shd w:val="clear" w:color="auto" w:fill="E2EFD9" w:themeFill="accent6" w:themeFillTint="33"/>
            <w:vAlign w:val="center"/>
          </w:tcPr>
          <w:p w14:paraId="2C30703B" w14:textId="71BC6E0E" w:rsidR="00683451" w:rsidRPr="00F25EBD" w:rsidRDefault="004A4098" w:rsidP="00646BD8">
            <w:pPr>
              <w:spacing w:line="276" w:lineRule="auto"/>
              <w:jc w:val="center"/>
              <w:rPr>
                <w:rFonts w:asciiTheme="majorHAnsi" w:hAnsiTheme="majorHAnsi" w:cstheme="majorHAnsi"/>
                <w:sz w:val="18"/>
                <w:szCs w:val="18"/>
              </w:rPr>
            </w:pPr>
            <w:r w:rsidRPr="00F25EBD">
              <w:rPr>
                <w:rFonts w:asciiTheme="majorHAnsi" w:hAnsiTheme="majorHAnsi" w:cstheme="majorHAnsi"/>
                <w:sz w:val="18"/>
                <w:szCs w:val="18"/>
              </w:rPr>
              <w:t xml:space="preserve">Niski poziom </w:t>
            </w:r>
            <w:proofErr w:type="spellStart"/>
            <w:r w:rsidRPr="00F25EBD">
              <w:rPr>
                <w:rFonts w:asciiTheme="majorHAnsi" w:hAnsiTheme="majorHAnsi" w:cstheme="majorHAnsi"/>
                <w:sz w:val="18"/>
                <w:szCs w:val="18"/>
              </w:rPr>
              <w:t>skolaryzacji</w:t>
            </w:r>
            <w:proofErr w:type="spellEnd"/>
            <w:r w:rsidRPr="00F25EBD">
              <w:rPr>
                <w:rFonts w:asciiTheme="majorHAnsi" w:hAnsiTheme="majorHAnsi" w:cstheme="majorHAnsi"/>
                <w:sz w:val="18"/>
                <w:szCs w:val="18"/>
              </w:rPr>
              <w:t xml:space="preserve"> na </w:t>
            </w:r>
            <w:r w:rsidR="00646BD8" w:rsidRPr="00F25EBD">
              <w:rPr>
                <w:rFonts w:asciiTheme="majorHAnsi" w:hAnsiTheme="majorHAnsi" w:cstheme="majorHAnsi"/>
                <w:sz w:val="18"/>
                <w:szCs w:val="18"/>
              </w:rPr>
              <w:t>poziomie</w:t>
            </w:r>
            <w:r w:rsidRPr="00F25EBD">
              <w:rPr>
                <w:rFonts w:asciiTheme="majorHAnsi" w:hAnsiTheme="majorHAnsi" w:cstheme="majorHAnsi"/>
                <w:sz w:val="18"/>
                <w:szCs w:val="18"/>
              </w:rPr>
              <w:t xml:space="preserve"> podstawowym</w:t>
            </w:r>
          </w:p>
        </w:tc>
      </w:tr>
      <w:tr w:rsidR="00683451" w:rsidRPr="00F25EBD" w14:paraId="549E7052" w14:textId="77777777" w:rsidTr="00646BD8">
        <w:trPr>
          <w:trHeight w:val="1871"/>
          <w:jc w:val="center"/>
        </w:trPr>
        <w:tc>
          <w:tcPr>
            <w:tcW w:w="2268" w:type="dxa"/>
            <w:shd w:val="clear" w:color="auto" w:fill="F2F2F2" w:themeFill="background1" w:themeFillShade="F2"/>
            <w:vAlign w:val="center"/>
          </w:tcPr>
          <w:p w14:paraId="2AE8DACA" w14:textId="77777777" w:rsidR="00683451" w:rsidRPr="00F25EBD" w:rsidRDefault="00C41581" w:rsidP="00646BD8">
            <w:pPr>
              <w:spacing w:line="276" w:lineRule="auto"/>
              <w:jc w:val="center"/>
              <w:rPr>
                <w:rFonts w:asciiTheme="majorHAnsi" w:hAnsiTheme="majorHAnsi" w:cstheme="majorHAnsi"/>
                <w:sz w:val="18"/>
                <w:szCs w:val="18"/>
              </w:rPr>
            </w:pPr>
            <w:r w:rsidRPr="00F25EBD">
              <w:rPr>
                <w:rFonts w:asciiTheme="majorHAnsi" w:hAnsiTheme="majorHAnsi" w:cstheme="majorHAnsi"/>
                <w:sz w:val="18"/>
                <w:szCs w:val="18"/>
              </w:rPr>
              <w:t>Zapotrzebowanie na zawody okołoturystyczne</w:t>
            </w:r>
          </w:p>
        </w:tc>
        <w:tc>
          <w:tcPr>
            <w:tcW w:w="2268" w:type="dxa"/>
            <w:shd w:val="clear" w:color="auto" w:fill="DBDBDB" w:themeFill="accent3" w:themeFillTint="66"/>
            <w:vAlign w:val="center"/>
          </w:tcPr>
          <w:p w14:paraId="421E484E" w14:textId="77777777" w:rsidR="00683451" w:rsidRPr="00F25EBD" w:rsidRDefault="005C7583" w:rsidP="00646BD8">
            <w:pPr>
              <w:tabs>
                <w:tab w:val="left" w:pos="0"/>
              </w:tabs>
              <w:spacing w:line="276" w:lineRule="auto"/>
              <w:jc w:val="center"/>
              <w:rPr>
                <w:rFonts w:asciiTheme="majorHAnsi" w:hAnsiTheme="majorHAnsi" w:cstheme="majorHAnsi"/>
                <w:color w:val="000000"/>
                <w:sz w:val="18"/>
                <w:szCs w:val="18"/>
              </w:rPr>
            </w:pPr>
            <w:r w:rsidRPr="00F25EBD">
              <w:rPr>
                <w:rFonts w:asciiTheme="majorHAnsi" w:hAnsiTheme="majorHAnsi" w:cstheme="majorHAnsi"/>
                <w:color w:val="000000"/>
                <w:sz w:val="18"/>
                <w:szCs w:val="18"/>
              </w:rPr>
              <w:t>Znaczący spadek bezrobocia</w:t>
            </w:r>
          </w:p>
        </w:tc>
        <w:tc>
          <w:tcPr>
            <w:tcW w:w="236" w:type="dxa"/>
            <w:shd w:val="clear" w:color="auto" w:fill="FFFFFF" w:themeFill="background1"/>
            <w:vAlign w:val="center"/>
          </w:tcPr>
          <w:p w14:paraId="1EC8B8C5" w14:textId="77777777" w:rsidR="00683451" w:rsidRPr="00F25EBD" w:rsidRDefault="00683451" w:rsidP="00FC7062">
            <w:pPr>
              <w:spacing w:line="276" w:lineRule="auto"/>
              <w:rPr>
                <w:rFonts w:asciiTheme="majorHAnsi" w:hAnsiTheme="majorHAnsi" w:cstheme="majorHAnsi"/>
                <w:sz w:val="18"/>
                <w:szCs w:val="18"/>
              </w:rPr>
            </w:pPr>
          </w:p>
        </w:tc>
        <w:tc>
          <w:tcPr>
            <w:tcW w:w="2065" w:type="dxa"/>
            <w:gridSpan w:val="2"/>
            <w:shd w:val="clear" w:color="auto" w:fill="DEEAF6" w:themeFill="accent1" w:themeFillTint="33"/>
            <w:vAlign w:val="center"/>
          </w:tcPr>
          <w:p w14:paraId="15652EA4" w14:textId="77777777" w:rsidR="00683451" w:rsidRPr="00F25EBD" w:rsidRDefault="00E4442A" w:rsidP="00646BD8">
            <w:pPr>
              <w:spacing w:line="276" w:lineRule="auto"/>
              <w:jc w:val="center"/>
              <w:rPr>
                <w:rFonts w:asciiTheme="majorHAnsi" w:hAnsiTheme="majorHAnsi" w:cstheme="majorHAnsi"/>
                <w:sz w:val="18"/>
                <w:szCs w:val="18"/>
              </w:rPr>
            </w:pPr>
            <w:r w:rsidRPr="00F25EBD">
              <w:rPr>
                <w:rFonts w:asciiTheme="majorHAnsi" w:hAnsiTheme="majorHAnsi" w:cstheme="majorHAnsi"/>
                <w:sz w:val="18"/>
                <w:szCs w:val="18"/>
              </w:rPr>
              <w:t>Niski p</w:t>
            </w:r>
            <w:r w:rsidR="00CB2949" w:rsidRPr="00F25EBD">
              <w:rPr>
                <w:rFonts w:asciiTheme="majorHAnsi" w:hAnsiTheme="majorHAnsi" w:cstheme="majorHAnsi"/>
                <w:sz w:val="18"/>
                <w:szCs w:val="18"/>
              </w:rPr>
              <w:t>oziom zabezpieczenia potrzeb zdrowotnych ludności z</w:t>
            </w:r>
            <w:r w:rsidRPr="00F25EBD">
              <w:rPr>
                <w:rFonts w:asciiTheme="majorHAnsi" w:hAnsiTheme="majorHAnsi" w:cstheme="majorHAnsi"/>
                <w:sz w:val="18"/>
                <w:szCs w:val="18"/>
              </w:rPr>
              <w:t>amieszkującej Mazury Południowe</w:t>
            </w:r>
          </w:p>
        </w:tc>
        <w:tc>
          <w:tcPr>
            <w:tcW w:w="2268" w:type="dxa"/>
            <w:gridSpan w:val="2"/>
            <w:shd w:val="clear" w:color="auto" w:fill="D9E2F3" w:themeFill="accent5" w:themeFillTint="33"/>
            <w:vAlign w:val="center"/>
          </w:tcPr>
          <w:p w14:paraId="65BB1195" w14:textId="77777777" w:rsidR="00683451" w:rsidRPr="00F25EBD" w:rsidRDefault="00683451" w:rsidP="00646BD8">
            <w:pPr>
              <w:spacing w:line="276" w:lineRule="auto"/>
              <w:jc w:val="center"/>
              <w:rPr>
                <w:rFonts w:asciiTheme="majorHAnsi" w:hAnsiTheme="majorHAnsi" w:cstheme="majorHAnsi"/>
                <w:sz w:val="18"/>
                <w:szCs w:val="18"/>
              </w:rPr>
            </w:pPr>
            <w:r w:rsidRPr="00F25EBD">
              <w:rPr>
                <w:rFonts w:asciiTheme="majorHAnsi" w:hAnsiTheme="majorHAnsi" w:cstheme="majorHAnsi"/>
                <w:sz w:val="18"/>
                <w:szCs w:val="18"/>
              </w:rPr>
              <w:t>Niskie dostosowanie kapitału lu</w:t>
            </w:r>
            <w:r w:rsidR="00FE0487" w:rsidRPr="00F25EBD">
              <w:rPr>
                <w:rFonts w:asciiTheme="majorHAnsi" w:hAnsiTheme="majorHAnsi" w:cstheme="majorHAnsi"/>
                <w:sz w:val="18"/>
                <w:szCs w:val="18"/>
              </w:rPr>
              <w:t xml:space="preserve">dzkiego na terenie </w:t>
            </w:r>
            <w:r w:rsidRPr="00F25EBD">
              <w:rPr>
                <w:rFonts w:asciiTheme="majorHAnsi" w:hAnsiTheme="majorHAnsi" w:cstheme="majorHAnsi"/>
                <w:sz w:val="18"/>
                <w:szCs w:val="18"/>
              </w:rPr>
              <w:t>OF do wymagań rynku pracy</w:t>
            </w:r>
          </w:p>
        </w:tc>
      </w:tr>
      <w:tr w:rsidR="00683451" w:rsidRPr="00F25EBD" w14:paraId="0225567D" w14:textId="77777777" w:rsidTr="00646BD8">
        <w:trPr>
          <w:trHeight w:val="1665"/>
          <w:jc w:val="center"/>
        </w:trPr>
        <w:tc>
          <w:tcPr>
            <w:tcW w:w="2268" w:type="dxa"/>
            <w:shd w:val="clear" w:color="auto" w:fill="DEEAF6" w:themeFill="accent1" w:themeFillTint="33"/>
            <w:vAlign w:val="center"/>
          </w:tcPr>
          <w:p w14:paraId="5D47E8E8" w14:textId="77777777" w:rsidR="00683451" w:rsidRPr="00F25EBD" w:rsidRDefault="005C7583" w:rsidP="00646BD8">
            <w:pPr>
              <w:spacing w:line="276" w:lineRule="auto"/>
              <w:jc w:val="center"/>
              <w:rPr>
                <w:rFonts w:asciiTheme="majorHAnsi" w:hAnsiTheme="majorHAnsi" w:cstheme="majorHAnsi"/>
                <w:sz w:val="18"/>
                <w:szCs w:val="18"/>
              </w:rPr>
            </w:pPr>
            <w:r w:rsidRPr="00F25EBD">
              <w:rPr>
                <w:rFonts w:asciiTheme="majorHAnsi" w:hAnsiTheme="majorHAnsi" w:cstheme="majorHAnsi"/>
                <w:sz w:val="18"/>
                <w:szCs w:val="18"/>
              </w:rPr>
              <w:t>Wzrastająca liczba podmiotów gospodarczych</w:t>
            </w:r>
          </w:p>
        </w:tc>
        <w:tc>
          <w:tcPr>
            <w:tcW w:w="2268" w:type="dxa"/>
            <w:shd w:val="clear" w:color="auto" w:fill="E1F2CE"/>
            <w:vAlign w:val="center"/>
          </w:tcPr>
          <w:p w14:paraId="2ABEF46F" w14:textId="77777777" w:rsidR="00683451" w:rsidRPr="00F25EBD" w:rsidRDefault="005C7583" w:rsidP="00646BD8">
            <w:pPr>
              <w:spacing w:line="276" w:lineRule="auto"/>
              <w:jc w:val="center"/>
              <w:rPr>
                <w:rFonts w:asciiTheme="majorHAnsi" w:hAnsiTheme="majorHAnsi" w:cstheme="majorHAnsi"/>
                <w:sz w:val="18"/>
                <w:szCs w:val="18"/>
              </w:rPr>
            </w:pPr>
            <w:r w:rsidRPr="00F25EBD">
              <w:rPr>
                <w:rFonts w:asciiTheme="majorHAnsi" w:hAnsiTheme="majorHAnsi" w:cstheme="majorHAnsi"/>
                <w:sz w:val="18"/>
                <w:szCs w:val="18"/>
              </w:rPr>
              <w:t>Wskaźnik ogólnej liczby miejsc noclegowych dla obszaru Południowe Mazury jest wyższy niż w Polsce</w:t>
            </w:r>
          </w:p>
        </w:tc>
        <w:tc>
          <w:tcPr>
            <w:tcW w:w="236" w:type="dxa"/>
            <w:shd w:val="clear" w:color="auto" w:fill="FFFFFF" w:themeFill="background1"/>
            <w:vAlign w:val="center"/>
          </w:tcPr>
          <w:p w14:paraId="7AB40C3B" w14:textId="77777777" w:rsidR="00683451" w:rsidRPr="00F25EBD" w:rsidRDefault="00683451" w:rsidP="00646BD8">
            <w:pPr>
              <w:spacing w:line="276" w:lineRule="auto"/>
              <w:jc w:val="center"/>
              <w:rPr>
                <w:rFonts w:asciiTheme="majorHAnsi" w:hAnsiTheme="majorHAnsi" w:cstheme="majorHAnsi"/>
                <w:sz w:val="18"/>
                <w:szCs w:val="18"/>
              </w:rPr>
            </w:pPr>
          </w:p>
        </w:tc>
        <w:tc>
          <w:tcPr>
            <w:tcW w:w="2065" w:type="dxa"/>
            <w:gridSpan w:val="2"/>
            <w:shd w:val="clear" w:color="auto" w:fill="E1F2CE"/>
            <w:vAlign w:val="center"/>
          </w:tcPr>
          <w:p w14:paraId="68461F54" w14:textId="64D6F6B6" w:rsidR="00683451" w:rsidRPr="00F25EBD" w:rsidRDefault="00683451" w:rsidP="00646BD8">
            <w:pPr>
              <w:spacing w:line="276" w:lineRule="auto"/>
              <w:jc w:val="center"/>
              <w:rPr>
                <w:rFonts w:asciiTheme="majorHAnsi" w:hAnsiTheme="majorHAnsi" w:cstheme="majorHAnsi"/>
                <w:sz w:val="18"/>
                <w:szCs w:val="18"/>
              </w:rPr>
            </w:pPr>
            <w:r w:rsidRPr="00F25EBD">
              <w:rPr>
                <w:rFonts w:asciiTheme="majorHAnsi" w:hAnsiTheme="majorHAnsi" w:cstheme="majorHAnsi"/>
                <w:sz w:val="18"/>
                <w:szCs w:val="18"/>
              </w:rPr>
              <w:t xml:space="preserve">Niedostosowanie służby zdrowia oraz opieki społecznej do zmian demograficznych </w:t>
            </w:r>
          </w:p>
        </w:tc>
        <w:tc>
          <w:tcPr>
            <w:tcW w:w="2268" w:type="dxa"/>
            <w:gridSpan w:val="2"/>
            <w:shd w:val="clear" w:color="auto" w:fill="EDEDED" w:themeFill="accent3" w:themeFillTint="33"/>
            <w:vAlign w:val="center"/>
          </w:tcPr>
          <w:p w14:paraId="652CC8EF" w14:textId="77777777" w:rsidR="00683451" w:rsidRPr="00F25EBD" w:rsidRDefault="00683451" w:rsidP="00646BD8">
            <w:pPr>
              <w:spacing w:line="276" w:lineRule="auto"/>
              <w:jc w:val="center"/>
              <w:rPr>
                <w:rFonts w:asciiTheme="majorHAnsi" w:hAnsiTheme="majorHAnsi" w:cstheme="majorHAnsi"/>
                <w:sz w:val="18"/>
                <w:szCs w:val="18"/>
              </w:rPr>
            </w:pPr>
            <w:r w:rsidRPr="00F25EBD">
              <w:rPr>
                <w:rFonts w:asciiTheme="majorHAnsi" w:hAnsiTheme="majorHAnsi" w:cstheme="majorHAnsi"/>
                <w:sz w:val="18"/>
                <w:szCs w:val="18"/>
              </w:rPr>
              <w:t>Słabo rozwinięta sieć ścieżek rowerowych</w:t>
            </w:r>
          </w:p>
        </w:tc>
      </w:tr>
      <w:tr w:rsidR="00683451" w:rsidRPr="00F25EBD" w14:paraId="1BE7012E" w14:textId="77777777" w:rsidTr="00646BD8">
        <w:trPr>
          <w:trHeight w:val="1871"/>
          <w:jc w:val="center"/>
        </w:trPr>
        <w:tc>
          <w:tcPr>
            <w:tcW w:w="2268" w:type="dxa"/>
            <w:shd w:val="clear" w:color="auto" w:fill="BDD6EE" w:themeFill="accent1" w:themeFillTint="66"/>
            <w:vAlign w:val="center"/>
          </w:tcPr>
          <w:p w14:paraId="6D73AED5" w14:textId="77777777" w:rsidR="00683451" w:rsidRPr="00F25EBD" w:rsidRDefault="00683451" w:rsidP="00646BD8">
            <w:pPr>
              <w:spacing w:line="276" w:lineRule="auto"/>
              <w:jc w:val="center"/>
              <w:rPr>
                <w:rFonts w:asciiTheme="majorHAnsi" w:hAnsiTheme="majorHAnsi" w:cstheme="majorHAnsi"/>
                <w:sz w:val="18"/>
                <w:szCs w:val="18"/>
              </w:rPr>
            </w:pPr>
            <w:r w:rsidRPr="00F25EBD">
              <w:rPr>
                <w:rFonts w:asciiTheme="majorHAnsi" w:hAnsiTheme="majorHAnsi" w:cstheme="majorHAnsi"/>
                <w:color w:val="000000"/>
                <w:sz w:val="18"/>
                <w:szCs w:val="18"/>
              </w:rPr>
              <w:t>Występowanie licznych obiektów dziedzictwa materialnego oraz atrakcji przyrodniczych</w:t>
            </w:r>
          </w:p>
        </w:tc>
        <w:tc>
          <w:tcPr>
            <w:tcW w:w="2268" w:type="dxa"/>
            <w:shd w:val="clear" w:color="auto" w:fill="DEEAF6" w:themeFill="accent1" w:themeFillTint="33"/>
            <w:vAlign w:val="center"/>
          </w:tcPr>
          <w:p w14:paraId="0A070EC8" w14:textId="77777777" w:rsidR="00683451" w:rsidRPr="00F25EBD" w:rsidRDefault="00683451" w:rsidP="00646BD8">
            <w:pPr>
              <w:spacing w:line="276" w:lineRule="auto"/>
              <w:jc w:val="center"/>
              <w:rPr>
                <w:rFonts w:asciiTheme="majorHAnsi" w:hAnsiTheme="majorHAnsi" w:cstheme="majorHAnsi"/>
                <w:sz w:val="18"/>
                <w:szCs w:val="18"/>
              </w:rPr>
            </w:pPr>
            <w:r w:rsidRPr="00F25EBD">
              <w:rPr>
                <w:rFonts w:asciiTheme="majorHAnsi" w:hAnsiTheme="majorHAnsi" w:cstheme="majorHAnsi"/>
                <w:sz w:val="18"/>
                <w:szCs w:val="18"/>
              </w:rPr>
              <w:t>Wysoki potencjał turystyczny gmin Obszaru Funkcjonalnego</w:t>
            </w:r>
          </w:p>
        </w:tc>
        <w:tc>
          <w:tcPr>
            <w:tcW w:w="236" w:type="dxa"/>
            <w:shd w:val="clear" w:color="auto" w:fill="FFFFFF" w:themeFill="background1"/>
            <w:vAlign w:val="center"/>
          </w:tcPr>
          <w:p w14:paraId="4BCEBA57" w14:textId="77777777" w:rsidR="00683451" w:rsidRPr="00F25EBD" w:rsidRDefault="00683451" w:rsidP="00646BD8">
            <w:pPr>
              <w:spacing w:line="276" w:lineRule="auto"/>
              <w:jc w:val="center"/>
              <w:rPr>
                <w:rFonts w:asciiTheme="majorHAnsi" w:hAnsiTheme="majorHAnsi" w:cstheme="majorHAnsi"/>
                <w:sz w:val="18"/>
                <w:szCs w:val="18"/>
              </w:rPr>
            </w:pPr>
          </w:p>
        </w:tc>
        <w:tc>
          <w:tcPr>
            <w:tcW w:w="2065" w:type="dxa"/>
            <w:gridSpan w:val="2"/>
            <w:shd w:val="clear" w:color="auto" w:fill="D9E2F3" w:themeFill="accent5" w:themeFillTint="33"/>
            <w:vAlign w:val="center"/>
          </w:tcPr>
          <w:p w14:paraId="54CF7179" w14:textId="77777777" w:rsidR="00683451" w:rsidRPr="00F25EBD" w:rsidRDefault="00F677B6" w:rsidP="00646BD8">
            <w:pPr>
              <w:spacing w:line="276" w:lineRule="auto"/>
              <w:jc w:val="center"/>
              <w:rPr>
                <w:rFonts w:asciiTheme="majorHAnsi" w:hAnsiTheme="majorHAnsi" w:cstheme="majorHAnsi"/>
                <w:sz w:val="18"/>
                <w:szCs w:val="18"/>
              </w:rPr>
            </w:pPr>
            <w:r w:rsidRPr="00F25EBD">
              <w:rPr>
                <w:rFonts w:asciiTheme="majorHAnsi" w:hAnsiTheme="majorHAnsi" w:cstheme="majorHAnsi"/>
                <w:sz w:val="18"/>
                <w:szCs w:val="18"/>
              </w:rPr>
              <w:t>S</w:t>
            </w:r>
            <w:r w:rsidR="00683451" w:rsidRPr="00F25EBD">
              <w:rPr>
                <w:rFonts w:asciiTheme="majorHAnsi" w:hAnsiTheme="majorHAnsi" w:cstheme="majorHAnsi"/>
                <w:sz w:val="18"/>
                <w:szCs w:val="18"/>
              </w:rPr>
              <w:t xml:space="preserve">łabo rozwinięta siatka połączeń poza </w:t>
            </w:r>
            <w:r w:rsidRPr="00F25EBD">
              <w:rPr>
                <w:rFonts w:asciiTheme="majorHAnsi" w:hAnsiTheme="majorHAnsi" w:cstheme="majorHAnsi"/>
                <w:sz w:val="18"/>
                <w:szCs w:val="18"/>
              </w:rPr>
              <w:t>miastami powiatowymi OF</w:t>
            </w:r>
          </w:p>
        </w:tc>
        <w:tc>
          <w:tcPr>
            <w:tcW w:w="2268" w:type="dxa"/>
            <w:gridSpan w:val="2"/>
            <w:shd w:val="clear" w:color="auto" w:fill="F2F2F2" w:themeFill="background1" w:themeFillShade="F2"/>
            <w:vAlign w:val="center"/>
          </w:tcPr>
          <w:p w14:paraId="35410EF1" w14:textId="77777777" w:rsidR="00683451" w:rsidRPr="00F25EBD" w:rsidRDefault="00683451" w:rsidP="00646BD8">
            <w:pPr>
              <w:spacing w:line="276" w:lineRule="auto"/>
              <w:jc w:val="center"/>
              <w:rPr>
                <w:rFonts w:asciiTheme="majorHAnsi" w:hAnsiTheme="majorHAnsi" w:cstheme="majorHAnsi"/>
                <w:sz w:val="18"/>
                <w:szCs w:val="18"/>
              </w:rPr>
            </w:pPr>
            <w:r w:rsidRPr="00F25EBD">
              <w:rPr>
                <w:rFonts w:asciiTheme="majorHAnsi" w:hAnsiTheme="majorHAnsi" w:cstheme="majorHAnsi"/>
                <w:sz w:val="18"/>
                <w:szCs w:val="18"/>
              </w:rPr>
              <w:t>Niezadowalająca jakość infrastruktury drogowej oraz poziom bezpieczeństwa w ruchu drogowym wpływające negatywnie na efektywność regionalnego systemu transportowego</w:t>
            </w:r>
          </w:p>
        </w:tc>
      </w:tr>
      <w:tr w:rsidR="00F677B6" w:rsidRPr="00F25EBD" w14:paraId="67023DD5" w14:textId="77777777" w:rsidTr="00646BD8">
        <w:trPr>
          <w:trHeight w:val="1438"/>
          <w:jc w:val="center"/>
        </w:trPr>
        <w:tc>
          <w:tcPr>
            <w:tcW w:w="2268" w:type="dxa"/>
            <w:shd w:val="clear" w:color="auto" w:fill="EDEDED" w:themeFill="accent3" w:themeFillTint="33"/>
            <w:vAlign w:val="center"/>
          </w:tcPr>
          <w:p w14:paraId="0824FC15" w14:textId="77777777" w:rsidR="00F677B6" w:rsidRPr="00F25EBD" w:rsidRDefault="00400871" w:rsidP="00646BD8">
            <w:pPr>
              <w:spacing w:line="276" w:lineRule="auto"/>
              <w:jc w:val="center"/>
              <w:rPr>
                <w:rFonts w:asciiTheme="majorHAnsi" w:hAnsiTheme="majorHAnsi" w:cstheme="majorHAnsi"/>
                <w:color w:val="000000"/>
                <w:sz w:val="18"/>
                <w:szCs w:val="18"/>
              </w:rPr>
            </w:pPr>
            <w:r w:rsidRPr="00F25EBD">
              <w:rPr>
                <w:rFonts w:asciiTheme="majorHAnsi" w:hAnsiTheme="majorHAnsi" w:cstheme="majorHAnsi"/>
                <w:color w:val="000000"/>
                <w:sz w:val="18"/>
                <w:szCs w:val="18"/>
              </w:rPr>
              <w:t xml:space="preserve">Wzrost </w:t>
            </w:r>
            <w:r w:rsidR="004E4FFD" w:rsidRPr="00F25EBD">
              <w:rPr>
                <w:rFonts w:asciiTheme="majorHAnsi" w:hAnsiTheme="majorHAnsi" w:cstheme="majorHAnsi"/>
                <w:color w:val="000000"/>
                <w:sz w:val="18"/>
                <w:szCs w:val="18"/>
              </w:rPr>
              <w:t>długoś</w:t>
            </w:r>
            <w:r w:rsidRPr="00F25EBD">
              <w:rPr>
                <w:rFonts w:asciiTheme="majorHAnsi" w:hAnsiTheme="majorHAnsi" w:cstheme="majorHAnsi"/>
                <w:color w:val="000000"/>
                <w:sz w:val="18"/>
                <w:szCs w:val="18"/>
              </w:rPr>
              <w:t>ci</w:t>
            </w:r>
            <w:r w:rsidR="004E4FFD" w:rsidRPr="00F25EBD">
              <w:rPr>
                <w:rFonts w:asciiTheme="majorHAnsi" w:hAnsiTheme="majorHAnsi" w:cstheme="majorHAnsi"/>
                <w:color w:val="000000"/>
                <w:sz w:val="18"/>
                <w:szCs w:val="18"/>
              </w:rPr>
              <w:t xml:space="preserve"> ścieżek rowerowych w przeliczeniu na 1000 mieszkańców na OF</w:t>
            </w:r>
          </w:p>
        </w:tc>
        <w:tc>
          <w:tcPr>
            <w:tcW w:w="2268" w:type="dxa"/>
            <w:shd w:val="clear" w:color="auto" w:fill="E2EFD9" w:themeFill="accent6" w:themeFillTint="33"/>
            <w:vAlign w:val="center"/>
          </w:tcPr>
          <w:p w14:paraId="0DE77837" w14:textId="77777777" w:rsidR="00F677B6" w:rsidRPr="00F25EBD" w:rsidRDefault="00F677B6" w:rsidP="00646BD8">
            <w:pPr>
              <w:spacing w:line="276" w:lineRule="auto"/>
              <w:jc w:val="center"/>
              <w:rPr>
                <w:rFonts w:asciiTheme="majorHAnsi" w:hAnsiTheme="majorHAnsi" w:cstheme="majorHAnsi"/>
                <w:color w:val="000000"/>
                <w:sz w:val="18"/>
                <w:szCs w:val="18"/>
              </w:rPr>
            </w:pPr>
            <w:r w:rsidRPr="00F25EBD">
              <w:rPr>
                <w:rFonts w:asciiTheme="majorHAnsi" w:hAnsiTheme="majorHAnsi" w:cstheme="majorHAnsi"/>
                <w:color w:val="000000"/>
                <w:sz w:val="18"/>
                <w:szCs w:val="18"/>
              </w:rPr>
              <w:t>Sprzyjające warunki naturalne umożliwiające rozwój turystyki rowerowej oraz wodnej</w:t>
            </w:r>
          </w:p>
        </w:tc>
        <w:tc>
          <w:tcPr>
            <w:tcW w:w="236" w:type="dxa"/>
            <w:shd w:val="clear" w:color="auto" w:fill="FFFFFF" w:themeFill="background1"/>
            <w:vAlign w:val="center"/>
          </w:tcPr>
          <w:p w14:paraId="03FB8D82" w14:textId="77777777" w:rsidR="00F677B6" w:rsidRPr="00F25EBD" w:rsidRDefault="00F677B6" w:rsidP="00646BD8">
            <w:pPr>
              <w:spacing w:line="276" w:lineRule="auto"/>
              <w:jc w:val="center"/>
              <w:rPr>
                <w:rFonts w:asciiTheme="majorHAnsi" w:hAnsiTheme="majorHAnsi" w:cstheme="majorHAnsi"/>
                <w:sz w:val="18"/>
                <w:szCs w:val="18"/>
              </w:rPr>
            </w:pPr>
          </w:p>
        </w:tc>
        <w:tc>
          <w:tcPr>
            <w:tcW w:w="2065" w:type="dxa"/>
            <w:gridSpan w:val="2"/>
            <w:shd w:val="clear" w:color="auto" w:fill="C9C9C9" w:themeFill="accent3" w:themeFillTint="99"/>
            <w:vAlign w:val="center"/>
          </w:tcPr>
          <w:p w14:paraId="64705831" w14:textId="77777777" w:rsidR="00F677B6" w:rsidRPr="00F25EBD" w:rsidRDefault="00F677B6" w:rsidP="00646BD8">
            <w:pPr>
              <w:spacing w:line="276" w:lineRule="auto"/>
              <w:jc w:val="center"/>
              <w:rPr>
                <w:rFonts w:asciiTheme="majorHAnsi" w:hAnsiTheme="majorHAnsi" w:cstheme="majorHAnsi"/>
                <w:sz w:val="18"/>
                <w:szCs w:val="18"/>
              </w:rPr>
            </w:pPr>
            <w:r w:rsidRPr="00F25EBD">
              <w:rPr>
                <w:rFonts w:asciiTheme="majorHAnsi" w:hAnsiTheme="majorHAnsi" w:cstheme="majorHAnsi"/>
                <w:sz w:val="18"/>
                <w:szCs w:val="18"/>
              </w:rPr>
              <w:t>Niedostateczne uzbrojenie wytyczonych stref aktywności gospodarczej w odniesieniu do potrzeb</w:t>
            </w:r>
          </w:p>
        </w:tc>
        <w:tc>
          <w:tcPr>
            <w:tcW w:w="2268" w:type="dxa"/>
            <w:gridSpan w:val="2"/>
            <w:shd w:val="clear" w:color="auto" w:fill="E1F2CE"/>
            <w:vAlign w:val="center"/>
          </w:tcPr>
          <w:p w14:paraId="44F430D5" w14:textId="77777777" w:rsidR="00F677B6" w:rsidRPr="00F25EBD" w:rsidRDefault="00F677B6" w:rsidP="00646BD8">
            <w:pPr>
              <w:spacing w:line="276" w:lineRule="auto"/>
              <w:jc w:val="center"/>
              <w:rPr>
                <w:rFonts w:asciiTheme="majorHAnsi" w:hAnsiTheme="majorHAnsi" w:cstheme="majorHAnsi"/>
                <w:sz w:val="18"/>
                <w:szCs w:val="18"/>
              </w:rPr>
            </w:pPr>
            <w:r w:rsidRPr="00F25EBD">
              <w:rPr>
                <w:rFonts w:asciiTheme="majorHAnsi" w:hAnsiTheme="majorHAnsi" w:cstheme="majorHAnsi"/>
                <w:sz w:val="18"/>
                <w:szCs w:val="18"/>
              </w:rPr>
              <w:t xml:space="preserve">Nierównomierny dostęp do infrastruktury technicznej na terenie OF (deficyt dostrzegalny zwłaszcza </w:t>
            </w:r>
            <w:r w:rsidRPr="00F25EBD">
              <w:rPr>
                <w:rFonts w:asciiTheme="majorHAnsi" w:hAnsiTheme="majorHAnsi" w:cstheme="majorHAnsi"/>
                <w:sz w:val="18"/>
                <w:szCs w:val="18"/>
              </w:rPr>
              <w:br/>
              <w:t>w gminach wiejskich)</w:t>
            </w:r>
          </w:p>
        </w:tc>
      </w:tr>
      <w:tr w:rsidR="00F677B6" w:rsidRPr="00F25EBD" w14:paraId="16B20C7B" w14:textId="77777777" w:rsidTr="00646BD8">
        <w:trPr>
          <w:trHeight w:val="1657"/>
          <w:jc w:val="center"/>
        </w:trPr>
        <w:tc>
          <w:tcPr>
            <w:tcW w:w="2268" w:type="dxa"/>
            <w:shd w:val="clear" w:color="auto" w:fill="C5E0B3" w:themeFill="accent6" w:themeFillTint="66"/>
            <w:vAlign w:val="center"/>
          </w:tcPr>
          <w:p w14:paraId="5C0B0824" w14:textId="77777777" w:rsidR="00F677B6" w:rsidRPr="00646BD8" w:rsidRDefault="00F677B6" w:rsidP="00646BD8">
            <w:pPr>
              <w:spacing w:line="276" w:lineRule="auto"/>
              <w:jc w:val="center"/>
              <w:rPr>
                <w:rFonts w:asciiTheme="majorHAnsi" w:hAnsiTheme="majorHAnsi" w:cstheme="majorHAnsi"/>
                <w:sz w:val="17"/>
                <w:szCs w:val="17"/>
              </w:rPr>
            </w:pPr>
            <w:r w:rsidRPr="00646BD8">
              <w:rPr>
                <w:rFonts w:asciiTheme="majorHAnsi" w:hAnsiTheme="majorHAnsi" w:cstheme="majorHAnsi"/>
                <w:sz w:val="17"/>
                <w:szCs w:val="17"/>
              </w:rPr>
              <w:t>Wysokie walory środowiskowe umożliwiające efektywne wdrażanie rozwiązań wpływających na wzrost wykorzystania OZE na terenie OF, w tym dobre warunki solarne</w:t>
            </w:r>
          </w:p>
        </w:tc>
        <w:tc>
          <w:tcPr>
            <w:tcW w:w="2268" w:type="dxa"/>
            <w:shd w:val="clear" w:color="auto" w:fill="auto"/>
            <w:vAlign w:val="center"/>
          </w:tcPr>
          <w:p w14:paraId="2E443F45" w14:textId="77777777" w:rsidR="00F677B6" w:rsidRPr="00F25EBD" w:rsidRDefault="00F677B6" w:rsidP="00646BD8">
            <w:pPr>
              <w:spacing w:line="276" w:lineRule="auto"/>
              <w:jc w:val="center"/>
              <w:rPr>
                <w:rFonts w:asciiTheme="majorHAnsi" w:hAnsiTheme="majorHAnsi" w:cstheme="majorHAnsi"/>
                <w:sz w:val="18"/>
                <w:szCs w:val="18"/>
              </w:rPr>
            </w:pPr>
          </w:p>
        </w:tc>
        <w:tc>
          <w:tcPr>
            <w:tcW w:w="236" w:type="dxa"/>
            <w:shd w:val="clear" w:color="auto" w:fill="FFFFFF" w:themeFill="background1"/>
            <w:vAlign w:val="center"/>
          </w:tcPr>
          <w:p w14:paraId="0B3C0D04" w14:textId="77777777" w:rsidR="00F677B6" w:rsidRPr="00F25EBD" w:rsidRDefault="00F677B6" w:rsidP="00646BD8">
            <w:pPr>
              <w:spacing w:line="276" w:lineRule="auto"/>
              <w:jc w:val="center"/>
              <w:rPr>
                <w:rFonts w:asciiTheme="majorHAnsi" w:hAnsiTheme="majorHAnsi" w:cstheme="majorHAnsi"/>
                <w:sz w:val="18"/>
                <w:szCs w:val="18"/>
              </w:rPr>
            </w:pPr>
          </w:p>
        </w:tc>
        <w:tc>
          <w:tcPr>
            <w:tcW w:w="2065" w:type="dxa"/>
            <w:gridSpan w:val="2"/>
            <w:shd w:val="clear" w:color="auto" w:fill="D9E2F3" w:themeFill="accent5" w:themeFillTint="33"/>
            <w:vAlign w:val="center"/>
          </w:tcPr>
          <w:p w14:paraId="19CC08DB" w14:textId="77777777" w:rsidR="00F677B6" w:rsidRPr="00F25EBD" w:rsidRDefault="00F677B6" w:rsidP="00646BD8">
            <w:pPr>
              <w:spacing w:line="276" w:lineRule="auto"/>
              <w:jc w:val="center"/>
              <w:rPr>
                <w:rFonts w:asciiTheme="majorHAnsi" w:hAnsiTheme="majorHAnsi" w:cstheme="majorHAnsi"/>
                <w:sz w:val="18"/>
                <w:szCs w:val="18"/>
              </w:rPr>
            </w:pPr>
            <w:r w:rsidRPr="00F25EBD">
              <w:rPr>
                <w:rFonts w:asciiTheme="majorHAnsi" w:hAnsiTheme="majorHAnsi" w:cstheme="majorHAnsi"/>
                <w:sz w:val="18"/>
                <w:szCs w:val="18"/>
              </w:rPr>
              <w:t>Niezadawalające działania mające na celu ograniczenie emisji zanieczyszczeń powietrza</w:t>
            </w:r>
          </w:p>
        </w:tc>
        <w:tc>
          <w:tcPr>
            <w:tcW w:w="2268" w:type="dxa"/>
            <w:gridSpan w:val="2"/>
            <w:shd w:val="clear" w:color="auto" w:fill="F2F2F2" w:themeFill="background1" w:themeFillShade="F2"/>
            <w:vAlign w:val="center"/>
          </w:tcPr>
          <w:p w14:paraId="437C6817" w14:textId="77777777" w:rsidR="00F677B6" w:rsidRPr="00F25EBD" w:rsidRDefault="00F677B6" w:rsidP="00646BD8">
            <w:pPr>
              <w:spacing w:line="276" w:lineRule="auto"/>
              <w:jc w:val="center"/>
              <w:rPr>
                <w:rFonts w:asciiTheme="majorHAnsi" w:hAnsiTheme="majorHAnsi" w:cstheme="majorHAnsi"/>
                <w:sz w:val="18"/>
                <w:szCs w:val="18"/>
              </w:rPr>
            </w:pPr>
            <w:r w:rsidRPr="00F25EBD">
              <w:rPr>
                <w:rFonts w:asciiTheme="majorHAnsi" w:hAnsiTheme="majorHAnsi" w:cstheme="majorHAnsi"/>
                <w:sz w:val="18"/>
                <w:szCs w:val="18"/>
              </w:rPr>
              <w:t>Niezadowalający poziom oferty kulturalnej na </w:t>
            </w:r>
            <w:r w:rsidR="009F792C" w:rsidRPr="00F25EBD">
              <w:rPr>
                <w:rFonts w:asciiTheme="majorHAnsi" w:hAnsiTheme="majorHAnsi" w:cstheme="majorHAnsi"/>
                <w:sz w:val="18"/>
                <w:szCs w:val="18"/>
              </w:rPr>
              <w:t xml:space="preserve">terenie </w:t>
            </w:r>
            <w:r w:rsidRPr="00F25EBD">
              <w:rPr>
                <w:rFonts w:asciiTheme="majorHAnsi" w:hAnsiTheme="majorHAnsi" w:cstheme="majorHAnsi"/>
                <w:sz w:val="18"/>
                <w:szCs w:val="18"/>
              </w:rPr>
              <w:t>OF</w:t>
            </w:r>
          </w:p>
        </w:tc>
      </w:tr>
      <w:tr w:rsidR="00F677B6" w:rsidRPr="00F25EBD" w14:paraId="6440514B" w14:textId="77777777" w:rsidTr="00646BD8">
        <w:trPr>
          <w:trHeight w:val="1497"/>
          <w:jc w:val="center"/>
        </w:trPr>
        <w:tc>
          <w:tcPr>
            <w:tcW w:w="2268" w:type="dxa"/>
            <w:shd w:val="clear" w:color="auto" w:fill="auto"/>
            <w:vAlign w:val="center"/>
          </w:tcPr>
          <w:p w14:paraId="47958128" w14:textId="77777777" w:rsidR="00F677B6" w:rsidRPr="00F25EBD" w:rsidRDefault="00F677B6" w:rsidP="00FC7062">
            <w:pPr>
              <w:spacing w:line="276" w:lineRule="auto"/>
              <w:rPr>
                <w:rFonts w:asciiTheme="majorHAnsi" w:hAnsiTheme="majorHAnsi" w:cstheme="majorHAnsi"/>
                <w:sz w:val="18"/>
                <w:szCs w:val="18"/>
              </w:rPr>
            </w:pPr>
          </w:p>
        </w:tc>
        <w:tc>
          <w:tcPr>
            <w:tcW w:w="2268" w:type="dxa"/>
            <w:shd w:val="clear" w:color="auto" w:fill="auto"/>
            <w:vAlign w:val="center"/>
          </w:tcPr>
          <w:p w14:paraId="4D88B765" w14:textId="77777777" w:rsidR="00F677B6" w:rsidRPr="00F25EBD" w:rsidRDefault="00F677B6" w:rsidP="00FC7062">
            <w:pPr>
              <w:spacing w:line="276" w:lineRule="auto"/>
              <w:rPr>
                <w:rFonts w:asciiTheme="majorHAnsi" w:hAnsiTheme="majorHAnsi" w:cstheme="majorHAnsi"/>
                <w:sz w:val="18"/>
                <w:szCs w:val="18"/>
              </w:rPr>
            </w:pPr>
          </w:p>
        </w:tc>
        <w:tc>
          <w:tcPr>
            <w:tcW w:w="236" w:type="dxa"/>
            <w:shd w:val="clear" w:color="auto" w:fill="FFFFFF" w:themeFill="background1"/>
          </w:tcPr>
          <w:p w14:paraId="10F06BB2" w14:textId="77777777" w:rsidR="00F677B6" w:rsidRPr="00F25EBD" w:rsidRDefault="00F677B6" w:rsidP="00FC7062">
            <w:pPr>
              <w:spacing w:line="276" w:lineRule="auto"/>
              <w:rPr>
                <w:rFonts w:asciiTheme="majorHAnsi" w:hAnsiTheme="majorHAnsi" w:cstheme="majorHAnsi"/>
                <w:sz w:val="18"/>
                <w:szCs w:val="18"/>
              </w:rPr>
            </w:pPr>
          </w:p>
        </w:tc>
        <w:tc>
          <w:tcPr>
            <w:tcW w:w="2065" w:type="dxa"/>
            <w:gridSpan w:val="2"/>
            <w:shd w:val="clear" w:color="auto" w:fill="E1F2CE"/>
            <w:vAlign w:val="center"/>
          </w:tcPr>
          <w:p w14:paraId="72604282" w14:textId="77777777" w:rsidR="00F677B6" w:rsidRPr="00F25EBD" w:rsidRDefault="00F677B6" w:rsidP="00646BD8">
            <w:pPr>
              <w:spacing w:line="276" w:lineRule="auto"/>
              <w:jc w:val="center"/>
              <w:rPr>
                <w:rFonts w:asciiTheme="majorHAnsi" w:hAnsiTheme="majorHAnsi" w:cstheme="majorHAnsi"/>
                <w:sz w:val="18"/>
                <w:szCs w:val="18"/>
              </w:rPr>
            </w:pPr>
            <w:r w:rsidRPr="00F25EBD">
              <w:rPr>
                <w:rFonts w:asciiTheme="majorHAnsi" w:hAnsiTheme="majorHAnsi" w:cstheme="majorHAnsi"/>
                <w:sz w:val="18"/>
                <w:szCs w:val="18"/>
              </w:rPr>
              <w:t>Niedostateczna liczba stref wypoczynku i </w:t>
            </w:r>
            <w:r w:rsidR="00B117D1" w:rsidRPr="00F25EBD">
              <w:rPr>
                <w:rFonts w:asciiTheme="majorHAnsi" w:hAnsiTheme="majorHAnsi" w:cstheme="majorHAnsi"/>
                <w:sz w:val="18"/>
                <w:szCs w:val="18"/>
              </w:rPr>
              <w:t xml:space="preserve">rekreacji na terenie </w:t>
            </w:r>
            <w:r w:rsidRPr="00F25EBD">
              <w:rPr>
                <w:rFonts w:asciiTheme="majorHAnsi" w:hAnsiTheme="majorHAnsi" w:cstheme="majorHAnsi"/>
                <w:sz w:val="18"/>
                <w:szCs w:val="18"/>
              </w:rPr>
              <w:t>OF</w:t>
            </w:r>
          </w:p>
        </w:tc>
        <w:tc>
          <w:tcPr>
            <w:tcW w:w="2268" w:type="dxa"/>
            <w:gridSpan w:val="2"/>
            <w:shd w:val="clear" w:color="auto" w:fill="D9E2F3" w:themeFill="accent5" w:themeFillTint="33"/>
            <w:vAlign w:val="center"/>
          </w:tcPr>
          <w:p w14:paraId="71E473ED" w14:textId="77777777" w:rsidR="00F677B6" w:rsidRPr="00F25EBD" w:rsidRDefault="00F677B6" w:rsidP="00646BD8">
            <w:pPr>
              <w:spacing w:line="276" w:lineRule="auto"/>
              <w:jc w:val="center"/>
              <w:rPr>
                <w:rFonts w:asciiTheme="majorHAnsi" w:hAnsiTheme="majorHAnsi" w:cstheme="majorHAnsi"/>
                <w:sz w:val="18"/>
                <w:szCs w:val="18"/>
              </w:rPr>
            </w:pPr>
            <w:r w:rsidRPr="00F25EBD">
              <w:rPr>
                <w:rFonts w:asciiTheme="majorHAnsi" w:hAnsiTheme="majorHAnsi" w:cstheme="majorHAnsi"/>
                <w:sz w:val="18"/>
                <w:szCs w:val="18"/>
              </w:rPr>
              <w:t xml:space="preserve">Brak liniowych produktów turystycznych w kompleksowy sposób łączących atrakcje turystyczne i walory </w:t>
            </w:r>
            <w:r w:rsidR="009F792C" w:rsidRPr="00F25EBD">
              <w:rPr>
                <w:rFonts w:asciiTheme="majorHAnsi" w:hAnsiTheme="majorHAnsi" w:cstheme="majorHAnsi"/>
                <w:sz w:val="18"/>
                <w:szCs w:val="18"/>
              </w:rPr>
              <w:t xml:space="preserve">przyrodnicze </w:t>
            </w:r>
            <w:r w:rsidRPr="00F25EBD">
              <w:rPr>
                <w:rFonts w:asciiTheme="majorHAnsi" w:hAnsiTheme="majorHAnsi" w:cstheme="majorHAnsi"/>
                <w:sz w:val="18"/>
                <w:szCs w:val="18"/>
              </w:rPr>
              <w:t>OF</w:t>
            </w:r>
          </w:p>
        </w:tc>
      </w:tr>
      <w:tr w:rsidR="00683451" w:rsidRPr="00F25EBD" w14:paraId="6D2C4207" w14:textId="77777777" w:rsidTr="00646BD8">
        <w:trPr>
          <w:trHeight w:val="1210"/>
          <w:jc w:val="center"/>
        </w:trPr>
        <w:tc>
          <w:tcPr>
            <w:tcW w:w="2268" w:type="dxa"/>
            <w:shd w:val="clear" w:color="auto" w:fill="auto"/>
            <w:vAlign w:val="center"/>
          </w:tcPr>
          <w:p w14:paraId="127B9060" w14:textId="77777777" w:rsidR="00683451" w:rsidRPr="00F25EBD" w:rsidRDefault="00683451" w:rsidP="00FC7062">
            <w:pPr>
              <w:spacing w:line="276" w:lineRule="auto"/>
              <w:rPr>
                <w:rFonts w:asciiTheme="majorHAnsi" w:hAnsiTheme="majorHAnsi" w:cstheme="majorHAnsi"/>
                <w:sz w:val="18"/>
                <w:szCs w:val="18"/>
              </w:rPr>
            </w:pPr>
          </w:p>
        </w:tc>
        <w:tc>
          <w:tcPr>
            <w:tcW w:w="2268" w:type="dxa"/>
            <w:shd w:val="clear" w:color="auto" w:fill="auto"/>
            <w:vAlign w:val="center"/>
          </w:tcPr>
          <w:p w14:paraId="295E7C75" w14:textId="77777777" w:rsidR="00683451" w:rsidRPr="00F25EBD" w:rsidRDefault="00683451" w:rsidP="00FC7062">
            <w:pPr>
              <w:spacing w:line="276" w:lineRule="auto"/>
              <w:rPr>
                <w:rFonts w:asciiTheme="majorHAnsi" w:hAnsiTheme="majorHAnsi" w:cstheme="majorHAnsi"/>
                <w:sz w:val="18"/>
                <w:szCs w:val="18"/>
              </w:rPr>
            </w:pPr>
          </w:p>
        </w:tc>
        <w:tc>
          <w:tcPr>
            <w:tcW w:w="236" w:type="dxa"/>
            <w:shd w:val="clear" w:color="auto" w:fill="FFFFFF" w:themeFill="background1"/>
          </w:tcPr>
          <w:p w14:paraId="28D95638" w14:textId="77777777" w:rsidR="00683451" w:rsidRPr="00F25EBD" w:rsidRDefault="00683451" w:rsidP="00FC7062">
            <w:pPr>
              <w:spacing w:line="276" w:lineRule="auto"/>
              <w:rPr>
                <w:rFonts w:asciiTheme="majorHAnsi" w:hAnsiTheme="majorHAnsi" w:cstheme="majorHAnsi"/>
                <w:sz w:val="18"/>
                <w:szCs w:val="18"/>
              </w:rPr>
            </w:pPr>
          </w:p>
        </w:tc>
        <w:tc>
          <w:tcPr>
            <w:tcW w:w="2065" w:type="dxa"/>
            <w:gridSpan w:val="2"/>
            <w:shd w:val="clear" w:color="auto" w:fill="DEEAF6" w:themeFill="accent1" w:themeFillTint="33"/>
            <w:vAlign w:val="center"/>
          </w:tcPr>
          <w:p w14:paraId="34CD6149" w14:textId="77777777" w:rsidR="00683451" w:rsidRPr="00F25EBD" w:rsidRDefault="00683451" w:rsidP="00646BD8">
            <w:pPr>
              <w:spacing w:after="60" w:line="276" w:lineRule="auto"/>
              <w:jc w:val="center"/>
              <w:rPr>
                <w:rFonts w:asciiTheme="majorHAnsi" w:hAnsiTheme="majorHAnsi" w:cstheme="majorHAnsi"/>
                <w:sz w:val="20"/>
                <w:szCs w:val="20"/>
              </w:rPr>
            </w:pPr>
            <w:r w:rsidRPr="00F25EBD">
              <w:rPr>
                <w:rFonts w:asciiTheme="majorHAnsi" w:hAnsiTheme="majorHAnsi" w:cstheme="majorHAnsi"/>
                <w:sz w:val="18"/>
                <w:szCs w:val="20"/>
              </w:rPr>
              <w:t>Zbyt niski stopień integracj</w:t>
            </w:r>
            <w:r w:rsidR="00F677B6" w:rsidRPr="00F25EBD">
              <w:rPr>
                <w:rFonts w:asciiTheme="majorHAnsi" w:hAnsiTheme="majorHAnsi" w:cstheme="majorHAnsi"/>
                <w:sz w:val="18"/>
                <w:szCs w:val="20"/>
              </w:rPr>
              <w:t xml:space="preserve">i przestrzennej i gospodarczej </w:t>
            </w:r>
            <w:r w:rsidRPr="00F25EBD">
              <w:rPr>
                <w:rFonts w:asciiTheme="majorHAnsi" w:hAnsiTheme="majorHAnsi" w:cstheme="majorHAnsi"/>
                <w:sz w:val="18"/>
                <w:szCs w:val="20"/>
              </w:rPr>
              <w:t>OF</w:t>
            </w:r>
          </w:p>
        </w:tc>
        <w:tc>
          <w:tcPr>
            <w:tcW w:w="2268" w:type="dxa"/>
            <w:gridSpan w:val="2"/>
            <w:shd w:val="clear" w:color="auto" w:fill="D5DCE4" w:themeFill="text2" w:themeFillTint="33"/>
            <w:vAlign w:val="center"/>
          </w:tcPr>
          <w:p w14:paraId="4619F72D" w14:textId="4B4E55B9" w:rsidR="00683451" w:rsidRPr="00F25EBD" w:rsidRDefault="00683451" w:rsidP="00646BD8">
            <w:pPr>
              <w:spacing w:line="276" w:lineRule="auto"/>
              <w:jc w:val="center"/>
              <w:rPr>
                <w:rFonts w:asciiTheme="majorHAnsi" w:hAnsiTheme="majorHAnsi" w:cstheme="majorHAnsi"/>
                <w:sz w:val="18"/>
                <w:szCs w:val="18"/>
              </w:rPr>
            </w:pPr>
            <w:r w:rsidRPr="00F25EBD">
              <w:rPr>
                <w:rFonts w:asciiTheme="majorHAnsi" w:hAnsiTheme="majorHAnsi" w:cstheme="majorHAnsi"/>
                <w:sz w:val="18"/>
                <w:szCs w:val="18"/>
              </w:rPr>
              <w:t>Brak wspólnej promoc</w:t>
            </w:r>
            <w:r w:rsidR="00F677B6" w:rsidRPr="00F25EBD">
              <w:rPr>
                <w:rFonts w:asciiTheme="majorHAnsi" w:hAnsiTheme="majorHAnsi" w:cstheme="majorHAnsi"/>
                <w:sz w:val="18"/>
                <w:szCs w:val="18"/>
              </w:rPr>
              <w:t xml:space="preserve">ji gospodarczej i turystycznej </w:t>
            </w:r>
          </w:p>
        </w:tc>
      </w:tr>
      <w:tr w:rsidR="00683451" w:rsidRPr="00F25EBD" w14:paraId="3DC1FBCD" w14:textId="77777777" w:rsidTr="00646BD8">
        <w:trPr>
          <w:trHeight w:val="1871"/>
          <w:jc w:val="center"/>
        </w:trPr>
        <w:tc>
          <w:tcPr>
            <w:tcW w:w="2268" w:type="dxa"/>
            <w:shd w:val="clear" w:color="auto" w:fill="auto"/>
            <w:vAlign w:val="center"/>
          </w:tcPr>
          <w:p w14:paraId="55EDE7B9" w14:textId="77777777" w:rsidR="00683451" w:rsidRPr="00F25EBD" w:rsidRDefault="00683451" w:rsidP="00FC7062">
            <w:pPr>
              <w:spacing w:line="276" w:lineRule="auto"/>
              <w:rPr>
                <w:rFonts w:asciiTheme="majorHAnsi" w:hAnsiTheme="majorHAnsi" w:cstheme="majorHAnsi"/>
                <w:sz w:val="18"/>
                <w:szCs w:val="18"/>
              </w:rPr>
            </w:pPr>
          </w:p>
        </w:tc>
        <w:tc>
          <w:tcPr>
            <w:tcW w:w="2268" w:type="dxa"/>
            <w:shd w:val="clear" w:color="auto" w:fill="auto"/>
            <w:vAlign w:val="center"/>
          </w:tcPr>
          <w:p w14:paraId="22DF94AD" w14:textId="77777777" w:rsidR="00683451" w:rsidRPr="00F25EBD" w:rsidRDefault="00683451" w:rsidP="00FC7062">
            <w:pPr>
              <w:spacing w:line="276" w:lineRule="auto"/>
              <w:rPr>
                <w:rFonts w:asciiTheme="majorHAnsi" w:hAnsiTheme="majorHAnsi" w:cstheme="majorHAnsi"/>
                <w:sz w:val="18"/>
                <w:szCs w:val="18"/>
              </w:rPr>
            </w:pPr>
          </w:p>
        </w:tc>
        <w:tc>
          <w:tcPr>
            <w:tcW w:w="236" w:type="dxa"/>
            <w:shd w:val="clear" w:color="auto" w:fill="FFFFFF" w:themeFill="background1"/>
          </w:tcPr>
          <w:p w14:paraId="76577CF9" w14:textId="77777777" w:rsidR="00683451" w:rsidRPr="00F25EBD" w:rsidRDefault="00683451" w:rsidP="00FC7062">
            <w:pPr>
              <w:spacing w:line="276" w:lineRule="auto"/>
              <w:rPr>
                <w:rFonts w:asciiTheme="majorHAnsi" w:hAnsiTheme="majorHAnsi" w:cstheme="majorHAnsi"/>
                <w:sz w:val="18"/>
                <w:szCs w:val="18"/>
              </w:rPr>
            </w:pPr>
          </w:p>
        </w:tc>
        <w:tc>
          <w:tcPr>
            <w:tcW w:w="2065" w:type="dxa"/>
            <w:gridSpan w:val="2"/>
            <w:shd w:val="clear" w:color="auto" w:fill="D0CECE" w:themeFill="background2" w:themeFillShade="E6"/>
            <w:vAlign w:val="center"/>
          </w:tcPr>
          <w:p w14:paraId="15624B47" w14:textId="77777777" w:rsidR="00683451" w:rsidRPr="00F25EBD" w:rsidRDefault="00683451" w:rsidP="00646BD8">
            <w:pPr>
              <w:spacing w:line="276" w:lineRule="auto"/>
              <w:jc w:val="center"/>
              <w:rPr>
                <w:rFonts w:asciiTheme="majorHAnsi" w:hAnsiTheme="majorHAnsi" w:cstheme="majorHAnsi"/>
                <w:sz w:val="18"/>
                <w:szCs w:val="18"/>
              </w:rPr>
            </w:pPr>
            <w:r w:rsidRPr="00F25EBD">
              <w:rPr>
                <w:rFonts w:asciiTheme="majorHAnsi" w:hAnsiTheme="majorHAnsi" w:cstheme="majorHAnsi"/>
                <w:sz w:val="18"/>
                <w:szCs w:val="18"/>
              </w:rPr>
              <w:t>Niezadowalający stan techniczny zabytków na terenie OF grożący pozbawieniem możliwości korzystania przez przyszłe pokolenia</w:t>
            </w:r>
          </w:p>
        </w:tc>
        <w:tc>
          <w:tcPr>
            <w:tcW w:w="2268" w:type="dxa"/>
            <w:gridSpan w:val="2"/>
            <w:shd w:val="clear" w:color="auto" w:fill="E1F2CE"/>
            <w:vAlign w:val="center"/>
          </w:tcPr>
          <w:p w14:paraId="76EEAF24" w14:textId="133D660F" w:rsidR="00683451" w:rsidRPr="00F25EBD" w:rsidRDefault="00683451" w:rsidP="00646BD8">
            <w:pPr>
              <w:spacing w:line="276" w:lineRule="auto"/>
              <w:jc w:val="center"/>
              <w:rPr>
                <w:rFonts w:asciiTheme="majorHAnsi" w:hAnsiTheme="majorHAnsi" w:cstheme="majorHAnsi"/>
                <w:sz w:val="18"/>
                <w:szCs w:val="18"/>
              </w:rPr>
            </w:pPr>
            <w:r w:rsidRPr="00F25EBD">
              <w:rPr>
                <w:rFonts w:asciiTheme="majorHAnsi" w:hAnsiTheme="majorHAnsi" w:cstheme="majorHAnsi"/>
                <w:sz w:val="18"/>
                <w:szCs w:val="18"/>
              </w:rPr>
              <w:t>Brak dokumentów planistycznych umożliwiających prowadzenie skoordynowanych polityk warunkujących efektywne wykorzystanie potencjałów i po</w:t>
            </w:r>
            <w:r w:rsidR="007A2F73" w:rsidRPr="00F25EBD">
              <w:rPr>
                <w:rFonts w:asciiTheme="majorHAnsi" w:hAnsiTheme="majorHAnsi" w:cstheme="majorHAnsi"/>
                <w:sz w:val="18"/>
                <w:szCs w:val="18"/>
              </w:rPr>
              <w:t xml:space="preserve">wiązań funkcjonalnych </w:t>
            </w:r>
          </w:p>
        </w:tc>
      </w:tr>
      <w:tr w:rsidR="009F792C" w:rsidRPr="00F25EBD" w14:paraId="42C8FE3D" w14:textId="77777777" w:rsidTr="00646BD8">
        <w:trPr>
          <w:trHeight w:val="1871"/>
          <w:jc w:val="center"/>
        </w:trPr>
        <w:tc>
          <w:tcPr>
            <w:tcW w:w="2268" w:type="dxa"/>
            <w:shd w:val="clear" w:color="auto" w:fill="auto"/>
            <w:vAlign w:val="center"/>
          </w:tcPr>
          <w:p w14:paraId="55E5CDE6" w14:textId="77777777" w:rsidR="009F792C" w:rsidRPr="00F25EBD" w:rsidRDefault="009F792C" w:rsidP="00FC7062">
            <w:pPr>
              <w:spacing w:line="276" w:lineRule="auto"/>
              <w:rPr>
                <w:rFonts w:asciiTheme="majorHAnsi" w:hAnsiTheme="majorHAnsi" w:cstheme="majorHAnsi"/>
                <w:sz w:val="18"/>
                <w:szCs w:val="18"/>
              </w:rPr>
            </w:pPr>
          </w:p>
        </w:tc>
        <w:tc>
          <w:tcPr>
            <w:tcW w:w="2268" w:type="dxa"/>
            <w:shd w:val="clear" w:color="auto" w:fill="auto"/>
            <w:vAlign w:val="center"/>
          </w:tcPr>
          <w:p w14:paraId="6C18D601" w14:textId="77777777" w:rsidR="009F792C" w:rsidRPr="00F25EBD" w:rsidRDefault="009F792C" w:rsidP="00FC7062">
            <w:pPr>
              <w:spacing w:line="276" w:lineRule="auto"/>
              <w:rPr>
                <w:rFonts w:asciiTheme="majorHAnsi" w:hAnsiTheme="majorHAnsi" w:cstheme="majorHAnsi"/>
                <w:sz w:val="18"/>
                <w:szCs w:val="18"/>
              </w:rPr>
            </w:pPr>
          </w:p>
        </w:tc>
        <w:tc>
          <w:tcPr>
            <w:tcW w:w="236" w:type="dxa"/>
            <w:shd w:val="clear" w:color="auto" w:fill="FFFFFF" w:themeFill="background1"/>
          </w:tcPr>
          <w:p w14:paraId="0FD6E252" w14:textId="77777777" w:rsidR="009F792C" w:rsidRPr="00F25EBD" w:rsidRDefault="009F792C" w:rsidP="00FC7062">
            <w:pPr>
              <w:spacing w:line="276" w:lineRule="auto"/>
              <w:rPr>
                <w:rFonts w:asciiTheme="majorHAnsi" w:hAnsiTheme="majorHAnsi" w:cstheme="majorHAnsi"/>
                <w:sz w:val="18"/>
                <w:szCs w:val="18"/>
              </w:rPr>
            </w:pPr>
          </w:p>
        </w:tc>
        <w:tc>
          <w:tcPr>
            <w:tcW w:w="2065" w:type="dxa"/>
            <w:gridSpan w:val="2"/>
            <w:shd w:val="clear" w:color="auto" w:fill="EDEDED" w:themeFill="accent3" w:themeFillTint="33"/>
            <w:vAlign w:val="center"/>
          </w:tcPr>
          <w:p w14:paraId="41B5244D" w14:textId="5D6920CA" w:rsidR="009F792C" w:rsidRPr="00F25EBD" w:rsidRDefault="009F792C" w:rsidP="00646BD8">
            <w:pPr>
              <w:spacing w:line="276" w:lineRule="auto"/>
              <w:jc w:val="center"/>
              <w:rPr>
                <w:rFonts w:asciiTheme="majorHAnsi" w:hAnsiTheme="majorHAnsi" w:cstheme="majorHAnsi"/>
                <w:sz w:val="18"/>
                <w:szCs w:val="18"/>
              </w:rPr>
            </w:pPr>
            <w:r w:rsidRPr="00F25EBD">
              <w:rPr>
                <w:rFonts w:asciiTheme="majorHAnsi" w:hAnsiTheme="majorHAnsi" w:cstheme="majorHAnsi"/>
                <w:sz w:val="18"/>
                <w:szCs w:val="18"/>
              </w:rPr>
              <w:t>Występowanie zjawiska wykluczenia społecznego</w:t>
            </w:r>
          </w:p>
        </w:tc>
        <w:tc>
          <w:tcPr>
            <w:tcW w:w="2268" w:type="dxa"/>
            <w:gridSpan w:val="2"/>
            <w:shd w:val="clear" w:color="auto" w:fill="DEEAF6" w:themeFill="accent1" w:themeFillTint="33"/>
            <w:vAlign w:val="center"/>
          </w:tcPr>
          <w:p w14:paraId="5D3E86DF" w14:textId="77777777" w:rsidR="009F792C" w:rsidRPr="00F25EBD" w:rsidRDefault="009F792C" w:rsidP="00646BD8">
            <w:pPr>
              <w:spacing w:line="276" w:lineRule="auto"/>
              <w:jc w:val="center"/>
              <w:rPr>
                <w:rFonts w:asciiTheme="majorHAnsi" w:hAnsiTheme="majorHAnsi" w:cstheme="majorHAnsi"/>
                <w:sz w:val="18"/>
                <w:szCs w:val="18"/>
              </w:rPr>
            </w:pPr>
            <w:r w:rsidRPr="00F25EBD">
              <w:rPr>
                <w:rFonts w:asciiTheme="majorHAnsi" w:hAnsiTheme="majorHAnsi" w:cstheme="majorHAnsi"/>
                <w:sz w:val="18"/>
                <w:szCs w:val="18"/>
              </w:rPr>
              <w:t>Funkcjonowanie obszarów zdegradowanych</w:t>
            </w:r>
            <w:r w:rsidR="00512DE6">
              <w:rPr>
                <w:rFonts w:asciiTheme="majorHAnsi" w:hAnsiTheme="majorHAnsi" w:cstheme="majorHAnsi"/>
                <w:sz w:val="18"/>
                <w:szCs w:val="18"/>
              </w:rPr>
              <w:t xml:space="preserve"> - </w:t>
            </w:r>
            <w:r w:rsidRPr="00F25EBD">
              <w:rPr>
                <w:rFonts w:asciiTheme="majorHAnsi" w:hAnsiTheme="majorHAnsi" w:cstheme="majorHAnsi"/>
                <w:sz w:val="18"/>
                <w:szCs w:val="18"/>
              </w:rPr>
              <w:t>wysoki poziom zidentyfikowanych potrzeb rewitalizacyjnych w wymiarze społecznym oraz technicznym</w:t>
            </w:r>
          </w:p>
        </w:tc>
      </w:tr>
      <w:tr w:rsidR="009F792C" w:rsidRPr="00F25EBD" w14:paraId="6E5AD6E1" w14:textId="77777777" w:rsidTr="00646BD8">
        <w:trPr>
          <w:trHeight w:val="1538"/>
          <w:jc w:val="center"/>
        </w:trPr>
        <w:tc>
          <w:tcPr>
            <w:tcW w:w="2268" w:type="dxa"/>
            <w:shd w:val="clear" w:color="auto" w:fill="auto"/>
            <w:vAlign w:val="center"/>
          </w:tcPr>
          <w:p w14:paraId="33CE5336" w14:textId="77777777" w:rsidR="009F792C" w:rsidRPr="00F25EBD" w:rsidRDefault="009F792C" w:rsidP="00FC7062">
            <w:pPr>
              <w:spacing w:line="276" w:lineRule="auto"/>
              <w:rPr>
                <w:rFonts w:asciiTheme="majorHAnsi" w:hAnsiTheme="majorHAnsi" w:cstheme="majorHAnsi"/>
                <w:sz w:val="18"/>
                <w:szCs w:val="18"/>
              </w:rPr>
            </w:pPr>
          </w:p>
        </w:tc>
        <w:tc>
          <w:tcPr>
            <w:tcW w:w="2268" w:type="dxa"/>
            <w:shd w:val="clear" w:color="auto" w:fill="auto"/>
            <w:vAlign w:val="center"/>
          </w:tcPr>
          <w:p w14:paraId="0D5B0B6C" w14:textId="77777777" w:rsidR="009F792C" w:rsidRPr="00F25EBD" w:rsidRDefault="009F792C" w:rsidP="00FC7062">
            <w:pPr>
              <w:spacing w:line="276" w:lineRule="auto"/>
              <w:rPr>
                <w:rFonts w:asciiTheme="majorHAnsi" w:hAnsiTheme="majorHAnsi" w:cstheme="majorHAnsi"/>
                <w:sz w:val="18"/>
                <w:szCs w:val="18"/>
              </w:rPr>
            </w:pPr>
          </w:p>
        </w:tc>
        <w:tc>
          <w:tcPr>
            <w:tcW w:w="236" w:type="dxa"/>
            <w:shd w:val="clear" w:color="auto" w:fill="FFFFFF" w:themeFill="background1"/>
          </w:tcPr>
          <w:p w14:paraId="78D1E8AD" w14:textId="77777777" w:rsidR="009F792C" w:rsidRPr="00F25EBD" w:rsidRDefault="009F792C" w:rsidP="00FC7062">
            <w:pPr>
              <w:spacing w:line="276" w:lineRule="auto"/>
              <w:rPr>
                <w:rFonts w:asciiTheme="majorHAnsi" w:hAnsiTheme="majorHAnsi" w:cstheme="majorHAnsi"/>
                <w:sz w:val="18"/>
                <w:szCs w:val="18"/>
              </w:rPr>
            </w:pPr>
          </w:p>
        </w:tc>
        <w:tc>
          <w:tcPr>
            <w:tcW w:w="2065" w:type="dxa"/>
            <w:gridSpan w:val="2"/>
            <w:shd w:val="clear" w:color="auto" w:fill="EDEDED" w:themeFill="accent3" w:themeFillTint="33"/>
            <w:vAlign w:val="center"/>
          </w:tcPr>
          <w:p w14:paraId="27D828C3" w14:textId="251BC452" w:rsidR="009F792C" w:rsidRPr="00F25EBD" w:rsidRDefault="009F792C" w:rsidP="00646BD8">
            <w:pPr>
              <w:spacing w:line="276" w:lineRule="auto"/>
              <w:jc w:val="center"/>
              <w:rPr>
                <w:rFonts w:asciiTheme="majorHAnsi" w:hAnsiTheme="majorHAnsi" w:cstheme="majorHAnsi"/>
                <w:sz w:val="18"/>
                <w:szCs w:val="18"/>
              </w:rPr>
            </w:pPr>
            <w:r w:rsidRPr="00F25EBD">
              <w:rPr>
                <w:rFonts w:asciiTheme="majorHAnsi" w:hAnsiTheme="majorHAnsi" w:cstheme="majorHAnsi"/>
                <w:sz w:val="18"/>
                <w:szCs w:val="18"/>
              </w:rPr>
              <w:t>Niewystarczająca ilość miejsc świadczenia usług pomocy społecznej</w:t>
            </w:r>
            <w:r w:rsidR="00504F1B" w:rsidRPr="00F25EBD">
              <w:rPr>
                <w:rFonts w:asciiTheme="majorHAnsi" w:hAnsiTheme="majorHAnsi" w:cstheme="majorHAnsi"/>
                <w:sz w:val="18"/>
                <w:szCs w:val="18"/>
              </w:rPr>
              <w:t xml:space="preserve"> i opieki zdrowotnej</w:t>
            </w:r>
          </w:p>
        </w:tc>
        <w:tc>
          <w:tcPr>
            <w:tcW w:w="2268" w:type="dxa"/>
            <w:gridSpan w:val="2"/>
            <w:shd w:val="clear" w:color="auto" w:fill="DEEAF6" w:themeFill="accent1" w:themeFillTint="33"/>
            <w:vAlign w:val="center"/>
          </w:tcPr>
          <w:p w14:paraId="2AA09AAE" w14:textId="77777777" w:rsidR="009F792C" w:rsidRPr="00F25EBD" w:rsidRDefault="009F792C" w:rsidP="00646BD8">
            <w:pPr>
              <w:spacing w:line="276" w:lineRule="auto"/>
              <w:jc w:val="center"/>
              <w:rPr>
                <w:rFonts w:asciiTheme="majorHAnsi" w:hAnsiTheme="majorHAnsi" w:cstheme="majorHAnsi"/>
                <w:sz w:val="18"/>
                <w:szCs w:val="18"/>
              </w:rPr>
            </w:pPr>
            <w:r w:rsidRPr="00F25EBD">
              <w:rPr>
                <w:rFonts w:asciiTheme="majorHAnsi" w:hAnsiTheme="majorHAnsi" w:cstheme="majorHAnsi"/>
                <w:sz w:val="18"/>
                <w:szCs w:val="18"/>
              </w:rPr>
              <w:t>Występowanie problemów bezradności w sprawach opiekuńczo-wychowawczych, w tym związanych z sytuacjami kryzysowymi w rodzinie</w:t>
            </w:r>
          </w:p>
        </w:tc>
      </w:tr>
      <w:tr w:rsidR="009F792C" w:rsidRPr="007C777C" w14:paraId="60731EC2" w14:textId="77777777" w:rsidTr="00646BD8">
        <w:trPr>
          <w:gridAfter w:val="1"/>
          <w:wAfter w:w="373" w:type="dxa"/>
          <w:trHeight w:val="167"/>
          <w:jc w:val="center"/>
        </w:trPr>
        <w:tc>
          <w:tcPr>
            <w:tcW w:w="2268" w:type="dxa"/>
            <w:shd w:val="clear" w:color="auto" w:fill="FFFFFF" w:themeFill="background1"/>
            <w:vAlign w:val="center"/>
          </w:tcPr>
          <w:p w14:paraId="2DF2757E" w14:textId="77777777" w:rsidR="009F792C" w:rsidRPr="007C777C" w:rsidRDefault="009F792C" w:rsidP="007C777C">
            <w:pPr>
              <w:spacing w:line="276" w:lineRule="auto"/>
              <w:jc w:val="center"/>
              <w:rPr>
                <w:rFonts w:asciiTheme="majorHAnsi" w:hAnsiTheme="majorHAnsi" w:cstheme="majorHAnsi"/>
                <w:b/>
                <w:color w:val="1F4E79" w:themeColor="accent1" w:themeShade="80"/>
                <w:sz w:val="18"/>
                <w:szCs w:val="18"/>
              </w:rPr>
            </w:pPr>
          </w:p>
          <w:p w14:paraId="49923113" w14:textId="77777777" w:rsidR="009F792C" w:rsidRPr="007C777C" w:rsidRDefault="009F792C" w:rsidP="007C777C">
            <w:pPr>
              <w:spacing w:line="276" w:lineRule="auto"/>
              <w:jc w:val="center"/>
              <w:rPr>
                <w:rFonts w:asciiTheme="majorHAnsi" w:hAnsiTheme="majorHAnsi" w:cstheme="majorHAnsi"/>
                <w:b/>
                <w:color w:val="1F4E79" w:themeColor="accent1" w:themeShade="80"/>
                <w:sz w:val="18"/>
                <w:szCs w:val="18"/>
              </w:rPr>
            </w:pPr>
            <w:r w:rsidRPr="007C777C">
              <w:rPr>
                <w:rFonts w:asciiTheme="majorHAnsi" w:hAnsiTheme="majorHAnsi" w:cstheme="majorHAnsi"/>
                <w:b/>
                <w:color w:val="1F4E79" w:themeColor="accent1" w:themeShade="80"/>
                <w:sz w:val="18"/>
                <w:szCs w:val="18"/>
              </w:rPr>
              <w:t>SZANSE</w:t>
            </w:r>
          </w:p>
        </w:tc>
        <w:tc>
          <w:tcPr>
            <w:tcW w:w="2268" w:type="dxa"/>
            <w:shd w:val="clear" w:color="auto" w:fill="FFFFFF" w:themeFill="background1"/>
          </w:tcPr>
          <w:p w14:paraId="087178A0" w14:textId="77777777" w:rsidR="009F792C" w:rsidRPr="007C777C" w:rsidRDefault="009F792C" w:rsidP="007C777C">
            <w:pPr>
              <w:spacing w:line="276" w:lineRule="auto"/>
              <w:jc w:val="center"/>
              <w:rPr>
                <w:rFonts w:asciiTheme="majorHAnsi" w:hAnsiTheme="majorHAnsi" w:cstheme="majorHAnsi"/>
                <w:b/>
                <w:color w:val="1F4E79" w:themeColor="accent1" w:themeShade="80"/>
                <w:sz w:val="18"/>
                <w:szCs w:val="18"/>
              </w:rPr>
            </w:pPr>
          </w:p>
        </w:tc>
        <w:tc>
          <w:tcPr>
            <w:tcW w:w="2098" w:type="dxa"/>
            <w:gridSpan w:val="2"/>
            <w:shd w:val="clear" w:color="auto" w:fill="FFFFFF" w:themeFill="background1"/>
            <w:vAlign w:val="center"/>
          </w:tcPr>
          <w:p w14:paraId="042D59FC" w14:textId="77777777" w:rsidR="009F792C" w:rsidRPr="007C777C" w:rsidRDefault="009F792C" w:rsidP="007C777C">
            <w:pPr>
              <w:spacing w:line="276" w:lineRule="auto"/>
              <w:jc w:val="center"/>
              <w:rPr>
                <w:rFonts w:asciiTheme="majorHAnsi" w:hAnsiTheme="majorHAnsi" w:cstheme="majorHAnsi"/>
                <w:b/>
                <w:color w:val="1F4E79" w:themeColor="accent1" w:themeShade="80"/>
                <w:sz w:val="18"/>
                <w:szCs w:val="18"/>
              </w:rPr>
            </w:pPr>
          </w:p>
        </w:tc>
        <w:tc>
          <w:tcPr>
            <w:tcW w:w="2098" w:type="dxa"/>
            <w:gridSpan w:val="2"/>
            <w:shd w:val="clear" w:color="auto" w:fill="FFFFFF" w:themeFill="background1"/>
            <w:vAlign w:val="center"/>
          </w:tcPr>
          <w:p w14:paraId="5AE1D370" w14:textId="77777777" w:rsidR="009F792C" w:rsidRPr="007C777C" w:rsidRDefault="009F792C" w:rsidP="007C777C">
            <w:pPr>
              <w:spacing w:line="276" w:lineRule="auto"/>
              <w:jc w:val="center"/>
              <w:rPr>
                <w:rFonts w:asciiTheme="majorHAnsi" w:hAnsiTheme="majorHAnsi" w:cstheme="majorHAnsi"/>
                <w:b/>
                <w:color w:val="1F4E79" w:themeColor="accent1" w:themeShade="80"/>
                <w:sz w:val="18"/>
                <w:szCs w:val="18"/>
              </w:rPr>
            </w:pPr>
          </w:p>
          <w:p w14:paraId="2479670D" w14:textId="77777777" w:rsidR="009F792C" w:rsidRPr="007C777C" w:rsidRDefault="009F792C" w:rsidP="007C777C">
            <w:pPr>
              <w:spacing w:line="276" w:lineRule="auto"/>
              <w:jc w:val="center"/>
              <w:rPr>
                <w:rFonts w:asciiTheme="majorHAnsi" w:hAnsiTheme="majorHAnsi" w:cstheme="majorHAnsi"/>
                <w:b/>
                <w:color w:val="1F4E79" w:themeColor="accent1" w:themeShade="80"/>
                <w:sz w:val="18"/>
                <w:szCs w:val="18"/>
              </w:rPr>
            </w:pPr>
            <w:r w:rsidRPr="007C777C">
              <w:rPr>
                <w:rFonts w:asciiTheme="majorHAnsi" w:hAnsiTheme="majorHAnsi" w:cstheme="majorHAnsi"/>
                <w:b/>
                <w:color w:val="1F4E79" w:themeColor="accent1" w:themeShade="80"/>
                <w:sz w:val="18"/>
                <w:szCs w:val="18"/>
              </w:rPr>
              <w:t>ZAGROŻENIA</w:t>
            </w:r>
          </w:p>
        </w:tc>
      </w:tr>
      <w:tr w:rsidR="009F792C" w:rsidRPr="00F25EBD" w14:paraId="2E34022F" w14:textId="77777777" w:rsidTr="00646BD8">
        <w:trPr>
          <w:trHeight w:val="1864"/>
          <w:jc w:val="center"/>
        </w:trPr>
        <w:tc>
          <w:tcPr>
            <w:tcW w:w="2268" w:type="dxa"/>
            <w:shd w:val="clear" w:color="auto" w:fill="9CC2E5" w:themeFill="accent1" w:themeFillTint="99"/>
            <w:vAlign w:val="center"/>
          </w:tcPr>
          <w:p w14:paraId="3B6FEBCB" w14:textId="77777777" w:rsidR="009F792C" w:rsidRPr="00F25EBD" w:rsidRDefault="009F792C" w:rsidP="00646BD8">
            <w:pPr>
              <w:spacing w:line="276" w:lineRule="auto"/>
              <w:jc w:val="center"/>
              <w:rPr>
                <w:rFonts w:asciiTheme="majorHAnsi" w:hAnsiTheme="majorHAnsi" w:cstheme="majorHAnsi"/>
                <w:color w:val="FFFFFF" w:themeColor="background1"/>
                <w:sz w:val="18"/>
                <w:szCs w:val="18"/>
              </w:rPr>
            </w:pPr>
            <w:r w:rsidRPr="00F25EBD">
              <w:rPr>
                <w:rFonts w:asciiTheme="majorHAnsi" w:hAnsiTheme="majorHAnsi" w:cstheme="majorHAnsi"/>
                <w:color w:val="000000" w:themeColor="text1"/>
                <w:sz w:val="18"/>
                <w:szCs w:val="18"/>
              </w:rPr>
              <w:t>Realizacja inwestycji drogowych umożliwiające rozwój terenu w oparciu o intensywny ruch tranzytowy</w:t>
            </w:r>
          </w:p>
        </w:tc>
        <w:tc>
          <w:tcPr>
            <w:tcW w:w="2268" w:type="dxa"/>
            <w:shd w:val="clear" w:color="auto" w:fill="DEEAF6" w:themeFill="accent1" w:themeFillTint="33"/>
            <w:vAlign w:val="center"/>
          </w:tcPr>
          <w:p w14:paraId="4FB59320" w14:textId="77777777" w:rsidR="009F792C" w:rsidRPr="00F25EBD" w:rsidRDefault="009F792C" w:rsidP="00646BD8">
            <w:pPr>
              <w:spacing w:line="276" w:lineRule="auto"/>
              <w:contextualSpacing/>
              <w:jc w:val="center"/>
              <w:rPr>
                <w:rFonts w:asciiTheme="majorHAnsi" w:hAnsiTheme="majorHAnsi" w:cstheme="majorHAnsi"/>
                <w:sz w:val="18"/>
                <w:szCs w:val="20"/>
              </w:rPr>
            </w:pPr>
            <w:r w:rsidRPr="00F25EBD">
              <w:rPr>
                <w:rFonts w:asciiTheme="majorHAnsi" w:hAnsiTheme="majorHAnsi" w:cstheme="majorHAnsi"/>
                <w:color w:val="000000"/>
                <w:sz w:val="18"/>
                <w:szCs w:val="18"/>
              </w:rPr>
              <w:t>Priorytetowe traktowanie terenu Polski Wschodniej, w tym OF - możliwość wykorzystania środków lokowanych w Programie Operacyjnym Polska Wschodnia</w:t>
            </w:r>
          </w:p>
        </w:tc>
        <w:tc>
          <w:tcPr>
            <w:tcW w:w="236" w:type="dxa"/>
            <w:shd w:val="clear" w:color="auto" w:fill="FFFFFF" w:themeFill="background1"/>
            <w:vAlign w:val="center"/>
          </w:tcPr>
          <w:p w14:paraId="03DA1E4D" w14:textId="77777777" w:rsidR="009F792C" w:rsidRPr="00F25EBD" w:rsidRDefault="009F792C" w:rsidP="00FC7062">
            <w:pPr>
              <w:spacing w:line="276" w:lineRule="auto"/>
              <w:rPr>
                <w:rFonts w:asciiTheme="majorHAnsi" w:hAnsiTheme="majorHAnsi" w:cstheme="majorHAnsi"/>
                <w:sz w:val="18"/>
                <w:szCs w:val="18"/>
              </w:rPr>
            </w:pPr>
          </w:p>
        </w:tc>
        <w:tc>
          <w:tcPr>
            <w:tcW w:w="2065" w:type="dxa"/>
            <w:gridSpan w:val="2"/>
            <w:shd w:val="clear" w:color="auto" w:fill="EDEDED" w:themeFill="accent3" w:themeFillTint="33"/>
            <w:vAlign w:val="center"/>
          </w:tcPr>
          <w:p w14:paraId="61C9241F" w14:textId="77777777" w:rsidR="009F792C" w:rsidRPr="00F25EBD" w:rsidRDefault="009F792C" w:rsidP="00646BD8">
            <w:pPr>
              <w:spacing w:line="276" w:lineRule="auto"/>
              <w:jc w:val="center"/>
              <w:rPr>
                <w:rFonts w:asciiTheme="majorHAnsi" w:hAnsiTheme="majorHAnsi" w:cstheme="majorHAnsi"/>
                <w:sz w:val="18"/>
                <w:szCs w:val="18"/>
              </w:rPr>
            </w:pPr>
            <w:r w:rsidRPr="00F25EBD">
              <w:rPr>
                <w:rFonts w:asciiTheme="majorHAnsi" w:hAnsiTheme="majorHAnsi" w:cstheme="majorHAnsi"/>
                <w:sz w:val="18"/>
                <w:szCs w:val="18"/>
              </w:rPr>
              <w:t>Wysoka atrakcyjność osiedleńcza i edukacyjna konkurencyjnych ośrodków powiatów sąsiadujących z OF</w:t>
            </w:r>
          </w:p>
        </w:tc>
        <w:tc>
          <w:tcPr>
            <w:tcW w:w="2268" w:type="dxa"/>
            <w:gridSpan w:val="2"/>
            <w:shd w:val="clear" w:color="auto" w:fill="DEEAF6" w:themeFill="accent1" w:themeFillTint="33"/>
            <w:vAlign w:val="center"/>
          </w:tcPr>
          <w:p w14:paraId="7C7BA348" w14:textId="353A56EA" w:rsidR="009F792C" w:rsidRPr="00F25EBD" w:rsidRDefault="009F792C" w:rsidP="00526C81">
            <w:pPr>
              <w:spacing w:line="276" w:lineRule="auto"/>
              <w:jc w:val="center"/>
              <w:rPr>
                <w:rFonts w:asciiTheme="majorHAnsi" w:hAnsiTheme="majorHAnsi" w:cstheme="majorHAnsi"/>
                <w:sz w:val="18"/>
                <w:szCs w:val="18"/>
              </w:rPr>
            </w:pPr>
            <w:r w:rsidRPr="00F25EBD">
              <w:rPr>
                <w:rFonts w:asciiTheme="majorHAnsi" w:hAnsiTheme="majorHAnsi" w:cstheme="majorHAnsi"/>
                <w:sz w:val="18"/>
                <w:szCs w:val="18"/>
              </w:rPr>
              <w:t xml:space="preserve">Emigracja edukacyjna </w:t>
            </w:r>
            <w:r w:rsidR="00526C81">
              <w:rPr>
                <w:rFonts w:asciiTheme="majorHAnsi" w:hAnsiTheme="majorHAnsi" w:cstheme="majorHAnsi"/>
                <w:sz w:val="18"/>
                <w:szCs w:val="18"/>
              </w:rPr>
              <w:t xml:space="preserve">i </w:t>
            </w:r>
            <w:r w:rsidRPr="00F25EBD">
              <w:rPr>
                <w:rFonts w:asciiTheme="majorHAnsi" w:hAnsiTheme="majorHAnsi" w:cstheme="majorHAnsi"/>
                <w:sz w:val="18"/>
                <w:szCs w:val="18"/>
              </w:rPr>
              <w:t>zarobkowa młodych mieszkańców OF</w:t>
            </w:r>
          </w:p>
        </w:tc>
      </w:tr>
      <w:tr w:rsidR="009F792C" w:rsidRPr="00F25EBD" w14:paraId="4F7EB1BE" w14:textId="77777777" w:rsidTr="00646BD8">
        <w:trPr>
          <w:trHeight w:val="1871"/>
          <w:jc w:val="center"/>
        </w:trPr>
        <w:tc>
          <w:tcPr>
            <w:tcW w:w="2268" w:type="dxa"/>
            <w:shd w:val="clear" w:color="auto" w:fill="EDEDED" w:themeFill="accent3" w:themeFillTint="33"/>
            <w:vAlign w:val="center"/>
          </w:tcPr>
          <w:p w14:paraId="1C4496D3" w14:textId="77777777" w:rsidR="009F792C" w:rsidRPr="00F25EBD" w:rsidRDefault="00FA2C2B" w:rsidP="00646BD8">
            <w:pPr>
              <w:spacing w:after="60" w:line="276" w:lineRule="auto"/>
              <w:contextualSpacing/>
              <w:jc w:val="center"/>
              <w:rPr>
                <w:rFonts w:asciiTheme="majorHAnsi" w:hAnsiTheme="majorHAnsi" w:cstheme="majorHAnsi"/>
                <w:sz w:val="18"/>
                <w:szCs w:val="18"/>
              </w:rPr>
            </w:pPr>
            <w:r w:rsidRPr="00F25EBD">
              <w:rPr>
                <w:rFonts w:asciiTheme="majorHAnsi" w:hAnsiTheme="majorHAnsi" w:cstheme="majorHAnsi"/>
                <w:sz w:val="18"/>
                <w:szCs w:val="18"/>
              </w:rPr>
              <w:t>Dostępność systemowego (na poziomie krajowym i regionalnym) wsparcia dla podmiotów ekonomii społecznej jako alternatywnej formy działalności gospodarczej i aktywności zawodowej</w:t>
            </w:r>
          </w:p>
        </w:tc>
        <w:tc>
          <w:tcPr>
            <w:tcW w:w="2268" w:type="dxa"/>
            <w:shd w:val="clear" w:color="auto" w:fill="D5DCE4" w:themeFill="text2" w:themeFillTint="33"/>
            <w:vAlign w:val="center"/>
          </w:tcPr>
          <w:p w14:paraId="0E5AD6A6" w14:textId="77777777" w:rsidR="009F792C" w:rsidRPr="00F25EBD" w:rsidRDefault="00DC15C6" w:rsidP="00646BD8">
            <w:pPr>
              <w:spacing w:after="60" w:line="276" w:lineRule="auto"/>
              <w:jc w:val="center"/>
              <w:rPr>
                <w:rFonts w:asciiTheme="majorHAnsi" w:hAnsiTheme="majorHAnsi" w:cstheme="majorHAnsi"/>
                <w:sz w:val="18"/>
                <w:szCs w:val="20"/>
              </w:rPr>
            </w:pPr>
            <w:r w:rsidRPr="00F25EBD">
              <w:rPr>
                <w:rFonts w:asciiTheme="majorHAnsi" w:hAnsiTheme="majorHAnsi" w:cstheme="majorHAnsi"/>
                <w:sz w:val="18"/>
                <w:szCs w:val="20"/>
              </w:rPr>
              <w:t>Rozwój usług turystycznych bazujący na poprawie, jakości infrastruktury drogowej, rowerowej, komunikacyjnej</w:t>
            </w:r>
          </w:p>
        </w:tc>
        <w:tc>
          <w:tcPr>
            <w:tcW w:w="236" w:type="dxa"/>
            <w:shd w:val="clear" w:color="auto" w:fill="FFFFFF" w:themeFill="background1"/>
            <w:vAlign w:val="center"/>
          </w:tcPr>
          <w:p w14:paraId="4DE96869" w14:textId="77777777" w:rsidR="009F792C" w:rsidRPr="00F25EBD" w:rsidRDefault="009F792C" w:rsidP="00FC7062">
            <w:pPr>
              <w:spacing w:line="276" w:lineRule="auto"/>
              <w:rPr>
                <w:rFonts w:asciiTheme="majorHAnsi" w:hAnsiTheme="majorHAnsi" w:cstheme="majorHAnsi"/>
                <w:sz w:val="18"/>
                <w:szCs w:val="18"/>
              </w:rPr>
            </w:pPr>
          </w:p>
        </w:tc>
        <w:tc>
          <w:tcPr>
            <w:tcW w:w="2065" w:type="dxa"/>
            <w:gridSpan w:val="2"/>
            <w:shd w:val="clear" w:color="auto" w:fill="9CC2E5" w:themeFill="accent1" w:themeFillTint="99"/>
            <w:vAlign w:val="center"/>
          </w:tcPr>
          <w:p w14:paraId="0E575046" w14:textId="77777777" w:rsidR="009F792C" w:rsidRPr="00F25EBD" w:rsidRDefault="009F792C" w:rsidP="00646BD8">
            <w:pPr>
              <w:spacing w:line="276" w:lineRule="auto"/>
              <w:jc w:val="center"/>
              <w:rPr>
                <w:rFonts w:asciiTheme="majorHAnsi" w:hAnsiTheme="majorHAnsi" w:cstheme="majorHAnsi"/>
                <w:sz w:val="18"/>
                <w:szCs w:val="18"/>
              </w:rPr>
            </w:pPr>
            <w:r w:rsidRPr="00F25EBD">
              <w:rPr>
                <w:rFonts w:asciiTheme="majorHAnsi" w:hAnsiTheme="majorHAnsi" w:cstheme="majorHAnsi"/>
                <w:sz w:val="18"/>
                <w:szCs w:val="18"/>
              </w:rPr>
              <w:t>Wzrost wymagań prawnych w zakresie gospodarki finansowej gmin, wpływającej na ich zdolność inwestycyjną</w:t>
            </w:r>
          </w:p>
        </w:tc>
        <w:tc>
          <w:tcPr>
            <w:tcW w:w="2268" w:type="dxa"/>
            <w:gridSpan w:val="2"/>
            <w:shd w:val="clear" w:color="auto" w:fill="F2F2F2" w:themeFill="background1" w:themeFillShade="F2"/>
            <w:vAlign w:val="center"/>
          </w:tcPr>
          <w:p w14:paraId="46AF55E3" w14:textId="77777777" w:rsidR="009F792C" w:rsidRPr="00F25EBD" w:rsidRDefault="009F792C" w:rsidP="00646BD8">
            <w:pPr>
              <w:spacing w:line="276" w:lineRule="auto"/>
              <w:jc w:val="center"/>
              <w:rPr>
                <w:rFonts w:asciiTheme="majorHAnsi" w:hAnsiTheme="majorHAnsi" w:cstheme="majorHAnsi"/>
                <w:sz w:val="18"/>
                <w:szCs w:val="18"/>
              </w:rPr>
            </w:pPr>
            <w:r w:rsidRPr="00F25EBD">
              <w:rPr>
                <w:rFonts w:asciiTheme="majorHAnsi" w:hAnsiTheme="majorHAnsi" w:cstheme="majorHAnsi"/>
                <w:sz w:val="18"/>
                <w:szCs w:val="18"/>
              </w:rPr>
              <w:t>Niska jakość przepisów prawa, wpływająca w szczególności na przedłużenie procesów inwestycyjnych oraz utrudniająca współpracę pomiędzy JST</w:t>
            </w:r>
          </w:p>
        </w:tc>
      </w:tr>
      <w:tr w:rsidR="009F792C" w:rsidRPr="00F25EBD" w14:paraId="707D3AE7" w14:textId="77777777" w:rsidTr="00646BD8">
        <w:trPr>
          <w:trHeight w:val="1871"/>
          <w:jc w:val="center"/>
        </w:trPr>
        <w:tc>
          <w:tcPr>
            <w:tcW w:w="2268" w:type="dxa"/>
            <w:shd w:val="clear" w:color="auto" w:fill="DEEAF6" w:themeFill="accent1" w:themeFillTint="33"/>
            <w:vAlign w:val="center"/>
          </w:tcPr>
          <w:p w14:paraId="4A759C6A" w14:textId="22E362DB" w:rsidR="009F792C" w:rsidRPr="00F25EBD" w:rsidRDefault="00FA2C2B" w:rsidP="00646BD8">
            <w:pPr>
              <w:spacing w:line="276" w:lineRule="auto"/>
              <w:jc w:val="center"/>
              <w:rPr>
                <w:rFonts w:asciiTheme="majorHAnsi" w:hAnsiTheme="majorHAnsi" w:cstheme="majorHAnsi"/>
                <w:sz w:val="18"/>
                <w:szCs w:val="18"/>
              </w:rPr>
            </w:pPr>
            <w:r w:rsidRPr="00F25EBD">
              <w:rPr>
                <w:rFonts w:asciiTheme="majorHAnsi" w:hAnsiTheme="majorHAnsi" w:cstheme="majorHAnsi"/>
                <w:sz w:val="18"/>
              </w:rPr>
              <w:t>Budowanie wizerunku OF w oparciu o walory środowiskowe i lokalizację</w:t>
            </w:r>
          </w:p>
        </w:tc>
        <w:tc>
          <w:tcPr>
            <w:tcW w:w="2268" w:type="dxa"/>
            <w:shd w:val="clear" w:color="auto" w:fill="F2F2F2" w:themeFill="background1" w:themeFillShade="F2"/>
            <w:vAlign w:val="center"/>
          </w:tcPr>
          <w:p w14:paraId="1CFE78E9" w14:textId="77777777" w:rsidR="009F792C" w:rsidRPr="00F25EBD" w:rsidRDefault="00DC15C6" w:rsidP="00646BD8">
            <w:pPr>
              <w:tabs>
                <w:tab w:val="left" w:pos="0"/>
              </w:tabs>
              <w:spacing w:line="276" w:lineRule="auto"/>
              <w:jc w:val="center"/>
              <w:rPr>
                <w:rFonts w:asciiTheme="majorHAnsi" w:hAnsiTheme="majorHAnsi" w:cstheme="majorHAnsi"/>
                <w:color w:val="000000"/>
                <w:sz w:val="18"/>
                <w:szCs w:val="18"/>
              </w:rPr>
            </w:pPr>
            <w:r w:rsidRPr="00F25EBD">
              <w:rPr>
                <w:rFonts w:asciiTheme="majorHAnsi" w:hAnsiTheme="majorHAnsi" w:cstheme="majorHAnsi"/>
                <w:sz w:val="18"/>
              </w:rPr>
              <w:t>Wzmocnienie lokalnej gospodarki poprzez zachęty inwestycyjne dla lokalnych przedsiębiorców</w:t>
            </w:r>
          </w:p>
        </w:tc>
        <w:tc>
          <w:tcPr>
            <w:tcW w:w="236" w:type="dxa"/>
            <w:shd w:val="clear" w:color="auto" w:fill="FFFFFF" w:themeFill="background1"/>
            <w:vAlign w:val="center"/>
          </w:tcPr>
          <w:p w14:paraId="6971336C" w14:textId="77777777" w:rsidR="009F792C" w:rsidRPr="00F25EBD" w:rsidRDefault="009F792C" w:rsidP="00FC7062">
            <w:pPr>
              <w:spacing w:line="276" w:lineRule="auto"/>
              <w:rPr>
                <w:rFonts w:asciiTheme="majorHAnsi" w:hAnsiTheme="majorHAnsi" w:cstheme="majorHAnsi"/>
                <w:sz w:val="18"/>
                <w:szCs w:val="18"/>
              </w:rPr>
            </w:pPr>
          </w:p>
        </w:tc>
        <w:tc>
          <w:tcPr>
            <w:tcW w:w="2065" w:type="dxa"/>
            <w:gridSpan w:val="2"/>
            <w:shd w:val="clear" w:color="auto" w:fill="DEEAF6" w:themeFill="accent1" w:themeFillTint="33"/>
            <w:vAlign w:val="center"/>
          </w:tcPr>
          <w:p w14:paraId="36CE9997" w14:textId="77777777" w:rsidR="009F792C" w:rsidRPr="00F25EBD" w:rsidRDefault="009F792C" w:rsidP="00646BD8">
            <w:pPr>
              <w:spacing w:line="276" w:lineRule="auto"/>
              <w:jc w:val="center"/>
              <w:rPr>
                <w:rFonts w:asciiTheme="majorHAnsi" w:hAnsiTheme="majorHAnsi" w:cstheme="majorHAnsi"/>
                <w:sz w:val="18"/>
                <w:szCs w:val="18"/>
              </w:rPr>
            </w:pPr>
            <w:r w:rsidRPr="00F25EBD">
              <w:rPr>
                <w:rFonts w:asciiTheme="majorHAnsi" w:hAnsiTheme="majorHAnsi" w:cstheme="majorHAnsi"/>
                <w:sz w:val="18"/>
                <w:szCs w:val="18"/>
              </w:rPr>
              <w:t>Istnienie konieczności ochrony bogatej bioróżnorodności fauny i flory na terenie OF</w:t>
            </w:r>
          </w:p>
        </w:tc>
        <w:tc>
          <w:tcPr>
            <w:tcW w:w="2268" w:type="dxa"/>
            <w:gridSpan w:val="2"/>
            <w:shd w:val="clear" w:color="auto" w:fill="E2EFD9" w:themeFill="accent6" w:themeFillTint="33"/>
            <w:vAlign w:val="center"/>
          </w:tcPr>
          <w:p w14:paraId="2EE70A27" w14:textId="77777777" w:rsidR="009F792C" w:rsidRPr="00F25EBD" w:rsidRDefault="009F792C" w:rsidP="00646BD8">
            <w:pPr>
              <w:spacing w:line="276" w:lineRule="auto"/>
              <w:jc w:val="center"/>
              <w:rPr>
                <w:rFonts w:asciiTheme="majorHAnsi" w:hAnsiTheme="majorHAnsi" w:cstheme="majorHAnsi"/>
                <w:sz w:val="18"/>
                <w:szCs w:val="18"/>
              </w:rPr>
            </w:pPr>
            <w:r w:rsidRPr="00F25EBD">
              <w:rPr>
                <w:rFonts w:asciiTheme="majorHAnsi" w:hAnsiTheme="majorHAnsi" w:cstheme="majorHAnsi"/>
                <w:sz w:val="18"/>
                <w:szCs w:val="18"/>
              </w:rPr>
              <w:t xml:space="preserve">Zwiększanie ponoszonych przez samorządy nakładów na edukację i pomoc społeczną przy braku systemowych rozwiązań </w:t>
            </w:r>
            <w:r w:rsidRPr="00F25EBD">
              <w:rPr>
                <w:rFonts w:asciiTheme="majorHAnsi" w:hAnsiTheme="majorHAnsi" w:cstheme="majorHAnsi"/>
                <w:sz w:val="18"/>
                <w:szCs w:val="18"/>
              </w:rPr>
              <w:br/>
              <w:t>w tych obszarach</w:t>
            </w:r>
          </w:p>
        </w:tc>
      </w:tr>
      <w:tr w:rsidR="00DC15C6" w:rsidRPr="00F25EBD" w14:paraId="2FD81FF0" w14:textId="77777777" w:rsidTr="00646BD8">
        <w:trPr>
          <w:trHeight w:val="391"/>
          <w:jc w:val="center"/>
        </w:trPr>
        <w:tc>
          <w:tcPr>
            <w:tcW w:w="2268" w:type="dxa"/>
            <w:shd w:val="clear" w:color="auto" w:fill="auto"/>
            <w:vAlign w:val="center"/>
          </w:tcPr>
          <w:p w14:paraId="0F49ADBA" w14:textId="77777777" w:rsidR="00DC15C6" w:rsidRPr="00F25EBD" w:rsidRDefault="00DC15C6" w:rsidP="00FC7062">
            <w:pPr>
              <w:spacing w:line="276" w:lineRule="auto"/>
              <w:rPr>
                <w:rFonts w:asciiTheme="majorHAnsi" w:hAnsiTheme="majorHAnsi" w:cstheme="majorHAnsi"/>
              </w:rPr>
            </w:pPr>
          </w:p>
        </w:tc>
        <w:tc>
          <w:tcPr>
            <w:tcW w:w="2268" w:type="dxa"/>
            <w:shd w:val="clear" w:color="auto" w:fill="auto"/>
            <w:vAlign w:val="center"/>
          </w:tcPr>
          <w:p w14:paraId="189A6B26" w14:textId="77777777" w:rsidR="00DC15C6" w:rsidRPr="00F25EBD" w:rsidRDefault="00DC15C6" w:rsidP="00FC7062">
            <w:pPr>
              <w:tabs>
                <w:tab w:val="left" w:pos="0"/>
              </w:tabs>
              <w:spacing w:line="276" w:lineRule="auto"/>
              <w:rPr>
                <w:rFonts w:asciiTheme="majorHAnsi" w:hAnsiTheme="majorHAnsi" w:cstheme="majorHAnsi"/>
              </w:rPr>
            </w:pPr>
          </w:p>
        </w:tc>
        <w:tc>
          <w:tcPr>
            <w:tcW w:w="236" w:type="dxa"/>
            <w:shd w:val="clear" w:color="auto" w:fill="FFFFFF" w:themeFill="background1"/>
            <w:vAlign w:val="center"/>
          </w:tcPr>
          <w:p w14:paraId="770D5B95" w14:textId="77777777" w:rsidR="00DC15C6" w:rsidRPr="00F25EBD" w:rsidRDefault="00DC15C6" w:rsidP="00FC7062">
            <w:pPr>
              <w:spacing w:line="276" w:lineRule="auto"/>
              <w:rPr>
                <w:rFonts w:asciiTheme="majorHAnsi" w:hAnsiTheme="majorHAnsi" w:cstheme="majorHAnsi"/>
                <w:sz w:val="18"/>
                <w:szCs w:val="18"/>
              </w:rPr>
            </w:pPr>
          </w:p>
        </w:tc>
        <w:tc>
          <w:tcPr>
            <w:tcW w:w="2065" w:type="dxa"/>
            <w:gridSpan w:val="2"/>
            <w:shd w:val="clear" w:color="auto" w:fill="D0CECE" w:themeFill="background2" w:themeFillShade="E6"/>
            <w:vAlign w:val="center"/>
          </w:tcPr>
          <w:p w14:paraId="567F479B" w14:textId="77777777" w:rsidR="00DC15C6" w:rsidRPr="00F25EBD" w:rsidRDefault="00FA2C2B" w:rsidP="00646BD8">
            <w:pPr>
              <w:spacing w:line="276" w:lineRule="auto"/>
              <w:jc w:val="center"/>
              <w:rPr>
                <w:rFonts w:asciiTheme="majorHAnsi" w:hAnsiTheme="majorHAnsi" w:cstheme="majorHAnsi"/>
                <w:sz w:val="18"/>
                <w:szCs w:val="18"/>
              </w:rPr>
            </w:pPr>
            <w:r w:rsidRPr="00F25EBD">
              <w:rPr>
                <w:rFonts w:asciiTheme="majorHAnsi" w:hAnsiTheme="majorHAnsi" w:cstheme="majorHAnsi"/>
                <w:sz w:val="18"/>
                <w:szCs w:val="18"/>
              </w:rPr>
              <w:t>Zmniejszone środki dotacyjne w nowej perspektywie UE</w:t>
            </w:r>
          </w:p>
        </w:tc>
        <w:tc>
          <w:tcPr>
            <w:tcW w:w="2268" w:type="dxa"/>
            <w:gridSpan w:val="2"/>
            <w:shd w:val="clear" w:color="auto" w:fill="F2F2F2" w:themeFill="background1" w:themeFillShade="F2"/>
            <w:vAlign w:val="center"/>
          </w:tcPr>
          <w:p w14:paraId="6BEAF579" w14:textId="77777777" w:rsidR="00DC15C6" w:rsidRPr="00F25EBD" w:rsidRDefault="00FA2C2B" w:rsidP="00646BD8">
            <w:pPr>
              <w:spacing w:line="276" w:lineRule="auto"/>
              <w:jc w:val="center"/>
              <w:rPr>
                <w:rFonts w:asciiTheme="majorHAnsi" w:hAnsiTheme="majorHAnsi" w:cstheme="majorHAnsi"/>
                <w:sz w:val="18"/>
                <w:szCs w:val="18"/>
              </w:rPr>
            </w:pPr>
            <w:r w:rsidRPr="00F25EBD">
              <w:rPr>
                <w:rFonts w:asciiTheme="majorHAnsi" w:hAnsiTheme="majorHAnsi" w:cstheme="majorHAnsi"/>
                <w:sz w:val="18"/>
                <w:szCs w:val="18"/>
              </w:rPr>
              <w:t>Trudności związane z finansowaniem inwestycji powiatowych (brak wolnych środków budżetowych, ograniczenie subwencji zewnętrznych, spadek dochodów budżetu z podatków)</w:t>
            </w:r>
          </w:p>
        </w:tc>
      </w:tr>
      <w:tr w:rsidR="00FA2C2B" w:rsidRPr="00F25EBD" w14:paraId="2699CA5F" w14:textId="77777777" w:rsidTr="00646BD8">
        <w:trPr>
          <w:trHeight w:val="391"/>
          <w:jc w:val="center"/>
        </w:trPr>
        <w:tc>
          <w:tcPr>
            <w:tcW w:w="2268" w:type="dxa"/>
            <w:shd w:val="clear" w:color="auto" w:fill="auto"/>
            <w:vAlign w:val="center"/>
          </w:tcPr>
          <w:p w14:paraId="114E1321" w14:textId="77777777" w:rsidR="00FA2C2B" w:rsidRPr="00F25EBD" w:rsidRDefault="00FA2C2B" w:rsidP="00FC7062">
            <w:pPr>
              <w:spacing w:line="276" w:lineRule="auto"/>
              <w:rPr>
                <w:rFonts w:asciiTheme="majorHAnsi" w:hAnsiTheme="majorHAnsi" w:cstheme="majorHAnsi"/>
              </w:rPr>
            </w:pPr>
          </w:p>
        </w:tc>
        <w:tc>
          <w:tcPr>
            <w:tcW w:w="2268" w:type="dxa"/>
            <w:shd w:val="clear" w:color="auto" w:fill="auto"/>
            <w:vAlign w:val="center"/>
          </w:tcPr>
          <w:p w14:paraId="7B40A3C3" w14:textId="77777777" w:rsidR="00FA2C2B" w:rsidRPr="00F25EBD" w:rsidRDefault="00FA2C2B" w:rsidP="00FC7062">
            <w:pPr>
              <w:tabs>
                <w:tab w:val="left" w:pos="0"/>
              </w:tabs>
              <w:spacing w:line="276" w:lineRule="auto"/>
              <w:rPr>
                <w:rFonts w:asciiTheme="majorHAnsi" w:hAnsiTheme="majorHAnsi" w:cstheme="majorHAnsi"/>
              </w:rPr>
            </w:pPr>
          </w:p>
        </w:tc>
        <w:tc>
          <w:tcPr>
            <w:tcW w:w="236" w:type="dxa"/>
            <w:shd w:val="clear" w:color="auto" w:fill="FFFFFF" w:themeFill="background1"/>
            <w:vAlign w:val="center"/>
          </w:tcPr>
          <w:p w14:paraId="79D77AAE" w14:textId="77777777" w:rsidR="00FA2C2B" w:rsidRPr="00F25EBD" w:rsidRDefault="00FA2C2B" w:rsidP="00FC7062">
            <w:pPr>
              <w:spacing w:line="276" w:lineRule="auto"/>
              <w:rPr>
                <w:rFonts w:asciiTheme="majorHAnsi" w:hAnsiTheme="majorHAnsi" w:cstheme="majorHAnsi"/>
                <w:sz w:val="18"/>
                <w:szCs w:val="18"/>
              </w:rPr>
            </w:pPr>
          </w:p>
        </w:tc>
        <w:tc>
          <w:tcPr>
            <w:tcW w:w="2065" w:type="dxa"/>
            <w:gridSpan w:val="2"/>
            <w:shd w:val="clear" w:color="auto" w:fill="DEEAF6" w:themeFill="accent1" w:themeFillTint="33"/>
            <w:vAlign w:val="center"/>
          </w:tcPr>
          <w:p w14:paraId="5A8A5561" w14:textId="77777777" w:rsidR="00FA2C2B" w:rsidRPr="00F25EBD" w:rsidRDefault="00FA2C2B" w:rsidP="00646BD8">
            <w:pPr>
              <w:spacing w:line="276" w:lineRule="auto"/>
              <w:jc w:val="center"/>
              <w:rPr>
                <w:rFonts w:asciiTheme="majorHAnsi" w:hAnsiTheme="majorHAnsi" w:cstheme="majorHAnsi"/>
                <w:sz w:val="18"/>
                <w:szCs w:val="18"/>
              </w:rPr>
            </w:pPr>
            <w:r w:rsidRPr="00F25EBD">
              <w:rPr>
                <w:rFonts w:asciiTheme="majorHAnsi" w:hAnsiTheme="majorHAnsi" w:cstheme="majorHAnsi"/>
                <w:sz w:val="18"/>
                <w:szCs w:val="18"/>
              </w:rPr>
              <w:t>Dalszy wzrost obciążenia samorządów (nowe zakresy zadań) bez zapewnienia wystarczających środków</w:t>
            </w:r>
          </w:p>
        </w:tc>
        <w:tc>
          <w:tcPr>
            <w:tcW w:w="2268" w:type="dxa"/>
            <w:gridSpan w:val="2"/>
            <w:shd w:val="clear" w:color="auto" w:fill="E2EFD9" w:themeFill="accent6" w:themeFillTint="33"/>
            <w:vAlign w:val="center"/>
          </w:tcPr>
          <w:p w14:paraId="07FA40EF" w14:textId="77777777" w:rsidR="00FA2C2B" w:rsidRPr="00F25EBD" w:rsidRDefault="00FA2C2B" w:rsidP="00646BD8">
            <w:pPr>
              <w:spacing w:line="276" w:lineRule="auto"/>
              <w:jc w:val="center"/>
              <w:rPr>
                <w:rFonts w:asciiTheme="majorHAnsi" w:hAnsiTheme="majorHAnsi" w:cstheme="majorHAnsi"/>
                <w:sz w:val="18"/>
                <w:szCs w:val="18"/>
              </w:rPr>
            </w:pPr>
            <w:r w:rsidRPr="00F25EBD">
              <w:rPr>
                <w:rFonts w:asciiTheme="majorHAnsi" w:hAnsiTheme="majorHAnsi" w:cstheme="majorHAnsi"/>
                <w:sz w:val="18"/>
                <w:szCs w:val="18"/>
              </w:rPr>
              <w:t>Pogłębianie się kryzysu finansów publicznych w kraju</w:t>
            </w:r>
          </w:p>
        </w:tc>
      </w:tr>
      <w:tr w:rsidR="00FA2C2B" w:rsidRPr="00F25EBD" w14:paraId="308030AF" w14:textId="77777777" w:rsidTr="00646BD8">
        <w:trPr>
          <w:trHeight w:val="391"/>
          <w:jc w:val="center"/>
        </w:trPr>
        <w:tc>
          <w:tcPr>
            <w:tcW w:w="2268" w:type="dxa"/>
            <w:shd w:val="clear" w:color="auto" w:fill="auto"/>
            <w:vAlign w:val="center"/>
          </w:tcPr>
          <w:p w14:paraId="74F5652B" w14:textId="77777777" w:rsidR="00FA2C2B" w:rsidRPr="00F25EBD" w:rsidRDefault="00FA2C2B" w:rsidP="00FC7062">
            <w:pPr>
              <w:spacing w:line="276" w:lineRule="auto"/>
              <w:rPr>
                <w:rFonts w:asciiTheme="majorHAnsi" w:hAnsiTheme="majorHAnsi" w:cstheme="majorHAnsi"/>
              </w:rPr>
            </w:pPr>
          </w:p>
        </w:tc>
        <w:tc>
          <w:tcPr>
            <w:tcW w:w="2268" w:type="dxa"/>
            <w:shd w:val="clear" w:color="auto" w:fill="auto"/>
            <w:vAlign w:val="center"/>
          </w:tcPr>
          <w:p w14:paraId="0537077A" w14:textId="77777777" w:rsidR="00FA2C2B" w:rsidRPr="00F25EBD" w:rsidRDefault="00FA2C2B" w:rsidP="00FC7062">
            <w:pPr>
              <w:tabs>
                <w:tab w:val="left" w:pos="0"/>
              </w:tabs>
              <w:spacing w:line="276" w:lineRule="auto"/>
              <w:rPr>
                <w:rFonts w:asciiTheme="majorHAnsi" w:hAnsiTheme="majorHAnsi" w:cstheme="majorHAnsi"/>
              </w:rPr>
            </w:pPr>
          </w:p>
        </w:tc>
        <w:tc>
          <w:tcPr>
            <w:tcW w:w="236" w:type="dxa"/>
            <w:shd w:val="clear" w:color="auto" w:fill="FFFFFF" w:themeFill="background1"/>
            <w:vAlign w:val="center"/>
          </w:tcPr>
          <w:p w14:paraId="2B2699AE" w14:textId="77777777" w:rsidR="00FA2C2B" w:rsidRPr="00F25EBD" w:rsidRDefault="00FA2C2B" w:rsidP="00FC7062">
            <w:pPr>
              <w:spacing w:line="276" w:lineRule="auto"/>
              <w:rPr>
                <w:rFonts w:asciiTheme="majorHAnsi" w:hAnsiTheme="majorHAnsi" w:cstheme="majorHAnsi"/>
                <w:sz w:val="18"/>
                <w:szCs w:val="18"/>
              </w:rPr>
            </w:pPr>
          </w:p>
        </w:tc>
        <w:tc>
          <w:tcPr>
            <w:tcW w:w="2065" w:type="dxa"/>
            <w:gridSpan w:val="2"/>
            <w:shd w:val="clear" w:color="auto" w:fill="F2F2F2" w:themeFill="background1" w:themeFillShade="F2"/>
            <w:vAlign w:val="center"/>
          </w:tcPr>
          <w:p w14:paraId="02E27132" w14:textId="7053C465" w:rsidR="00FA2C2B" w:rsidRPr="00F25EBD" w:rsidRDefault="00FA2C2B" w:rsidP="00646BD8">
            <w:pPr>
              <w:spacing w:line="276" w:lineRule="auto"/>
              <w:jc w:val="center"/>
              <w:rPr>
                <w:rFonts w:asciiTheme="majorHAnsi" w:hAnsiTheme="majorHAnsi" w:cstheme="majorHAnsi"/>
                <w:sz w:val="18"/>
                <w:szCs w:val="18"/>
              </w:rPr>
            </w:pPr>
            <w:r w:rsidRPr="00F25EBD">
              <w:rPr>
                <w:rFonts w:asciiTheme="majorHAnsi" w:hAnsiTheme="majorHAnsi" w:cstheme="majorHAnsi"/>
                <w:sz w:val="18"/>
                <w:szCs w:val="18"/>
              </w:rPr>
              <w:t xml:space="preserve">Wysoka konkurencja sąsiednich powiatów w zakresie przyciągania </w:t>
            </w:r>
          </w:p>
        </w:tc>
        <w:tc>
          <w:tcPr>
            <w:tcW w:w="2268" w:type="dxa"/>
            <w:gridSpan w:val="2"/>
            <w:shd w:val="clear" w:color="auto" w:fill="DEEAF6" w:themeFill="accent1" w:themeFillTint="33"/>
            <w:vAlign w:val="center"/>
          </w:tcPr>
          <w:p w14:paraId="441D3B7E" w14:textId="77777777" w:rsidR="00FA2C2B" w:rsidRPr="00F25EBD" w:rsidRDefault="009628FB" w:rsidP="00646BD8">
            <w:pPr>
              <w:spacing w:line="276" w:lineRule="auto"/>
              <w:jc w:val="center"/>
              <w:rPr>
                <w:rFonts w:asciiTheme="majorHAnsi" w:hAnsiTheme="majorHAnsi" w:cstheme="majorHAnsi"/>
                <w:sz w:val="18"/>
                <w:szCs w:val="18"/>
              </w:rPr>
            </w:pPr>
            <w:r w:rsidRPr="00F25EBD">
              <w:rPr>
                <w:rFonts w:asciiTheme="majorHAnsi" w:hAnsiTheme="majorHAnsi" w:cstheme="majorHAnsi"/>
                <w:sz w:val="18"/>
                <w:szCs w:val="18"/>
              </w:rPr>
              <w:t>Wzrost występowania miejscowych zagrożeń, w większości związane ze zniszczeniami wynikającymi z ekstremalnych zjawisk pogodowych</w:t>
            </w:r>
          </w:p>
        </w:tc>
      </w:tr>
    </w:tbl>
    <w:p w14:paraId="40D8873C" w14:textId="77777777" w:rsidR="005E5F88" w:rsidRPr="00F25EBD" w:rsidRDefault="005E5F88" w:rsidP="00FC7062">
      <w:pPr>
        <w:spacing w:line="276" w:lineRule="auto"/>
        <w:rPr>
          <w:rFonts w:asciiTheme="majorHAnsi" w:hAnsiTheme="majorHAnsi" w:cstheme="majorHAnsi"/>
        </w:rPr>
      </w:pPr>
      <w:r w:rsidRPr="00F25EBD">
        <w:rPr>
          <w:rFonts w:asciiTheme="majorHAnsi" w:hAnsiTheme="majorHAnsi" w:cstheme="majorHAnsi"/>
        </w:rPr>
        <w:br w:type="page"/>
      </w:r>
    </w:p>
    <w:p w14:paraId="2EF61587" w14:textId="44AA68DA" w:rsidR="005E4E72" w:rsidRPr="00F25EBD" w:rsidRDefault="00646BD8" w:rsidP="00646BD8">
      <w:pPr>
        <w:pStyle w:val="Nagwek1"/>
        <w:spacing w:line="276" w:lineRule="auto"/>
        <w:jc w:val="both"/>
        <w:rPr>
          <w:rFonts w:cstheme="majorHAnsi"/>
        </w:rPr>
      </w:pPr>
      <w:bookmarkStart w:id="108" w:name="_Toc77070633"/>
      <w:r>
        <w:rPr>
          <w:rFonts w:cstheme="majorHAnsi"/>
        </w:rPr>
        <w:t xml:space="preserve">10. </w:t>
      </w:r>
      <w:r w:rsidR="005E4E72" w:rsidRPr="00F25EBD">
        <w:rPr>
          <w:rFonts w:cstheme="majorHAnsi"/>
        </w:rPr>
        <w:t xml:space="preserve">Wizja </w:t>
      </w:r>
      <w:r w:rsidR="000C35E1">
        <w:rPr>
          <w:rFonts w:cstheme="majorHAnsi"/>
        </w:rPr>
        <w:t>i misja</w:t>
      </w:r>
      <w:r w:rsidR="00C806A1" w:rsidRPr="00C806A1">
        <w:t xml:space="preserve"> </w:t>
      </w:r>
      <w:r w:rsidR="00C806A1" w:rsidRPr="00C806A1">
        <w:rPr>
          <w:rFonts w:cstheme="majorHAnsi"/>
        </w:rPr>
        <w:t>Obszaru Funkcjonalnego Południowe Mazury</w:t>
      </w:r>
      <w:bookmarkEnd w:id="108"/>
    </w:p>
    <w:p w14:paraId="1242260F" w14:textId="5D87ADF8" w:rsidR="00D54FC0" w:rsidRPr="00F25EBD" w:rsidRDefault="00D54FC0" w:rsidP="00FC7062">
      <w:pPr>
        <w:pStyle w:val="NormZIT"/>
        <w:rPr>
          <w:rFonts w:cstheme="majorHAnsi"/>
        </w:rPr>
      </w:pPr>
      <w:r w:rsidRPr="00F25EBD">
        <w:rPr>
          <w:rFonts w:cstheme="majorHAnsi"/>
        </w:rPr>
        <w:t>Zdefiniowa</w:t>
      </w:r>
      <w:r w:rsidR="00C46113" w:rsidRPr="00F25EBD">
        <w:rPr>
          <w:rFonts w:cstheme="majorHAnsi"/>
        </w:rPr>
        <w:t xml:space="preserve">na wizja </w:t>
      </w:r>
      <w:r w:rsidRPr="00F25EBD">
        <w:rPr>
          <w:rFonts w:cstheme="majorHAnsi"/>
        </w:rPr>
        <w:t>O</w:t>
      </w:r>
      <w:r w:rsidR="00663E4A" w:rsidRPr="00F25EBD">
        <w:rPr>
          <w:rFonts w:cstheme="majorHAnsi"/>
        </w:rPr>
        <w:t>bszaru Funkcjonalnego</w:t>
      </w:r>
      <w:r w:rsidRPr="00F25EBD">
        <w:rPr>
          <w:rFonts w:cstheme="majorHAnsi"/>
        </w:rPr>
        <w:t xml:space="preserve"> </w:t>
      </w:r>
      <w:r w:rsidR="00C46113" w:rsidRPr="00F25EBD">
        <w:rPr>
          <w:rFonts w:cstheme="majorHAnsi"/>
        </w:rPr>
        <w:t xml:space="preserve">Południowe Mazury </w:t>
      </w:r>
      <w:r w:rsidRPr="00F25EBD">
        <w:rPr>
          <w:rFonts w:cstheme="majorHAnsi"/>
        </w:rPr>
        <w:t xml:space="preserve">jest docelowym obrazem przyszłości - stanem, do którego ma doprowadzić realizacja przedmiotowej Strategii </w:t>
      </w:r>
      <w:r w:rsidR="00663E4A" w:rsidRPr="00F25EBD">
        <w:rPr>
          <w:rFonts w:cstheme="majorHAnsi"/>
        </w:rPr>
        <w:t>w perspektywie do roku 203</w:t>
      </w:r>
      <w:r w:rsidRPr="00F25EBD">
        <w:rPr>
          <w:rFonts w:cstheme="majorHAnsi"/>
        </w:rPr>
        <w:t xml:space="preserve">0. Treść wizji została określona w trakcie prac warsztatowych i badawczych prowadzonych podczas opracowywania dokumentu. Na jej ostateczny kształt mieli wpływ przedstawiciele </w:t>
      </w:r>
      <w:r w:rsidR="00663E4A" w:rsidRPr="00F25EBD">
        <w:rPr>
          <w:rFonts w:cstheme="majorHAnsi"/>
        </w:rPr>
        <w:t xml:space="preserve">powiatów tworzących </w:t>
      </w:r>
      <w:r w:rsidRPr="00F25EBD">
        <w:rPr>
          <w:rFonts w:cstheme="majorHAnsi"/>
        </w:rPr>
        <w:t>OF oraz wszystkie podmioty biorące udział w procesie uspołecznienia dokumentu. Zaprezentowana poniżej wizja odnosi się do konieczności przeprowadzenia interwencji cechującej się kompleksowością, jak również zrównoważonym i zintegrowanym podejściem do rozwoju oraz integracji terytorialnej, silnie akcentującej wymiar przestrzenny. Biorą</w:t>
      </w:r>
      <w:r w:rsidR="001F7E9A">
        <w:rPr>
          <w:rFonts w:cstheme="majorHAnsi"/>
        </w:rPr>
        <w:t>c</w:t>
      </w:r>
      <w:r w:rsidRPr="00F25EBD">
        <w:rPr>
          <w:rFonts w:cstheme="majorHAnsi"/>
        </w:rPr>
        <w:t xml:space="preserve"> pod uwagę powyższe uwarunkowania, wizja </w:t>
      </w:r>
      <w:r w:rsidR="00234E95" w:rsidRPr="00F25EBD">
        <w:rPr>
          <w:rFonts w:cstheme="majorHAnsi"/>
        </w:rPr>
        <w:t>Obszaru Funkcjonalnego Południowe Mazury</w:t>
      </w:r>
      <w:r w:rsidRPr="00F25EBD">
        <w:rPr>
          <w:rFonts w:cstheme="majorHAnsi"/>
        </w:rPr>
        <w:t xml:space="preserve"> została określona w następującym brzmieniu:</w:t>
      </w:r>
    </w:p>
    <w:p w14:paraId="0EBACA5F" w14:textId="58A24163" w:rsidR="00D54FC0" w:rsidRDefault="00D54FC0" w:rsidP="00FC7062">
      <w:pPr>
        <w:spacing w:line="276" w:lineRule="auto"/>
        <w:rPr>
          <w:rFonts w:asciiTheme="majorHAnsi" w:hAnsiTheme="majorHAnsi" w:cstheme="majorHAnsi"/>
        </w:rPr>
      </w:pPr>
    </w:p>
    <w:tbl>
      <w:tblPr>
        <w:tblStyle w:val="Tabela-Siatka"/>
        <w:tblW w:w="0" w:type="auto"/>
        <w:tblBorders>
          <w:top w:val="none" w:sz="0" w:space="0" w:color="auto"/>
          <w:left w:val="none" w:sz="0" w:space="0" w:color="auto"/>
          <w:bottom w:val="single" w:sz="4" w:space="0" w:color="808080" w:themeColor="background1" w:themeShade="80"/>
          <w:right w:val="none" w:sz="0" w:space="0" w:color="auto"/>
          <w:insideH w:val="single" w:sz="4" w:space="0" w:color="808080" w:themeColor="background1" w:themeShade="80"/>
          <w:insideV w:val="none" w:sz="0" w:space="0" w:color="auto"/>
        </w:tblBorders>
        <w:tblLayout w:type="fixed"/>
        <w:tblLook w:val="04A0" w:firstRow="1" w:lastRow="0" w:firstColumn="1" w:lastColumn="0" w:noHBand="0" w:noVBand="1"/>
      </w:tblPr>
      <w:tblGrid>
        <w:gridCol w:w="1271"/>
        <w:gridCol w:w="7789"/>
      </w:tblGrid>
      <w:tr w:rsidR="00344068" w14:paraId="5C1504F3" w14:textId="77777777" w:rsidTr="00344068">
        <w:trPr>
          <w:trHeight w:val="1134"/>
        </w:trPr>
        <w:tc>
          <w:tcPr>
            <w:tcW w:w="1271" w:type="dxa"/>
            <w:tcBorders>
              <w:bottom w:val="single" w:sz="4" w:space="0" w:color="FFFFFF" w:themeColor="background1"/>
            </w:tcBorders>
            <w:vAlign w:val="center"/>
          </w:tcPr>
          <w:p w14:paraId="2C676515" w14:textId="06F7E2CD" w:rsidR="00646BD8" w:rsidRDefault="00646BD8" w:rsidP="000C35E1">
            <w:pPr>
              <w:jc w:val="center"/>
              <w:rPr>
                <w:rFonts w:asciiTheme="majorHAnsi" w:hAnsiTheme="majorHAnsi" w:cstheme="majorHAnsi"/>
              </w:rPr>
            </w:pPr>
            <w:r>
              <w:rPr>
                <w:rFonts w:asciiTheme="majorHAnsi" w:hAnsiTheme="majorHAnsi" w:cstheme="majorHAnsi"/>
                <w:noProof/>
                <w:lang w:eastAsia="pl-PL"/>
              </w:rPr>
              <w:drawing>
                <wp:inline distT="0" distB="0" distL="0" distR="0" wp14:anchorId="6EC478FC" wp14:editId="32DDAB4D">
                  <wp:extent cx="613714" cy="540000"/>
                  <wp:effectExtent l="0" t="0" r="0" b="0"/>
                  <wp:docPr id="452" name="Obraz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 name="kostki.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613714" cy="540000"/>
                          </a:xfrm>
                          <a:prstGeom prst="rect">
                            <a:avLst/>
                          </a:prstGeom>
                        </pic:spPr>
                      </pic:pic>
                    </a:graphicData>
                  </a:graphic>
                </wp:inline>
              </w:drawing>
            </w:r>
          </w:p>
        </w:tc>
        <w:tc>
          <w:tcPr>
            <w:tcW w:w="7789" w:type="dxa"/>
            <w:tcBorders>
              <w:top w:val="single" w:sz="4" w:space="0" w:color="808080" w:themeColor="background1" w:themeShade="80"/>
              <w:bottom w:val="single" w:sz="4" w:space="0" w:color="FFFFFF" w:themeColor="background1"/>
            </w:tcBorders>
            <w:vAlign w:val="center"/>
          </w:tcPr>
          <w:p w14:paraId="11397355" w14:textId="77777777" w:rsidR="00344068" w:rsidRDefault="00646BD8" w:rsidP="000C35E1">
            <w:pPr>
              <w:jc w:val="center"/>
              <w:rPr>
                <w:rFonts w:asciiTheme="majorHAnsi" w:hAnsiTheme="majorHAnsi" w:cstheme="majorHAnsi"/>
                <w:b/>
                <w:color w:val="92D050"/>
                <w:sz w:val="28"/>
              </w:rPr>
            </w:pPr>
            <w:r w:rsidRPr="00646BD8">
              <w:rPr>
                <w:rFonts w:asciiTheme="majorHAnsi" w:hAnsiTheme="majorHAnsi" w:cstheme="majorHAnsi"/>
                <w:b/>
                <w:color w:val="92D050"/>
                <w:sz w:val="28"/>
              </w:rPr>
              <w:t xml:space="preserve">Mazury południowe </w:t>
            </w:r>
          </w:p>
          <w:p w14:paraId="159DA6CF" w14:textId="640A3BEC" w:rsidR="00646BD8" w:rsidRPr="00646BD8" w:rsidRDefault="00646BD8" w:rsidP="000C35E1">
            <w:pPr>
              <w:jc w:val="center"/>
              <w:rPr>
                <w:rFonts w:asciiTheme="majorHAnsi" w:hAnsiTheme="majorHAnsi" w:cstheme="majorHAnsi"/>
                <w:b/>
              </w:rPr>
            </w:pPr>
            <w:r w:rsidRPr="00646BD8">
              <w:rPr>
                <w:rFonts w:asciiTheme="majorHAnsi" w:hAnsiTheme="majorHAnsi" w:cstheme="majorHAnsi"/>
                <w:b/>
                <w:color w:val="92D050"/>
                <w:sz w:val="28"/>
              </w:rPr>
              <w:t>to rozpoznawalna marka turystyczna!</w:t>
            </w:r>
          </w:p>
        </w:tc>
      </w:tr>
      <w:tr w:rsidR="00646BD8" w14:paraId="60895050" w14:textId="77777777" w:rsidTr="00344068">
        <w:trPr>
          <w:trHeight w:val="1020"/>
        </w:trPr>
        <w:tc>
          <w:tcPr>
            <w:tcW w:w="9060" w:type="dxa"/>
            <w:gridSpan w:val="2"/>
            <w:tcBorders>
              <w:top w:val="single" w:sz="4" w:space="0" w:color="FFFFFF" w:themeColor="background1"/>
              <w:bottom w:val="single" w:sz="4" w:space="0" w:color="0099FF"/>
            </w:tcBorders>
            <w:shd w:val="clear" w:color="auto" w:fill="E2EFD9" w:themeFill="accent6" w:themeFillTint="33"/>
            <w:vAlign w:val="center"/>
          </w:tcPr>
          <w:p w14:paraId="1C040039" w14:textId="3F69B525" w:rsidR="00646BD8" w:rsidRDefault="00646BD8" w:rsidP="00344068">
            <w:pPr>
              <w:jc w:val="center"/>
              <w:rPr>
                <w:rFonts w:asciiTheme="majorHAnsi" w:hAnsiTheme="majorHAnsi" w:cstheme="majorHAnsi"/>
              </w:rPr>
            </w:pPr>
            <w:r w:rsidRPr="00646BD8">
              <w:rPr>
                <w:rFonts w:asciiTheme="majorHAnsi" w:hAnsiTheme="majorHAnsi" w:cstheme="majorHAnsi"/>
              </w:rPr>
              <w:t>Obszar funkcjonalny tworzy zwarty i spójny wewnętrznie subregion. Dekada wzrostu i rozwoju zbudowała nowoczesne zaplecze ośrodków miejskich: Działdowa, Nidzicy, Pisza i Szczytna, tworzących policentryczny układ rozwojowy</w:t>
            </w:r>
          </w:p>
        </w:tc>
      </w:tr>
      <w:tr w:rsidR="00646BD8" w14:paraId="0450FB97" w14:textId="77777777" w:rsidTr="00344068">
        <w:trPr>
          <w:trHeight w:val="1134"/>
        </w:trPr>
        <w:tc>
          <w:tcPr>
            <w:tcW w:w="1271" w:type="dxa"/>
            <w:tcBorders>
              <w:top w:val="single" w:sz="4" w:space="0" w:color="0099FF"/>
              <w:bottom w:val="single" w:sz="4" w:space="0" w:color="FFFFFF" w:themeColor="background1"/>
            </w:tcBorders>
            <w:vAlign w:val="center"/>
          </w:tcPr>
          <w:p w14:paraId="0EDB0374" w14:textId="2F48861D" w:rsidR="00646BD8" w:rsidRDefault="000C35E1" w:rsidP="000C35E1">
            <w:pPr>
              <w:jc w:val="center"/>
              <w:rPr>
                <w:rFonts w:asciiTheme="majorHAnsi" w:hAnsiTheme="majorHAnsi" w:cstheme="majorHAnsi"/>
              </w:rPr>
            </w:pPr>
            <w:r>
              <w:rPr>
                <w:rFonts w:asciiTheme="majorHAnsi" w:hAnsiTheme="majorHAnsi" w:cstheme="majorHAnsi"/>
                <w:noProof/>
                <w:lang w:eastAsia="pl-PL"/>
              </w:rPr>
              <w:drawing>
                <wp:inline distT="0" distB="0" distL="0" distR="0" wp14:anchorId="0C4DC601" wp14:editId="0E3E3A83">
                  <wp:extent cx="613714" cy="540000"/>
                  <wp:effectExtent l="0" t="0" r="0" b="0"/>
                  <wp:docPr id="453" name="Obraz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 name="kostki2.jp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613714" cy="540000"/>
                          </a:xfrm>
                          <a:prstGeom prst="rect">
                            <a:avLst/>
                          </a:prstGeom>
                        </pic:spPr>
                      </pic:pic>
                    </a:graphicData>
                  </a:graphic>
                </wp:inline>
              </w:drawing>
            </w:r>
          </w:p>
        </w:tc>
        <w:tc>
          <w:tcPr>
            <w:tcW w:w="7789" w:type="dxa"/>
            <w:tcBorders>
              <w:top w:val="single" w:sz="4" w:space="0" w:color="0099FF"/>
              <w:bottom w:val="single" w:sz="4" w:space="0" w:color="FFFFFF" w:themeColor="background1"/>
            </w:tcBorders>
            <w:vAlign w:val="center"/>
          </w:tcPr>
          <w:p w14:paraId="03202C52" w14:textId="04577CF3" w:rsidR="00646BD8" w:rsidRPr="000C35E1" w:rsidRDefault="00646BD8" w:rsidP="000C35E1">
            <w:pPr>
              <w:jc w:val="center"/>
              <w:rPr>
                <w:rFonts w:asciiTheme="majorHAnsi" w:hAnsiTheme="majorHAnsi" w:cstheme="majorHAnsi"/>
                <w:b/>
                <w:color w:val="0099FF"/>
              </w:rPr>
            </w:pPr>
            <w:r w:rsidRPr="000C35E1">
              <w:rPr>
                <w:rFonts w:asciiTheme="majorHAnsi" w:hAnsiTheme="majorHAnsi" w:cstheme="majorHAnsi"/>
                <w:b/>
                <w:color w:val="0099FF"/>
                <w:sz w:val="32"/>
              </w:rPr>
              <w:t>Dostępni na plus!</w:t>
            </w:r>
          </w:p>
        </w:tc>
      </w:tr>
      <w:tr w:rsidR="00646BD8" w14:paraId="3B3B0C8A" w14:textId="77777777" w:rsidTr="00344068">
        <w:trPr>
          <w:trHeight w:val="907"/>
        </w:trPr>
        <w:tc>
          <w:tcPr>
            <w:tcW w:w="9060" w:type="dxa"/>
            <w:gridSpan w:val="2"/>
            <w:tcBorders>
              <w:top w:val="single" w:sz="4" w:space="0" w:color="FFFFFF" w:themeColor="background1"/>
              <w:bottom w:val="single" w:sz="4" w:space="0" w:color="FFFFFF" w:themeColor="background1"/>
            </w:tcBorders>
            <w:shd w:val="clear" w:color="auto" w:fill="B3EBFF"/>
            <w:vAlign w:val="center"/>
          </w:tcPr>
          <w:p w14:paraId="29B260DF" w14:textId="4EED4C28" w:rsidR="00646BD8" w:rsidRDefault="00646BD8" w:rsidP="00344068">
            <w:pPr>
              <w:jc w:val="center"/>
              <w:rPr>
                <w:rFonts w:asciiTheme="majorHAnsi" w:hAnsiTheme="majorHAnsi" w:cstheme="majorHAnsi"/>
              </w:rPr>
            </w:pPr>
            <w:r w:rsidRPr="00646BD8">
              <w:rPr>
                <w:rFonts w:asciiTheme="majorHAnsi" w:hAnsiTheme="majorHAnsi" w:cstheme="majorHAnsi"/>
              </w:rPr>
              <w:t xml:space="preserve">Poprawa skomunikowania pozwoliła na zbudowanie dostępności obszaru funkcjonalnego oraz korzystanie z jego oferty przez </w:t>
            </w:r>
            <w:r w:rsidR="000C35E1">
              <w:rPr>
                <w:rFonts w:asciiTheme="majorHAnsi" w:hAnsiTheme="majorHAnsi" w:cstheme="majorHAnsi"/>
              </w:rPr>
              <w:t>liczne grono turystów i gości.</w:t>
            </w:r>
          </w:p>
        </w:tc>
      </w:tr>
      <w:tr w:rsidR="00646BD8" w14:paraId="5C902A20" w14:textId="77777777" w:rsidTr="00344068">
        <w:trPr>
          <w:trHeight w:val="907"/>
        </w:trPr>
        <w:tc>
          <w:tcPr>
            <w:tcW w:w="9060" w:type="dxa"/>
            <w:gridSpan w:val="2"/>
            <w:tcBorders>
              <w:top w:val="single" w:sz="4" w:space="0" w:color="FFFFFF" w:themeColor="background1"/>
              <w:bottom w:val="single" w:sz="4" w:space="0" w:color="0099FF"/>
            </w:tcBorders>
            <w:shd w:val="clear" w:color="auto" w:fill="B3EBFF"/>
            <w:vAlign w:val="center"/>
          </w:tcPr>
          <w:p w14:paraId="77FDE3F9" w14:textId="77777777" w:rsidR="00344068" w:rsidRDefault="00646BD8" w:rsidP="00344068">
            <w:pPr>
              <w:jc w:val="center"/>
              <w:rPr>
                <w:rFonts w:asciiTheme="majorHAnsi" w:hAnsiTheme="majorHAnsi" w:cstheme="majorHAnsi"/>
              </w:rPr>
            </w:pPr>
            <w:r w:rsidRPr="00646BD8">
              <w:rPr>
                <w:rFonts w:asciiTheme="majorHAnsi" w:hAnsiTheme="majorHAnsi" w:cstheme="majorHAnsi"/>
              </w:rPr>
              <w:t xml:space="preserve">Mazury południowe stanowią obszar strategicznej interwencji istotny dla rozwoju całego regionu oraz kraju! Konkurencyjna i zdywersyfikowana gospodarka Subregionu rozwija się w oparciu </w:t>
            </w:r>
          </w:p>
          <w:p w14:paraId="79DE347A" w14:textId="621FC4E3" w:rsidR="00646BD8" w:rsidRDefault="00646BD8" w:rsidP="00344068">
            <w:pPr>
              <w:jc w:val="center"/>
              <w:rPr>
                <w:rFonts w:asciiTheme="majorHAnsi" w:hAnsiTheme="majorHAnsi" w:cstheme="majorHAnsi"/>
              </w:rPr>
            </w:pPr>
            <w:r w:rsidRPr="00646BD8">
              <w:rPr>
                <w:rFonts w:asciiTheme="majorHAnsi" w:hAnsiTheme="majorHAnsi" w:cstheme="majorHAnsi"/>
              </w:rPr>
              <w:t>o wydajny system komunikacyjny oraz dostępność atrak</w:t>
            </w:r>
            <w:r w:rsidR="000C35E1">
              <w:rPr>
                <w:rFonts w:asciiTheme="majorHAnsi" w:hAnsiTheme="majorHAnsi" w:cstheme="majorHAnsi"/>
              </w:rPr>
              <w:t>cyjnych terenów inwestycyjnych.</w:t>
            </w:r>
          </w:p>
        </w:tc>
      </w:tr>
      <w:tr w:rsidR="00646BD8" w14:paraId="46F52D9F" w14:textId="77777777" w:rsidTr="00344068">
        <w:trPr>
          <w:trHeight w:val="1134"/>
        </w:trPr>
        <w:tc>
          <w:tcPr>
            <w:tcW w:w="1271" w:type="dxa"/>
            <w:tcBorders>
              <w:top w:val="single" w:sz="4" w:space="0" w:color="0099FF"/>
              <w:bottom w:val="single" w:sz="4" w:space="0" w:color="FFFFFF" w:themeColor="background1"/>
            </w:tcBorders>
            <w:vAlign w:val="center"/>
          </w:tcPr>
          <w:p w14:paraId="21ACE691" w14:textId="21E5872A" w:rsidR="00646BD8" w:rsidRDefault="000C35E1" w:rsidP="000C35E1">
            <w:pPr>
              <w:jc w:val="center"/>
              <w:rPr>
                <w:rFonts w:asciiTheme="majorHAnsi" w:hAnsiTheme="majorHAnsi" w:cstheme="majorHAnsi"/>
              </w:rPr>
            </w:pPr>
            <w:r>
              <w:rPr>
                <w:rFonts w:asciiTheme="majorHAnsi" w:hAnsiTheme="majorHAnsi" w:cstheme="majorHAnsi"/>
                <w:noProof/>
                <w:lang w:eastAsia="pl-PL"/>
              </w:rPr>
              <w:drawing>
                <wp:inline distT="0" distB="0" distL="0" distR="0" wp14:anchorId="7D7F1352" wp14:editId="6B81E14C">
                  <wp:extent cx="613900" cy="540000"/>
                  <wp:effectExtent l="0" t="0" r="0" b="0"/>
                  <wp:docPr id="454" name="Obraz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 name="kostki3.jp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613900" cy="540000"/>
                          </a:xfrm>
                          <a:prstGeom prst="rect">
                            <a:avLst/>
                          </a:prstGeom>
                        </pic:spPr>
                      </pic:pic>
                    </a:graphicData>
                  </a:graphic>
                </wp:inline>
              </w:drawing>
            </w:r>
          </w:p>
        </w:tc>
        <w:tc>
          <w:tcPr>
            <w:tcW w:w="7789" w:type="dxa"/>
            <w:tcBorders>
              <w:top w:val="single" w:sz="4" w:space="0" w:color="0099FF"/>
              <w:bottom w:val="single" w:sz="4" w:space="0" w:color="FFFFFF" w:themeColor="background1"/>
            </w:tcBorders>
            <w:vAlign w:val="center"/>
          </w:tcPr>
          <w:p w14:paraId="01161375" w14:textId="67DEAD4D" w:rsidR="00646BD8" w:rsidRPr="000C35E1" w:rsidRDefault="00646BD8" w:rsidP="000C35E1">
            <w:pPr>
              <w:jc w:val="center"/>
              <w:rPr>
                <w:rFonts w:asciiTheme="majorHAnsi" w:hAnsiTheme="majorHAnsi" w:cstheme="majorHAnsi"/>
                <w:b/>
                <w:color w:val="2E74B5" w:themeColor="accent1" w:themeShade="BF"/>
              </w:rPr>
            </w:pPr>
            <w:r w:rsidRPr="000C35E1">
              <w:rPr>
                <w:rFonts w:asciiTheme="majorHAnsi" w:hAnsiTheme="majorHAnsi" w:cstheme="majorHAnsi"/>
                <w:b/>
                <w:color w:val="2E74B5" w:themeColor="accent1" w:themeShade="BF"/>
                <w:sz w:val="32"/>
              </w:rPr>
              <w:t>Tu chce się żyć!</w:t>
            </w:r>
          </w:p>
        </w:tc>
      </w:tr>
      <w:tr w:rsidR="000C35E1" w14:paraId="2B384B83" w14:textId="77777777" w:rsidTr="00344068">
        <w:trPr>
          <w:trHeight w:val="1077"/>
        </w:trPr>
        <w:tc>
          <w:tcPr>
            <w:tcW w:w="9060" w:type="dxa"/>
            <w:gridSpan w:val="2"/>
            <w:tcBorders>
              <w:top w:val="single" w:sz="4" w:space="0" w:color="FFFFFF" w:themeColor="background1"/>
              <w:bottom w:val="single" w:sz="4" w:space="0" w:color="0099FF"/>
            </w:tcBorders>
            <w:shd w:val="clear" w:color="auto" w:fill="DEEAF6" w:themeFill="accent1" w:themeFillTint="33"/>
            <w:vAlign w:val="center"/>
          </w:tcPr>
          <w:p w14:paraId="32741AE3" w14:textId="7220E5F2" w:rsidR="000C35E1" w:rsidRDefault="000C35E1" w:rsidP="00344068">
            <w:pPr>
              <w:jc w:val="center"/>
              <w:rPr>
                <w:rFonts w:asciiTheme="majorHAnsi" w:hAnsiTheme="majorHAnsi" w:cstheme="majorHAnsi"/>
              </w:rPr>
            </w:pPr>
            <w:r w:rsidRPr="00646BD8">
              <w:rPr>
                <w:rFonts w:asciiTheme="majorHAnsi" w:hAnsiTheme="majorHAnsi" w:cstheme="majorHAnsi"/>
              </w:rPr>
              <w:t xml:space="preserve">Mazury południowe to atrakcyjny osiedleńczo obszar o konsekwentnie wzrastającej jakości życia. Akumulowany kapitał społeczny gwarantuje niezbędne jakościowo zasoby na potrzeby gospodarki </w:t>
            </w:r>
            <w:r w:rsidR="00344068">
              <w:rPr>
                <w:rFonts w:asciiTheme="majorHAnsi" w:hAnsiTheme="majorHAnsi" w:cstheme="majorHAnsi"/>
              </w:rPr>
              <w:br/>
            </w:r>
            <w:r w:rsidRPr="00646BD8">
              <w:rPr>
                <w:rFonts w:asciiTheme="majorHAnsi" w:hAnsiTheme="majorHAnsi" w:cstheme="majorHAnsi"/>
              </w:rPr>
              <w:t xml:space="preserve">i rynku pracy oraz warunkuje wysoką jakość życia dzięki aktywności i </w:t>
            </w:r>
            <w:r>
              <w:rPr>
                <w:rFonts w:asciiTheme="majorHAnsi" w:hAnsiTheme="majorHAnsi" w:cstheme="majorHAnsi"/>
              </w:rPr>
              <w:t>zaangażowaniu mieszkańców.</w:t>
            </w:r>
          </w:p>
        </w:tc>
      </w:tr>
      <w:tr w:rsidR="00646BD8" w14:paraId="3239B026" w14:textId="77777777" w:rsidTr="00344068">
        <w:trPr>
          <w:trHeight w:val="1134"/>
        </w:trPr>
        <w:tc>
          <w:tcPr>
            <w:tcW w:w="1271" w:type="dxa"/>
            <w:tcBorders>
              <w:top w:val="single" w:sz="4" w:space="0" w:color="0099FF"/>
              <w:bottom w:val="single" w:sz="4" w:space="0" w:color="FFFFFF" w:themeColor="background1"/>
            </w:tcBorders>
            <w:vAlign w:val="center"/>
          </w:tcPr>
          <w:p w14:paraId="29B59A49" w14:textId="7ADFEFFF" w:rsidR="00646BD8" w:rsidRDefault="00344068" w:rsidP="00344068">
            <w:pPr>
              <w:jc w:val="center"/>
              <w:rPr>
                <w:rFonts w:asciiTheme="majorHAnsi" w:hAnsiTheme="majorHAnsi" w:cstheme="majorHAnsi"/>
              </w:rPr>
            </w:pPr>
            <w:r>
              <w:rPr>
                <w:rFonts w:asciiTheme="majorHAnsi" w:hAnsiTheme="majorHAnsi" w:cstheme="majorHAnsi"/>
                <w:noProof/>
                <w:lang w:eastAsia="pl-PL"/>
              </w:rPr>
              <w:drawing>
                <wp:inline distT="0" distB="0" distL="0" distR="0" wp14:anchorId="7C06F9BA" wp14:editId="2057448B">
                  <wp:extent cx="613901" cy="540000"/>
                  <wp:effectExtent l="0" t="0" r="0" b="0"/>
                  <wp:docPr id="456" name="Obraz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 name="kostki4.jp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613901" cy="540000"/>
                          </a:xfrm>
                          <a:prstGeom prst="rect">
                            <a:avLst/>
                          </a:prstGeom>
                        </pic:spPr>
                      </pic:pic>
                    </a:graphicData>
                  </a:graphic>
                </wp:inline>
              </w:drawing>
            </w:r>
          </w:p>
        </w:tc>
        <w:tc>
          <w:tcPr>
            <w:tcW w:w="7789" w:type="dxa"/>
            <w:tcBorders>
              <w:top w:val="single" w:sz="4" w:space="0" w:color="0099FF"/>
              <w:bottom w:val="single" w:sz="4" w:space="0" w:color="FFFFFF" w:themeColor="background1"/>
            </w:tcBorders>
            <w:vAlign w:val="center"/>
          </w:tcPr>
          <w:p w14:paraId="77A9C7D7" w14:textId="77777777" w:rsidR="00344068" w:rsidRDefault="000C35E1" w:rsidP="00344068">
            <w:pPr>
              <w:jc w:val="center"/>
              <w:rPr>
                <w:rFonts w:asciiTheme="majorHAnsi" w:hAnsiTheme="majorHAnsi" w:cstheme="majorHAnsi"/>
                <w:b/>
                <w:color w:val="00B050"/>
                <w:sz w:val="28"/>
              </w:rPr>
            </w:pPr>
            <w:r w:rsidRPr="00344068">
              <w:rPr>
                <w:rFonts w:asciiTheme="majorHAnsi" w:hAnsiTheme="majorHAnsi" w:cstheme="majorHAnsi"/>
                <w:b/>
                <w:color w:val="00B050"/>
                <w:sz w:val="28"/>
              </w:rPr>
              <w:t xml:space="preserve">Wykorzystujemy własne zasoby </w:t>
            </w:r>
          </w:p>
          <w:p w14:paraId="36ECB71D" w14:textId="47646DA7" w:rsidR="00646BD8" w:rsidRPr="00344068" w:rsidRDefault="000C35E1" w:rsidP="00344068">
            <w:pPr>
              <w:jc w:val="center"/>
              <w:rPr>
                <w:rFonts w:asciiTheme="majorHAnsi" w:hAnsiTheme="majorHAnsi" w:cstheme="majorHAnsi"/>
                <w:b/>
                <w:sz w:val="28"/>
              </w:rPr>
            </w:pPr>
            <w:r w:rsidRPr="00344068">
              <w:rPr>
                <w:rFonts w:asciiTheme="majorHAnsi" w:hAnsiTheme="majorHAnsi" w:cstheme="majorHAnsi"/>
                <w:b/>
                <w:color w:val="00B050"/>
                <w:sz w:val="28"/>
              </w:rPr>
              <w:t>i posiadane produkty turystyczne!</w:t>
            </w:r>
          </w:p>
        </w:tc>
      </w:tr>
      <w:tr w:rsidR="000C35E1" w14:paraId="0316F17E" w14:textId="77777777" w:rsidTr="00344068">
        <w:trPr>
          <w:trHeight w:val="737"/>
        </w:trPr>
        <w:tc>
          <w:tcPr>
            <w:tcW w:w="9060" w:type="dxa"/>
            <w:gridSpan w:val="2"/>
            <w:tcBorders>
              <w:top w:val="single" w:sz="4" w:space="0" w:color="FFFFFF" w:themeColor="background1"/>
              <w:bottom w:val="single" w:sz="4" w:space="0" w:color="FFFFFF" w:themeColor="background1"/>
            </w:tcBorders>
            <w:shd w:val="clear" w:color="auto" w:fill="E2EFD9" w:themeFill="accent6" w:themeFillTint="33"/>
            <w:vAlign w:val="center"/>
          </w:tcPr>
          <w:p w14:paraId="26681C6B" w14:textId="5C2A1C8F" w:rsidR="000C35E1" w:rsidRPr="00646BD8" w:rsidRDefault="000C35E1" w:rsidP="00344068">
            <w:pPr>
              <w:jc w:val="center"/>
              <w:rPr>
                <w:rFonts w:asciiTheme="majorHAnsi" w:hAnsiTheme="majorHAnsi" w:cstheme="majorHAnsi"/>
              </w:rPr>
            </w:pPr>
            <w:r w:rsidRPr="00646BD8">
              <w:rPr>
                <w:rFonts w:asciiTheme="majorHAnsi" w:hAnsiTheme="majorHAnsi" w:cstheme="majorHAnsi"/>
              </w:rPr>
              <w:t>Mimo destabilizacji koniunktury gospodarczej oraz zmian w praktyce spędzania czasu wolnego ruch turystyczny Mazury południowe to destynacja turystyczna przeżywająca</w:t>
            </w:r>
            <w:r>
              <w:rPr>
                <w:rFonts w:asciiTheme="majorHAnsi" w:hAnsiTheme="majorHAnsi" w:cstheme="majorHAnsi"/>
              </w:rPr>
              <w:t xml:space="preserve"> dynamiczny wzrost.</w:t>
            </w:r>
          </w:p>
        </w:tc>
      </w:tr>
      <w:tr w:rsidR="000C35E1" w14:paraId="09E7BB63" w14:textId="77777777" w:rsidTr="00344068">
        <w:trPr>
          <w:trHeight w:val="737"/>
        </w:trPr>
        <w:tc>
          <w:tcPr>
            <w:tcW w:w="9060" w:type="dxa"/>
            <w:gridSpan w:val="2"/>
            <w:tcBorders>
              <w:top w:val="single" w:sz="4" w:space="0" w:color="FFFFFF" w:themeColor="background1"/>
              <w:bottom w:val="single" w:sz="4" w:space="0" w:color="0099FF"/>
            </w:tcBorders>
            <w:shd w:val="clear" w:color="auto" w:fill="E2EFD9" w:themeFill="accent6" w:themeFillTint="33"/>
            <w:vAlign w:val="center"/>
          </w:tcPr>
          <w:p w14:paraId="65019CC2" w14:textId="1A8FD0C3" w:rsidR="000C35E1" w:rsidRPr="000C35E1" w:rsidRDefault="000C35E1" w:rsidP="00344068">
            <w:pPr>
              <w:jc w:val="center"/>
              <w:rPr>
                <w:b/>
                <w:bCs/>
                <w:sz w:val="20"/>
                <w:szCs w:val="20"/>
              </w:rPr>
            </w:pPr>
            <w:r w:rsidRPr="00646BD8">
              <w:rPr>
                <w:rFonts w:asciiTheme="majorHAnsi" w:hAnsiTheme="majorHAnsi" w:cstheme="majorHAnsi"/>
              </w:rPr>
              <w:t>Dziedzictwo kulturowe, nieodkryta historia subregionu i dziedzictwo przyrodnicze wzmacniają markę obszaru przyciągając świadomych turystów, rodziny z dziećmi i grupy zorganizowane</w:t>
            </w:r>
          </w:p>
        </w:tc>
      </w:tr>
    </w:tbl>
    <w:p w14:paraId="2EF2457A" w14:textId="77777777" w:rsidR="00586AD8" w:rsidRPr="00F25EBD" w:rsidRDefault="00586AD8" w:rsidP="00FC7062">
      <w:pPr>
        <w:spacing w:after="0" w:line="276" w:lineRule="auto"/>
        <w:rPr>
          <w:rFonts w:asciiTheme="majorHAnsi" w:hAnsiTheme="majorHAnsi" w:cstheme="majorHAnsi"/>
        </w:rPr>
      </w:pPr>
    </w:p>
    <w:p w14:paraId="1F601E2F" w14:textId="341546BE" w:rsidR="00517C0D" w:rsidRPr="00F25EBD" w:rsidRDefault="00517C0D" w:rsidP="00FC7062">
      <w:pPr>
        <w:spacing w:line="276" w:lineRule="auto"/>
        <w:jc w:val="both"/>
        <w:rPr>
          <w:rFonts w:asciiTheme="majorHAnsi" w:eastAsia="Calibri" w:hAnsiTheme="majorHAnsi" w:cstheme="majorHAnsi"/>
          <w:color w:val="000000" w:themeColor="text1"/>
          <w:lang w:eastAsia="pl-PL"/>
        </w:rPr>
      </w:pPr>
      <w:r w:rsidRPr="00F25EBD">
        <w:rPr>
          <w:rFonts w:asciiTheme="majorHAnsi" w:eastAsia="Calibri" w:hAnsiTheme="majorHAnsi" w:cstheme="majorHAnsi"/>
          <w:color w:val="000000" w:themeColor="text1"/>
          <w:lang w:eastAsia="pl-PL"/>
        </w:rPr>
        <w:t>Rozwinięcie wizji rozwoju stanowią domeny planowania strategiczne</w:t>
      </w:r>
      <w:r w:rsidR="00C806A1">
        <w:rPr>
          <w:rFonts w:asciiTheme="majorHAnsi" w:eastAsia="Calibri" w:hAnsiTheme="majorHAnsi" w:cstheme="majorHAnsi"/>
          <w:color w:val="000000" w:themeColor="text1"/>
          <w:lang w:eastAsia="pl-PL"/>
        </w:rPr>
        <w:t>go, które są ściśle powiązane z </w:t>
      </w:r>
      <w:r w:rsidRPr="00F25EBD">
        <w:rPr>
          <w:rFonts w:asciiTheme="majorHAnsi" w:eastAsia="Calibri" w:hAnsiTheme="majorHAnsi" w:cstheme="majorHAnsi"/>
          <w:color w:val="000000" w:themeColor="text1"/>
          <w:lang w:eastAsia="pl-PL"/>
        </w:rPr>
        <w:t xml:space="preserve">celami strategicznymi i planami operacyjnymi przewidzianymi do realizacji. Wizja w syntetyczny sposób wskazuje kluczowe determinanty warunkujące rozwój </w:t>
      </w:r>
      <w:r w:rsidR="004F47F4">
        <w:rPr>
          <w:rFonts w:asciiTheme="majorHAnsi" w:eastAsia="Calibri" w:hAnsiTheme="majorHAnsi" w:cstheme="majorHAnsi"/>
          <w:color w:val="000000" w:themeColor="text1"/>
          <w:lang w:eastAsia="pl-PL"/>
        </w:rPr>
        <w:t xml:space="preserve">powiatów </w:t>
      </w:r>
      <w:r w:rsidRPr="00F25EBD">
        <w:rPr>
          <w:rFonts w:asciiTheme="majorHAnsi" w:eastAsia="Calibri" w:hAnsiTheme="majorHAnsi" w:cstheme="majorHAnsi"/>
          <w:color w:val="000000" w:themeColor="text1"/>
          <w:lang w:eastAsia="pl-PL"/>
        </w:rPr>
        <w:t>w perspektywie roku 20</w:t>
      </w:r>
      <w:r w:rsidR="006008C9" w:rsidRPr="00F25EBD">
        <w:rPr>
          <w:rFonts w:asciiTheme="majorHAnsi" w:eastAsia="Calibri" w:hAnsiTheme="majorHAnsi" w:cstheme="majorHAnsi"/>
          <w:color w:val="000000" w:themeColor="text1"/>
          <w:lang w:eastAsia="pl-PL"/>
        </w:rPr>
        <w:t>30</w:t>
      </w:r>
      <w:r w:rsidRPr="00F25EBD">
        <w:rPr>
          <w:rFonts w:asciiTheme="majorHAnsi" w:eastAsia="Calibri" w:hAnsiTheme="majorHAnsi" w:cstheme="majorHAnsi"/>
          <w:color w:val="000000" w:themeColor="text1"/>
          <w:lang w:eastAsia="pl-PL"/>
        </w:rPr>
        <w:t xml:space="preserve">. Dodatkowo wyartykułowana wizja to pożądany stan </w:t>
      </w:r>
      <w:r w:rsidR="006008C9" w:rsidRPr="00F25EBD">
        <w:rPr>
          <w:rFonts w:asciiTheme="majorHAnsi" w:eastAsia="Calibri" w:hAnsiTheme="majorHAnsi" w:cstheme="majorHAnsi"/>
          <w:color w:val="000000" w:themeColor="text1"/>
          <w:lang w:eastAsia="pl-PL"/>
        </w:rPr>
        <w:t xml:space="preserve">OF </w:t>
      </w:r>
      <w:r w:rsidRPr="00F25EBD">
        <w:rPr>
          <w:rFonts w:asciiTheme="majorHAnsi" w:eastAsia="Calibri" w:hAnsiTheme="majorHAnsi" w:cstheme="majorHAnsi"/>
          <w:color w:val="000000" w:themeColor="text1"/>
          <w:lang w:eastAsia="pl-PL"/>
        </w:rPr>
        <w:t xml:space="preserve">- docelowy w perspektywie przyjętego horyzontu czasowego przedmiotowego opracowania. </w:t>
      </w:r>
    </w:p>
    <w:p w14:paraId="4572A1C7" w14:textId="06135C66" w:rsidR="00D54FC0" w:rsidRPr="00F25EBD" w:rsidRDefault="00517C0D" w:rsidP="00FC7062">
      <w:pPr>
        <w:spacing w:line="276" w:lineRule="auto"/>
        <w:jc w:val="both"/>
        <w:rPr>
          <w:rFonts w:asciiTheme="majorHAnsi" w:eastAsia="Calibri" w:hAnsiTheme="majorHAnsi" w:cstheme="majorHAnsi"/>
          <w:color w:val="000000" w:themeColor="text1"/>
          <w:lang w:eastAsia="pl-PL"/>
        </w:rPr>
      </w:pPr>
      <w:r w:rsidRPr="00F25EBD">
        <w:rPr>
          <w:rFonts w:asciiTheme="majorHAnsi" w:eastAsia="Calibri" w:hAnsiTheme="majorHAnsi" w:cstheme="majorHAnsi"/>
          <w:color w:val="000000" w:themeColor="text1"/>
          <w:lang w:eastAsia="pl-PL"/>
        </w:rPr>
        <w:t xml:space="preserve">Wysoka jakość życia jest podstawową potrzebą społeczności lokalnej. Składa się na nią wiele elementów, </w:t>
      </w:r>
      <w:r w:rsidRPr="00AB75AB">
        <w:rPr>
          <w:rFonts w:asciiTheme="majorHAnsi" w:eastAsia="Calibri" w:hAnsiTheme="majorHAnsi" w:cstheme="majorHAnsi"/>
          <w:color w:val="000000" w:themeColor="text1"/>
          <w:lang w:eastAsia="pl-PL"/>
        </w:rPr>
        <w:t xml:space="preserve">zarówno o charakterze miękkim, jak i twardym. Czyste, bezpieczne i urozmaicone środowisko, zapewniające dobre warunki do pracy, nauki i wypoczynku są głównym elementem wysokiej jakości życia. </w:t>
      </w:r>
      <w:r w:rsidR="00AB75AB" w:rsidRPr="00AB75AB">
        <w:rPr>
          <w:rFonts w:asciiTheme="majorHAnsi" w:eastAsia="Calibri" w:hAnsiTheme="majorHAnsi" w:cstheme="majorHAnsi"/>
          <w:color w:val="000000" w:themeColor="text1"/>
          <w:lang w:eastAsia="pl-PL"/>
        </w:rPr>
        <w:t>Konkurencyjność obszarów objętych opracowaniem</w:t>
      </w:r>
      <w:r w:rsidRPr="00AB75AB">
        <w:rPr>
          <w:rFonts w:asciiTheme="majorHAnsi" w:eastAsia="Calibri" w:hAnsiTheme="majorHAnsi" w:cstheme="majorHAnsi"/>
          <w:color w:val="000000" w:themeColor="text1"/>
          <w:lang w:eastAsia="pl-PL"/>
        </w:rPr>
        <w:t>, to umiejętność wykorzystywania dostępnych zasobów i szans w wygrywaniu konkurencji z innymi obszarami. Konkurencyjność należy rozumieć jako rywalizowanie o wysoką jakość życia oraz rozwój społeczny i gospodarczy</w:t>
      </w:r>
      <w:r w:rsidRPr="00AB75AB">
        <w:rPr>
          <w:rStyle w:val="Odwoanieprzypisudolnego"/>
          <w:rFonts w:asciiTheme="majorHAnsi" w:eastAsia="Calibri" w:hAnsiTheme="majorHAnsi" w:cstheme="majorHAnsi"/>
          <w:color w:val="000000" w:themeColor="text1"/>
          <w:lang w:eastAsia="pl-PL"/>
        </w:rPr>
        <w:footnoteReference w:id="48"/>
      </w:r>
      <w:r w:rsidRPr="00AB75AB">
        <w:rPr>
          <w:rFonts w:asciiTheme="majorHAnsi" w:eastAsia="Calibri" w:hAnsiTheme="majorHAnsi" w:cstheme="majorHAnsi"/>
          <w:color w:val="000000" w:themeColor="text1"/>
          <w:lang w:eastAsia="pl-PL"/>
        </w:rPr>
        <w:t>.</w:t>
      </w:r>
    </w:p>
    <w:p w14:paraId="5B5E64EC" w14:textId="77777777" w:rsidR="00C806A1" w:rsidRDefault="00C806A1" w:rsidP="00FC7062">
      <w:pPr>
        <w:spacing w:line="276" w:lineRule="auto"/>
        <w:jc w:val="both"/>
        <w:rPr>
          <w:rFonts w:asciiTheme="majorHAnsi" w:hAnsiTheme="majorHAnsi" w:cstheme="majorHAnsi"/>
          <w:szCs w:val="20"/>
        </w:rPr>
      </w:pPr>
    </w:p>
    <w:p w14:paraId="6F5B31D1" w14:textId="565925E6" w:rsidR="00F2739D" w:rsidRPr="00F25EBD" w:rsidRDefault="00F2739D" w:rsidP="00FC7062">
      <w:pPr>
        <w:spacing w:line="276" w:lineRule="auto"/>
        <w:jc w:val="both"/>
        <w:rPr>
          <w:rFonts w:asciiTheme="majorHAnsi" w:hAnsiTheme="majorHAnsi" w:cstheme="majorHAnsi"/>
          <w:szCs w:val="20"/>
        </w:rPr>
      </w:pPr>
      <w:r w:rsidRPr="00C806A1">
        <w:rPr>
          <w:rFonts w:asciiTheme="majorHAnsi" w:hAnsiTheme="majorHAnsi" w:cstheme="majorHAnsi"/>
          <w:color w:val="0099FF"/>
          <w:szCs w:val="20"/>
        </w:rPr>
        <w:t>Misja</w:t>
      </w:r>
      <w:r w:rsidRPr="00F25EBD">
        <w:rPr>
          <w:rFonts w:asciiTheme="majorHAnsi" w:hAnsiTheme="majorHAnsi" w:cstheme="majorHAnsi"/>
          <w:szCs w:val="20"/>
        </w:rPr>
        <w:t xml:space="preserve"> Obszaru Funkcjonalnego Południowe Mazury jest lapidarną, </w:t>
      </w:r>
      <w:r w:rsidR="00C806A1">
        <w:rPr>
          <w:rFonts w:asciiTheme="majorHAnsi" w:hAnsiTheme="majorHAnsi" w:cstheme="majorHAnsi"/>
          <w:szCs w:val="20"/>
        </w:rPr>
        <w:t>acz fundamentalną deklaracją, w </w:t>
      </w:r>
      <w:r w:rsidRPr="00F25EBD">
        <w:rPr>
          <w:rFonts w:asciiTheme="majorHAnsi" w:hAnsiTheme="majorHAnsi" w:cstheme="majorHAnsi"/>
          <w:szCs w:val="20"/>
        </w:rPr>
        <w:t xml:space="preserve">której </w:t>
      </w:r>
      <w:r w:rsidR="00E24A51" w:rsidRPr="00F25EBD">
        <w:rPr>
          <w:rFonts w:asciiTheme="majorHAnsi" w:hAnsiTheme="majorHAnsi" w:cstheme="majorHAnsi"/>
          <w:szCs w:val="20"/>
        </w:rPr>
        <w:t>z</w:t>
      </w:r>
      <w:r w:rsidRPr="00F25EBD">
        <w:rPr>
          <w:rFonts w:asciiTheme="majorHAnsi" w:hAnsiTheme="majorHAnsi" w:cstheme="majorHAnsi"/>
          <w:szCs w:val="20"/>
        </w:rPr>
        <w:t>defini</w:t>
      </w:r>
      <w:r w:rsidR="00E24A51" w:rsidRPr="00F25EBD">
        <w:rPr>
          <w:rFonts w:asciiTheme="majorHAnsi" w:hAnsiTheme="majorHAnsi" w:cstheme="majorHAnsi"/>
          <w:szCs w:val="20"/>
        </w:rPr>
        <w:t xml:space="preserve">owano </w:t>
      </w:r>
      <w:r w:rsidRPr="00F25EBD">
        <w:rPr>
          <w:rFonts w:asciiTheme="majorHAnsi" w:hAnsiTheme="majorHAnsi" w:cstheme="majorHAnsi"/>
          <w:szCs w:val="20"/>
        </w:rPr>
        <w:t xml:space="preserve">przestrzeń wartości, do których będzie odnosił się wyznaczając cele rozwoju. Misja w niniejszej strategii wyznacza zatem zestaw podstawowych zasad działania </w:t>
      </w:r>
      <w:r w:rsidR="00E24A51" w:rsidRPr="00F25EBD">
        <w:rPr>
          <w:rFonts w:asciiTheme="majorHAnsi" w:hAnsiTheme="majorHAnsi" w:cstheme="majorHAnsi"/>
          <w:szCs w:val="20"/>
        </w:rPr>
        <w:t>OF</w:t>
      </w:r>
      <w:r w:rsidRPr="00F25EBD">
        <w:rPr>
          <w:rFonts w:asciiTheme="majorHAnsi" w:hAnsiTheme="majorHAnsi" w:cstheme="majorHAnsi"/>
          <w:szCs w:val="20"/>
        </w:rPr>
        <w:t>, a jej elementarną treść stanowi dobrostan i dobrobyt mieszkańców. Jest to wyraz pojmowania samorządu jako wspólnoty mieszkańców, a</w:t>
      </w:r>
      <w:r w:rsidR="00E24A51" w:rsidRPr="00F25EBD">
        <w:rPr>
          <w:rFonts w:asciiTheme="majorHAnsi" w:hAnsiTheme="majorHAnsi" w:cstheme="majorHAnsi"/>
          <w:szCs w:val="20"/>
        </w:rPr>
        <w:t xml:space="preserve"> </w:t>
      </w:r>
      <w:r w:rsidRPr="00F25EBD">
        <w:rPr>
          <w:rFonts w:asciiTheme="majorHAnsi" w:hAnsiTheme="majorHAnsi" w:cstheme="majorHAnsi"/>
          <w:szCs w:val="20"/>
        </w:rPr>
        <w:t>równocześnie wypowiedzianym wprost zobowiązaniem lokalnych struktur samorządowych do przyjęcia takich metod działan</w:t>
      </w:r>
      <w:r w:rsidR="00374F5F">
        <w:rPr>
          <w:rFonts w:asciiTheme="majorHAnsi" w:hAnsiTheme="majorHAnsi" w:cstheme="majorHAnsi"/>
          <w:szCs w:val="20"/>
        </w:rPr>
        <w:t xml:space="preserve">ia, które będą koncentrować się </w:t>
      </w:r>
      <w:r w:rsidRPr="00F25EBD">
        <w:rPr>
          <w:rFonts w:asciiTheme="majorHAnsi" w:hAnsiTheme="majorHAnsi" w:cstheme="majorHAnsi"/>
          <w:szCs w:val="20"/>
        </w:rPr>
        <w:t>na poprawie jakości życia wszys</w:t>
      </w:r>
      <w:r w:rsidR="00E24A51" w:rsidRPr="00F25EBD">
        <w:rPr>
          <w:rFonts w:asciiTheme="majorHAnsi" w:hAnsiTheme="majorHAnsi" w:cstheme="majorHAnsi"/>
          <w:szCs w:val="20"/>
        </w:rPr>
        <w:t>tkich mieszkańców terenu obszaru</w:t>
      </w:r>
      <w:r w:rsidRPr="00F25EBD">
        <w:rPr>
          <w:rFonts w:asciiTheme="majorHAnsi" w:hAnsiTheme="majorHAnsi" w:cstheme="majorHAnsi"/>
          <w:szCs w:val="20"/>
        </w:rPr>
        <w:t xml:space="preserve">. </w:t>
      </w:r>
    </w:p>
    <w:p w14:paraId="3CF5FC62" w14:textId="77777777" w:rsidR="00C806A1" w:rsidRDefault="00C806A1" w:rsidP="00FC7062">
      <w:pPr>
        <w:spacing w:line="276" w:lineRule="auto"/>
        <w:rPr>
          <w:rFonts w:asciiTheme="majorHAnsi" w:hAnsiTheme="majorHAnsi" w:cstheme="majorHAnsi"/>
          <w:szCs w:val="24"/>
        </w:rPr>
      </w:pPr>
    </w:p>
    <w:tbl>
      <w:tblPr>
        <w:tblStyle w:val="Tabela-Siatka"/>
        <w:tblW w:w="0" w:type="auto"/>
        <w:tblBorders>
          <w:top w:val="none" w:sz="0" w:space="0" w:color="auto"/>
          <w:left w:val="none" w:sz="0" w:space="0" w:color="auto"/>
          <w:bottom w:val="single" w:sz="4" w:space="0" w:color="808080" w:themeColor="background1" w:themeShade="80"/>
          <w:right w:val="none" w:sz="0" w:space="0" w:color="auto"/>
          <w:insideH w:val="single" w:sz="4" w:space="0" w:color="808080" w:themeColor="background1" w:themeShade="80"/>
          <w:insideV w:val="none" w:sz="0" w:space="0" w:color="auto"/>
        </w:tblBorders>
        <w:tblLayout w:type="fixed"/>
        <w:tblLook w:val="04A0" w:firstRow="1" w:lastRow="0" w:firstColumn="1" w:lastColumn="0" w:noHBand="0" w:noVBand="1"/>
      </w:tblPr>
      <w:tblGrid>
        <w:gridCol w:w="1134"/>
        <w:gridCol w:w="137"/>
        <w:gridCol w:w="7789"/>
      </w:tblGrid>
      <w:tr w:rsidR="00C806A1" w14:paraId="48EABEC2" w14:textId="77777777" w:rsidTr="00982590">
        <w:trPr>
          <w:trHeight w:val="1134"/>
        </w:trPr>
        <w:tc>
          <w:tcPr>
            <w:tcW w:w="1271" w:type="dxa"/>
            <w:gridSpan w:val="2"/>
            <w:tcBorders>
              <w:bottom w:val="single" w:sz="4" w:space="0" w:color="FFFFFF" w:themeColor="background1"/>
            </w:tcBorders>
            <w:vAlign w:val="center"/>
          </w:tcPr>
          <w:p w14:paraId="74038E69" w14:textId="77777777" w:rsidR="00C806A1" w:rsidRDefault="00C806A1" w:rsidP="00982590">
            <w:pPr>
              <w:jc w:val="center"/>
              <w:rPr>
                <w:rFonts w:asciiTheme="majorHAnsi" w:hAnsiTheme="majorHAnsi" w:cstheme="majorHAnsi"/>
              </w:rPr>
            </w:pPr>
            <w:r>
              <w:rPr>
                <w:rFonts w:asciiTheme="majorHAnsi" w:hAnsiTheme="majorHAnsi" w:cstheme="majorHAnsi"/>
                <w:noProof/>
                <w:lang w:eastAsia="pl-PL"/>
              </w:rPr>
              <w:drawing>
                <wp:inline distT="0" distB="0" distL="0" distR="0" wp14:anchorId="19348B21" wp14:editId="0FCA2CB6">
                  <wp:extent cx="613714" cy="540000"/>
                  <wp:effectExtent l="0" t="0" r="0" b="0"/>
                  <wp:docPr id="457" name="Obraz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 name="kostki.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613714" cy="540000"/>
                          </a:xfrm>
                          <a:prstGeom prst="rect">
                            <a:avLst/>
                          </a:prstGeom>
                        </pic:spPr>
                      </pic:pic>
                    </a:graphicData>
                  </a:graphic>
                </wp:inline>
              </w:drawing>
            </w:r>
          </w:p>
        </w:tc>
        <w:tc>
          <w:tcPr>
            <w:tcW w:w="7789" w:type="dxa"/>
            <w:tcBorders>
              <w:top w:val="single" w:sz="4" w:space="0" w:color="808080" w:themeColor="background1" w:themeShade="80"/>
              <w:bottom w:val="single" w:sz="4" w:space="0" w:color="FFFFFF" w:themeColor="background1"/>
            </w:tcBorders>
            <w:vAlign w:val="center"/>
          </w:tcPr>
          <w:p w14:paraId="5E4CF1F2" w14:textId="49E254D6" w:rsidR="00C806A1" w:rsidRPr="00646BD8" w:rsidRDefault="00C806A1" w:rsidP="00C806A1">
            <w:pPr>
              <w:rPr>
                <w:rFonts w:asciiTheme="majorHAnsi" w:hAnsiTheme="majorHAnsi" w:cstheme="majorHAnsi"/>
                <w:b/>
              </w:rPr>
            </w:pPr>
            <w:r w:rsidRPr="00C806A1">
              <w:rPr>
                <w:rFonts w:asciiTheme="majorHAnsi" w:hAnsiTheme="majorHAnsi" w:cstheme="majorHAnsi"/>
                <w:b/>
                <w:color w:val="0099FF"/>
                <w:sz w:val="32"/>
              </w:rPr>
              <w:t>MISJA</w:t>
            </w:r>
          </w:p>
        </w:tc>
      </w:tr>
      <w:tr w:rsidR="00C806A1" w14:paraId="04948C38" w14:textId="77777777" w:rsidTr="00C806A1">
        <w:trPr>
          <w:trHeight w:val="1020"/>
        </w:trPr>
        <w:tc>
          <w:tcPr>
            <w:tcW w:w="1134" w:type="dxa"/>
            <w:tcBorders>
              <w:top w:val="single" w:sz="4" w:space="0" w:color="FFFFFF" w:themeColor="background1"/>
              <w:bottom w:val="single" w:sz="4" w:space="0" w:color="0099FF"/>
              <w:right w:val="single" w:sz="4" w:space="0" w:color="FFFFFF" w:themeColor="background1"/>
            </w:tcBorders>
            <w:shd w:val="clear" w:color="auto" w:fill="FFFFFF" w:themeFill="background1"/>
            <w:vAlign w:val="center"/>
          </w:tcPr>
          <w:p w14:paraId="3431C56F" w14:textId="791F0C2E" w:rsidR="00C806A1" w:rsidRDefault="00C806A1" w:rsidP="00982590">
            <w:pPr>
              <w:jc w:val="center"/>
              <w:rPr>
                <w:rFonts w:asciiTheme="majorHAnsi" w:hAnsiTheme="majorHAnsi" w:cstheme="majorHAnsi"/>
              </w:rPr>
            </w:pPr>
          </w:p>
        </w:tc>
        <w:tc>
          <w:tcPr>
            <w:tcW w:w="7926" w:type="dxa"/>
            <w:gridSpan w:val="2"/>
            <w:tcBorders>
              <w:top w:val="single" w:sz="4" w:space="0" w:color="FFFFFF" w:themeColor="background1"/>
              <w:left w:val="single" w:sz="4" w:space="0" w:color="FFFFFF" w:themeColor="background1"/>
              <w:bottom w:val="single" w:sz="12" w:space="0" w:color="FFFFFF" w:themeColor="background1"/>
              <w:right w:val="single" w:sz="4" w:space="0" w:color="FFFFFF" w:themeColor="background1"/>
            </w:tcBorders>
            <w:shd w:val="clear" w:color="auto" w:fill="E2EFD9" w:themeFill="accent6" w:themeFillTint="33"/>
            <w:vAlign w:val="center"/>
          </w:tcPr>
          <w:p w14:paraId="70A4FD41" w14:textId="37232C4F" w:rsidR="00C806A1" w:rsidRDefault="00C806A1" w:rsidP="00C806A1">
            <w:pPr>
              <w:rPr>
                <w:rFonts w:asciiTheme="majorHAnsi" w:hAnsiTheme="majorHAnsi" w:cstheme="majorHAnsi"/>
              </w:rPr>
            </w:pPr>
            <w:r w:rsidRPr="00C806A1">
              <w:rPr>
                <w:rFonts w:asciiTheme="majorHAnsi" w:hAnsiTheme="majorHAnsi" w:cstheme="majorHAnsi"/>
              </w:rPr>
              <w:t>Wykorzystanie unikatowych zasobów przestrzennych, przyrodniczych i kulturowych Subregionu na rzecz dynamicznego rozwoju społeczno-gospodarczego obszaru funkcjonalnego</w:t>
            </w:r>
          </w:p>
        </w:tc>
      </w:tr>
      <w:tr w:rsidR="00C806A1" w14:paraId="381CABE7" w14:textId="77777777" w:rsidTr="00C806A1">
        <w:trPr>
          <w:trHeight w:val="1020"/>
        </w:trPr>
        <w:tc>
          <w:tcPr>
            <w:tcW w:w="1134" w:type="dxa"/>
            <w:tcBorders>
              <w:top w:val="single" w:sz="4" w:space="0" w:color="FFFFFF" w:themeColor="background1"/>
              <w:bottom w:val="single" w:sz="4" w:space="0" w:color="0099FF"/>
              <w:right w:val="single" w:sz="4" w:space="0" w:color="FFFFFF" w:themeColor="background1"/>
            </w:tcBorders>
            <w:shd w:val="clear" w:color="auto" w:fill="FFFFFF" w:themeFill="background1"/>
            <w:vAlign w:val="center"/>
          </w:tcPr>
          <w:p w14:paraId="32CAC725" w14:textId="77777777" w:rsidR="00C806A1" w:rsidRDefault="00C806A1" w:rsidP="00982590">
            <w:pPr>
              <w:jc w:val="center"/>
              <w:rPr>
                <w:rFonts w:asciiTheme="majorHAnsi" w:hAnsiTheme="majorHAnsi" w:cstheme="majorHAnsi"/>
              </w:rPr>
            </w:pPr>
          </w:p>
        </w:tc>
        <w:tc>
          <w:tcPr>
            <w:tcW w:w="7926" w:type="dxa"/>
            <w:gridSpan w:val="2"/>
            <w:tcBorders>
              <w:top w:val="single" w:sz="12" w:space="0" w:color="FFFFFF" w:themeColor="background1"/>
              <w:left w:val="single" w:sz="4" w:space="0" w:color="FFFFFF" w:themeColor="background1"/>
              <w:bottom w:val="single" w:sz="12" w:space="0" w:color="FFFFFF" w:themeColor="background1"/>
              <w:right w:val="single" w:sz="4" w:space="0" w:color="FFFFFF" w:themeColor="background1"/>
            </w:tcBorders>
            <w:shd w:val="clear" w:color="auto" w:fill="B3EBFF"/>
            <w:vAlign w:val="center"/>
          </w:tcPr>
          <w:p w14:paraId="28469DB3" w14:textId="7517AD5B" w:rsidR="00C806A1" w:rsidRPr="00C806A1" w:rsidRDefault="00C806A1" w:rsidP="00C806A1">
            <w:pPr>
              <w:rPr>
                <w:rFonts w:asciiTheme="majorHAnsi" w:hAnsiTheme="majorHAnsi" w:cstheme="majorHAnsi"/>
              </w:rPr>
            </w:pPr>
            <w:r w:rsidRPr="00C806A1">
              <w:rPr>
                <w:rFonts w:asciiTheme="majorHAnsi" w:hAnsiTheme="majorHAnsi" w:cstheme="majorHAnsi"/>
              </w:rPr>
              <w:t>Wzmacnianie kapitału społecznego jako kluczowego potencjału Subregionu, którego wartość będzie decydowała o jego przyszłym sukcesie konkurencyjnym</w:t>
            </w:r>
          </w:p>
        </w:tc>
      </w:tr>
      <w:tr w:rsidR="00C806A1" w14:paraId="277A753F" w14:textId="77777777" w:rsidTr="00C806A1">
        <w:trPr>
          <w:trHeight w:val="1020"/>
        </w:trPr>
        <w:tc>
          <w:tcPr>
            <w:tcW w:w="1134" w:type="dxa"/>
            <w:tcBorders>
              <w:top w:val="single" w:sz="4" w:space="0" w:color="FFFFFF" w:themeColor="background1"/>
              <w:bottom w:val="single" w:sz="4" w:space="0" w:color="0099FF"/>
              <w:right w:val="single" w:sz="4" w:space="0" w:color="FFFFFF" w:themeColor="background1"/>
            </w:tcBorders>
            <w:shd w:val="clear" w:color="auto" w:fill="FFFFFF" w:themeFill="background1"/>
            <w:vAlign w:val="center"/>
          </w:tcPr>
          <w:p w14:paraId="3981329B" w14:textId="77777777" w:rsidR="00C806A1" w:rsidRDefault="00C806A1" w:rsidP="00982590">
            <w:pPr>
              <w:jc w:val="center"/>
              <w:rPr>
                <w:rFonts w:asciiTheme="majorHAnsi" w:hAnsiTheme="majorHAnsi" w:cstheme="majorHAnsi"/>
              </w:rPr>
            </w:pPr>
          </w:p>
        </w:tc>
        <w:tc>
          <w:tcPr>
            <w:tcW w:w="7926" w:type="dxa"/>
            <w:gridSpan w:val="2"/>
            <w:tcBorders>
              <w:top w:val="single" w:sz="12"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EEAF6" w:themeFill="accent1" w:themeFillTint="33"/>
            <w:vAlign w:val="center"/>
          </w:tcPr>
          <w:p w14:paraId="2C7F3755" w14:textId="401AB354" w:rsidR="00C806A1" w:rsidRPr="00C806A1" w:rsidRDefault="00C806A1" w:rsidP="00C806A1">
            <w:pPr>
              <w:rPr>
                <w:rFonts w:asciiTheme="majorHAnsi" w:hAnsiTheme="majorHAnsi" w:cstheme="majorHAnsi"/>
              </w:rPr>
            </w:pPr>
            <w:r w:rsidRPr="00C806A1">
              <w:rPr>
                <w:rFonts w:asciiTheme="majorHAnsi" w:hAnsiTheme="majorHAnsi" w:cstheme="majorHAnsi"/>
              </w:rPr>
              <w:t>Harmonijny rozwój sieci powiązań funkcjonalnych w oparciu o kluczowe ośrodki miejskie Subregionu oraz zasoby obszarów wiejskich w ramach tworzenia spójnego systemu wysokiej jakości usług publicznych</w:t>
            </w:r>
          </w:p>
        </w:tc>
      </w:tr>
    </w:tbl>
    <w:p w14:paraId="5AD6D815" w14:textId="77777777" w:rsidR="00586AD8" w:rsidRPr="00F25EBD" w:rsidRDefault="00586AD8" w:rsidP="00FC7062">
      <w:pPr>
        <w:spacing w:line="276" w:lineRule="auto"/>
        <w:rPr>
          <w:rFonts w:asciiTheme="majorHAnsi" w:hAnsiTheme="majorHAnsi" w:cstheme="majorHAnsi"/>
        </w:rPr>
      </w:pPr>
      <w:r w:rsidRPr="00F25EBD">
        <w:rPr>
          <w:rFonts w:asciiTheme="majorHAnsi" w:hAnsiTheme="majorHAnsi" w:cstheme="majorHAnsi"/>
        </w:rPr>
        <w:br w:type="page"/>
      </w:r>
    </w:p>
    <w:p w14:paraId="698B15C5" w14:textId="50B95825" w:rsidR="005E4E72" w:rsidRPr="00F25EBD" w:rsidRDefault="00C806A1" w:rsidP="00C806A1">
      <w:pPr>
        <w:pStyle w:val="Nagwek1"/>
        <w:spacing w:line="276" w:lineRule="auto"/>
        <w:jc w:val="both"/>
        <w:rPr>
          <w:rFonts w:cstheme="majorHAnsi"/>
        </w:rPr>
      </w:pPr>
      <w:bookmarkStart w:id="109" w:name="_Toc77070634"/>
      <w:r>
        <w:rPr>
          <w:rFonts w:cstheme="majorHAnsi"/>
        </w:rPr>
        <w:t xml:space="preserve">11. </w:t>
      </w:r>
      <w:r w:rsidR="00114BF9" w:rsidRPr="00F25EBD">
        <w:rPr>
          <w:rFonts w:cstheme="majorHAnsi"/>
        </w:rPr>
        <w:t>Założenia rozwojowe</w:t>
      </w:r>
      <w:bookmarkEnd w:id="109"/>
      <w:r w:rsidR="00114BF9" w:rsidRPr="00F25EBD">
        <w:rPr>
          <w:rFonts w:cstheme="majorHAnsi"/>
        </w:rPr>
        <w:t xml:space="preserve"> </w:t>
      </w:r>
    </w:p>
    <w:p w14:paraId="17CF1889" w14:textId="77777777" w:rsidR="00114BF9" w:rsidRPr="00F25EBD" w:rsidRDefault="00114BF9" w:rsidP="00FC7062">
      <w:pPr>
        <w:spacing w:line="276" w:lineRule="auto"/>
        <w:rPr>
          <w:rFonts w:asciiTheme="majorHAnsi" w:hAnsiTheme="majorHAnsi" w:cstheme="majorHAnsi"/>
        </w:rPr>
      </w:pPr>
    </w:p>
    <w:p w14:paraId="7EECFDCF" w14:textId="77777777" w:rsidR="00114BF9" w:rsidRPr="00F25EBD" w:rsidRDefault="00114BF9" w:rsidP="00FC7062">
      <w:pPr>
        <w:spacing w:line="276" w:lineRule="auto"/>
        <w:jc w:val="both"/>
        <w:rPr>
          <w:rFonts w:asciiTheme="majorHAnsi" w:hAnsiTheme="majorHAnsi" w:cstheme="majorHAnsi"/>
          <w:szCs w:val="20"/>
        </w:rPr>
      </w:pPr>
      <w:r w:rsidRPr="00F25EBD">
        <w:rPr>
          <w:rFonts w:asciiTheme="majorHAnsi" w:hAnsiTheme="majorHAnsi" w:cstheme="majorHAnsi"/>
          <w:szCs w:val="20"/>
        </w:rPr>
        <w:t xml:space="preserve">Drugim krokiem następującym po zdefiniowaniu misji i wizji powiatów jest sformułowanie swoistych pól/obszarów w obrębie których będziemy się poruszać w ramach tworzenia i systematyzowania zapisów o charakterze postulatywnym. </w:t>
      </w:r>
    </w:p>
    <w:p w14:paraId="64D1D752" w14:textId="77777777" w:rsidR="00114BF9" w:rsidRPr="00F25EBD" w:rsidRDefault="00114BF9" w:rsidP="00FC7062">
      <w:pPr>
        <w:spacing w:line="276" w:lineRule="auto"/>
        <w:jc w:val="both"/>
        <w:rPr>
          <w:rFonts w:asciiTheme="majorHAnsi" w:hAnsiTheme="majorHAnsi" w:cstheme="majorHAnsi"/>
          <w:szCs w:val="20"/>
        </w:rPr>
      </w:pPr>
      <w:r w:rsidRPr="00F25EBD">
        <w:rPr>
          <w:rFonts w:asciiTheme="majorHAnsi" w:hAnsiTheme="majorHAnsi" w:cstheme="majorHAnsi"/>
          <w:szCs w:val="20"/>
        </w:rPr>
        <w:t xml:space="preserve">W odróżnieniu od wizji i misji, które mają charakter jedynie ramowy, kierunkowy odnoszący się do poziomu wartości, obszary planowania strategicznego są konkretne i w istocie zawężają założenia rozwojowe do konkretnych domen. Oczywiście wynikają one z ustaleń misji i wizji niemniej stanowią swoistą nową jakość planistyczną i podłoże pod wyznaczenie celów strategicznych zgodnych (odwołujących się) z koncepcją S.M.A.R.T. </w:t>
      </w:r>
    </w:p>
    <w:p w14:paraId="613E5EFF" w14:textId="77777777" w:rsidR="00114BF9" w:rsidRPr="00F25EBD" w:rsidRDefault="00114BF9" w:rsidP="00FC7062">
      <w:pPr>
        <w:spacing w:line="276" w:lineRule="auto"/>
        <w:jc w:val="both"/>
        <w:rPr>
          <w:rFonts w:asciiTheme="majorHAnsi" w:hAnsiTheme="majorHAnsi" w:cstheme="majorHAnsi"/>
          <w:szCs w:val="20"/>
        </w:rPr>
      </w:pPr>
      <w:r w:rsidRPr="00F25EBD">
        <w:rPr>
          <w:rFonts w:asciiTheme="majorHAnsi" w:hAnsiTheme="majorHAnsi" w:cstheme="majorHAnsi"/>
          <w:szCs w:val="20"/>
        </w:rPr>
        <w:t xml:space="preserve">W ramach procesu planowania strategicznego wyznaczono cztery </w:t>
      </w:r>
      <w:r w:rsidR="000A55C3" w:rsidRPr="00F25EBD">
        <w:rPr>
          <w:rFonts w:asciiTheme="majorHAnsi" w:hAnsiTheme="majorHAnsi" w:cstheme="majorHAnsi"/>
          <w:szCs w:val="20"/>
        </w:rPr>
        <w:t>domeny strategiczne</w:t>
      </w:r>
      <w:r w:rsidRPr="00F25EBD">
        <w:rPr>
          <w:rFonts w:asciiTheme="majorHAnsi" w:hAnsiTheme="majorHAnsi" w:cstheme="majorHAnsi"/>
          <w:szCs w:val="20"/>
        </w:rPr>
        <w:t xml:space="preserve">. Zakres tematyczny </w:t>
      </w:r>
      <w:r w:rsidR="00ED0443" w:rsidRPr="00F25EBD">
        <w:rPr>
          <w:rFonts w:asciiTheme="majorHAnsi" w:hAnsiTheme="majorHAnsi" w:cstheme="majorHAnsi"/>
          <w:szCs w:val="20"/>
        </w:rPr>
        <w:t>domen</w:t>
      </w:r>
      <w:r w:rsidRPr="00F25EBD">
        <w:rPr>
          <w:rFonts w:asciiTheme="majorHAnsi" w:hAnsiTheme="majorHAnsi" w:cstheme="majorHAnsi"/>
          <w:szCs w:val="20"/>
        </w:rPr>
        <w:t xml:space="preserve"> jest uznaniowy niemniej na potrzeby zaplanowania interwencji stanowi on trzon planistyczny. Chcąc zachować przejrzystość każdorazowo zaszeregowano</w:t>
      </w:r>
      <w:r w:rsidR="00ED0443" w:rsidRPr="00F25EBD">
        <w:rPr>
          <w:rFonts w:asciiTheme="majorHAnsi" w:hAnsiTheme="majorHAnsi" w:cstheme="majorHAnsi"/>
          <w:szCs w:val="20"/>
        </w:rPr>
        <w:t xml:space="preserve"> każdej</w:t>
      </w:r>
      <w:r w:rsidRPr="00F25EBD">
        <w:rPr>
          <w:rFonts w:asciiTheme="majorHAnsi" w:hAnsiTheme="majorHAnsi" w:cstheme="majorHAnsi"/>
          <w:szCs w:val="20"/>
        </w:rPr>
        <w:t xml:space="preserve"> z </w:t>
      </w:r>
      <w:r w:rsidR="00ED0443" w:rsidRPr="00F25EBD">
        <w:rPr>
          <w:rFonts w:asciiTheme="majorHAnsi" w:hAnsiTheme="majorHAnsi" w:cstheme="majorHAnsi"/>
          <w:szCs w:val="20"/>
        </w:rPr>
        <w:t xml:space="preserve">domen </w:t>
      </w:r>
      <w:r w:rsidRPr="00F25EBD">
        <w:rPr>
          <w:rFonts w:asciiTheme="majorHAnsi" w:hAnsiTheme="majorHAnsi" w:cstheme="majorHAnsi"/>
          <w:szCs w:val="20"/>
        </w:rPr>
        <w:t xml:space="preserve">konkretne komponenty. </w:t>
      </w:r>
    </w:p>
    <w:p w14:paraId="36A65779" w14:textId="77777777" w:rsidR="00C806A1" w:rsidRDefault="00DE5D87" w:rsidP="00C806A1">
      <w:pPr>
        <w:pStyle w:val="nad"/>
      </w:pPr>
      <w:r w:rsidRPr="00F25EBD">
        <w:t>Rysunek . Domeny strategiczne Obszaru Funkcjonalnego Południowe Mazury</w:t>
      </w:r>
    </w:p>
    <w:tbl>
      <w:tblPr>
        <w:tblStyle w:val="Tabela-Siatka"/>
        <w:tblW w:w="0" w:type="auto"/>
        <w:tblInd w:w="1515" w:type="dxa"/>
        <w:tblBorders>
          <w:top w:val="single" w:sz="36" w:space="0" w:color="FFFFFF" w:themeColor="background1"/>
          <w:left w:val="single" w:sz="36" w:space="0" w:color="FFFFFF" w:themeColor="background1"/>
          <w:bottom w:val="single" w:sz="36" w:space="0" w:color="FFFFFF" w:themeColor="background1"/>
          <w:right w:val="single" w:sz="36" w:space="0" w:color="FFFFFF" w:themeColor="background1"/>
          <w:insideH w:val="single" w:sz="36" w:space="0" w:color="FFFFFF" w:themeColor="background1"/>
          <w:insideV w:val="single" w:sz="36" w:space="0" w:color="FFFFFF" w:themeColor="background1"/>
        </w:tblBorders>
        <w:tblLook w:val="04A0" w:firstRow="1" w:lastRow="0" w:firstColumn="1" w:lastColumn="0" w:noHBand="0" w:noVBand="1"/>
      </w:tblPr>
      <w:tblGrid>
        <w:gridCol w:w="2835"/>
        <w:gridCol w:w="2835"/>
      </w:tblGrid>
      <w:tr w:rsidR="00C806A1" w14:paraId="7FA08BBF" w14:textId="77777777" w:rsidTr="006B3241">
        <w:trPr>
          <w:trHeight w:val="2835"/>
        </w:trPr>
        <w:tc>
          <w:tcPr>
            <w:tcW w:w="2835" w:type="dxa"/>
            <w:tcBorders>
              <w:bottom w:val="single" w:sz="36" w:space="0" w:color="FFFFFF" w:themeColor="background1"/>
            </w:tcBorders>
            <w:shd w:val="clear" w:color="auto" w:fill="0099FF"/>
            <w:vAlign w:val="center"/>
          </w:tcPr>
          <w:p w14:paraId="7BF4FA8C" w14:textId="77777777" w:rsidR="00C806A1" w:rsidRPr="006B3241" w:rsidRDefault="00C806A1" w:rsidP="00C806A1">
            <w:pPr>
              <w:pStyle w:val="Legenda"/>
              <w:spacing w:after="0"/>
              <w:jc w:val="center"/>
              <w:rPr>
                <w:rFonts w:asciiTheme="majorHAnsi" w:hAnsiTheme="majorHAnsi" w:cstheme="majorHAnsi"/>
                <w:b/>
                <w:i w:val="0"/>
                <w:color w:val="FFFFFF" w:themeColor="background1"/>
                <w:sz w:val="36"/>
                <w:szCs w:val="22"/>
              </w:rPr>
            </w:pPr>
            <w:r w:rsidRPr="006B3241">
              <w:rPr>
                <w:rFonts w:asciiTheme="majorHAnsi" w:hAnsiTheme="majorHAnsi" w:cstheme="majorHAnsi"/>
                <w:b/>
                <w:i w:val="0"/>
                <w:color w:val="FFFFFF" w:themeColor="background1"/>
                <w:sz w:val="36"/>
                <w:szCs w:val="22"/>
              </w:rPr>
              <w:t>Infrastruktura publiczna</w:t>
            </w:r>
          </w:p>
          <w:p w14:paraId="2FF6C6A0" w14:textId="61C8FF29" w:rsidR="00C806A1" w:rsidRPr="006B3241" w:rsidRDefault="00C806A1" w:rsidP="00C806A1">
            <w:pPr>
              <w:pStyle w:val="Legenda"/>
              <w:spacing w:after="0"/>
              <w:jc w:val="center"/>
              <w:rPr>
                <w:rFonts w:asciiTheme="majorHAnsi" w:hAnsiTheme="majorHAnsi" w:cstheme="majorHAnsi"/>
                <w:b/>
                <w:i w:val="0"/>
                <w:color w:val="FFFFFF" w:themeColor="background1"/>
                <w:sz w:val="36"/>
                <w:szCs w:val="22"/>
              </w:rPr>
            </w:pPr>
            <w:r w:rsidRPr="006B3241">
              <w:rPr>
                <w:rFonts w:asciiTheme="majorHAnsi" w:hAnsiTheme="majorHAnsi" w:cstheme="majorHAnsi"/>
                <w:b/>
                <w:i w:val="0"/>
                <w:color w:val="FFFFFF" w:themeColor="background1"/>
                <w:sz w:val="36"/>
                <w:szCs w:val="22"/>
              </w:rPr>
              <w:t>i środowisko</w:t>
            </w:r>
          </w:p>
        </w:tc>
        <w:tc>
          <w:tcPr>
            <w:tcW w:w="2835" w:type="dxa"/>
            <w:shd w:val="clear" w:color="auto" w:fill="92D050"/>
            <w:vAlign w:val="center"/>
          </w:tcPr>
          <w:p w14:paraId="292EB348" w14:textId="2D6A9705" w:rsidR="00C806A1" w:rsidRPr="006B3241" w:rsidRDefault="00C806A1" w:rsidP="00C806A1">
            <w:pPr>
              <w:pStyle w:val="Legenda"/>
              <w:spacing w:after="0"/>
              <w:jc w:val="center"/>
              <w:rPr>
                <w:rFonts w:asciiTheme="majorHAnsi" w:hAnsiTheme="majorHAnsi" w:cstheme="majorHAnsi"/>
                <w:b/>
                <w:i w:val="0"/>
                <w:color w:val="FFFFFF" w:themeColor="background1"/>
                <w:sz w:val="36"/>
                <w:szCs w:val="22"/>
              </w:rPr>
            </w:pPr>
            <w:r w:rsidRPr="006B3241">
              <w:rPr>
                <w:rFonts w:asciiTheme="majorHAnsi" w:hAnsiTheme="majorHAnsi" w:cstheme="majorHAnsi"/>
                <w:b/>
                <w:i w:val="0"/>
                <w:color w:val="FFFFFF" w:themeColor="background1"/>
                <w:sz w:val="36"/>
                <w:szCs w:val="22"/>
              </w:rPr>
              <w:t>Gospodarka</w:t>
            </w:r>
          </w:p>
        </w:tc>
      </w:tr>
      <w:tr w:rsidR="00C806A1" w14:paraId="5EC905E5" w14:textId="77777777" w:rsidTr="006B3241">
        <w:trPr>
          <w:trHeight w:val="2835"/>
        </w:trPr>
        <w:tc>
          <w:tcPr>
            <w:tcW w:w="2835" w:type="dxa"/>
            <w:tcBorders>
              <w:bottom w:val="nil"/>
            </w:tcBorders>
            <w:shd w:val="clear" w:color="auto" w:fill="A6A6A6" w:themeFill="background1" w:themeFillShade="A6"/>
            <w:vAlign w:val="center"/>
          </w:tcPr>
          <w:p w14:paraId="4D1E203D" w14:textId="415E617B" w:rsidR="00C806A1" w:rsidRPr="006B3241" w:rsidRDefault="009005C6" w:rsidP="00C806A1">
            <w:pPr>
              <w:pStyle w:val="Legenda"/>
              <w:spacing w:after="0"/>
              <w:jc w:val="center"/>
              <w:rPr>
                <w:rFonts w:asciiTheme="majorHAnsi" w:hAnsiTheme="majorHAnsi" w:cstheme="majorHAnsi"/>
                <w:b/>
                <w:i w:val="0"/>
                <w:color w:val="FFFFFF" w:themeColor="background1"/>
                <w:sz w:val="36"/>
                <w:szCs w:val="22"/>
              </w:rPr>
            </w:pPr>
            <w:r w:rsidRPr="006B3241">
              <w:rPr>
                <w:rFonts w:asciiTheme="majorHAnsi" w:hAnsiTheme="majorHAnsi" w:cstheme="majorHAnsi"/>
                <w:b/>
                <w:i w:val="0"/>
                <w:color w:val="FFFFFF" w:themeColor="background1"/>
                <w:sz w:val="36"/>
                <w:szCs w:val="22"/>
              </w:rPr>
              <w:t>Usługi publiczne</w:t>
            </w:r>
          </w:p>
        </w:tc>
        <w:tc>
          <w:tcPr>
            <w:tcW w:w="2835" w:type="dxa"/>
            <w:shd w:val="clear" w:color="auto" w:fill="7030A0"/>
            <w:vAlign w:val="center"/>
          </w:tcPr>
          <w:p w14:paraId="17C795C3" w14:textId="44CE96F2" w:rsidR="00C806A1" w:rsidRPr="006B3241" w:rsidRDefault="00C806A1" w:rsidP="00C806A1">
            <w:pPr>
              <w:pStyle w:val="Legenda"/>
              <w:spacing w:after="0"/>
              <w:jc w:val="center"/>
              <w:rPr>
                <w:rFonts w:asciiTheme="majorHAnsi" w:hAnsiTheme="majorHAnsi" w:cstheme="majorHAnsi"/>
                <w:b/>
                <w:i w:val="0"/>
                <w:color w:val="FFFFFF" w:themeColor="background1"/>
                <w:sz w:val="36"/>
                <w:szCs w:val="22"/>
              </w:rPr>
            </w:pPr>
            <w:r w:rsidRPr="006B3241">
              <w:rPr>
                <w:rFonts w:asciiTheme="majorHAnsi" w:hAnsiTheme="majorHAnsi" w:cstheme="majorHAnsi"/>
                <w:b/>
                <w:i w:val="0"/>
                <w:color w:val="FFFFFF" w:themeColor="background1"/>
                <w:sz w:val="36"/>
                <w:szCs w:val="22"/>
              </w:rPr>
              <w:t>Aktywna wspólnota</w:t>
            </w:r>
          </w:p>
        </w:tc>
      </w:tr>
    </w:tbl>
    <w:p w14:paraId="4D588E22" w14:textId="4F53AB24" w:rsidR="00F462A2" w:rsidRPr="00F25EBD" w:rsidRDefault="00114BF9" w:rsidP="00805223">
      <w:pPr>
        <w:spacing w:after="0" w:line="276" w:lineRule="auto"/>
        <w:jc w:val="both"/>
        <w:rPr>
          <w:rFonts w:asciiTheme="majorHAnsi" w:hAnsiTheme="majorHAnsi" w:cstheme="majorHAnsi"/>
          <w:szCs w:val="20"/>
        </w:rPr>
      </w:pPr>
      <w:r w:rsidRPr="00F25EBD">
        <w:rPr>
          <w:rFonts w:asciiTheme="majorHAnsi" w:hAnsiTheme="majorHAnsi" w:cstheme="majorHAnsi"/>
          <w:noProof/>
          <w:szCs w:val="20"/>
          <w:lang w:eastAsia="pl-PL"/>
        </w:rPr>
        <mc:AlternateContent>
          <mc:Choice Requires="wps">
            <w:drawing>
              <wp:anchor distT="45720" distB="45720" distL="114300" distR="114300" simplePos="0" relativeHeight="251667456" behindDoc="0" locked="0" layoutInCell="1" allowOverlap="1" wp14:anchorId="65D94EED" wp14:editId="0FCFEDD9">
                <wp:simplePos x="0" y="0"/>
                <wp:positionH relativeFrom="margin">
                  <wp:posOffset>-121920</wp:posOffset>
                </wp:positionH>
                <wp:positionV relativeFrom="paragraph">
                  <wp:posOffset>26670</wp:posOffset>
                </wp:positionV>
                <wp:extent cx="2360930" cy="1463040"/>
                <wp:effectExtent l="0" t="0" r="1270" b="3810"/>
                <wp:wrapSquare wrapText="bothSides"/>
                <wp:docPr id="19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63040"/>
                        </a:xfrm>
                        <a:prstGeom prst="rect">
                          <a:avLst/>
                        </a:prstGeom>
                        <a:solidFill>
                          <a:srgbClr val="FFFFFF"/>
                        </a:solidFill>
                        <a:ln w="9525">
                          <a:noFill/>
                          <a:miter lim="800000"/>
                          <a:headEnd/>
                          <a:tailEnd/>
                        </a:ln>
                      </wps:spPr>
                      <wps:txbx>
                        <w:txbxContent>
                          <w:p w14:paraId="480A3EC0" w14:textId="77777777" w:rsidR="006D24CC" w:rsidRPr="00374F5F" w:rsidRDefault="006D24CC" w:rsidP="00982590">
                            <w:pPr>
                              <w:shd w:val="clear" w:color="auto" w:fill="0099FF"/>
                              <w:spacing w:after="0" w:line="240" w:lineRule="auto"/>
                              <w:jc w:val="center"/>
                              <w:rPr>
                                <w:color w:val="FFFFFF" w:themeColor="background1"/>
                                <w:sz w:val="40"/>
                                <w:szCs w:val="40"/>
                              </w:rPr>
                            </w:pPr>
                            <w:r w:rsidRPr="00374F5F">
                              <w:rPr>
                                <w:b/>
                                <w:bCs/>
                                <w:color w:val="FFFFFF" w:themeColor="background1"/>
                                <w:sz w:val="40"/>
                                <w:szCs w:val="40"/>
                              </w:rPr>
                              <w:t xml:space="preserve">I. </w:t>
                            </w:r>
                            <w:r w:rsidRPr="00374F5F">
                              <w:rPr>
                                <w:color w:val="FFFFFF" w:themeColor="background1"/>
                                <w:sz w:val="40"/>
                                <w:szCs w:val="40"/>
                              </w:rPr>
                              <w:br/>
                              <w:t xml:space="preserve">Infrastruktura publiczna </w:t>
                            </w:r>
                            <w:r w:rsidRPr="00374F5F">
                              <w:rPr>
                                <w:color w:val="FFFFFF" w:themeColor="background1"/>
                                <w:sz w:val="40"/>
                                <w:szCs w:val="40"/>
                              </w:rPr>
                              <w:br/>
                              <w:t>i środowisko</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65D94EED" id="_x0000_t202" coordsize="21600,21600" o:spt="202" path="m,l,21600r21600,l21600,xe">
                <v:stroke joinstyle="miter"/>
                <v:path gradientshapeok="t" o:connecttype="rect"/>
              </v:shapetype>
              <v:shape id="Pole tekstowe 2" o:spid="_x0000_s1026" type="#_x0000_t202" style="position:absolute;left:0;text-align:left;margin-left:-9.6pt;margin-top:2.1pt;width:185.9pt;height:115.2pt;z-index:251667456;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" stroked="f">
                <v:textbox>
                  <w:txbxContent>
                    <w:p w14:paraId="480A3EC0" w14:textId="77777777" w:rsidR="006D24CC" w:rsidRPr="00374F5F" w:rsidRDefault="006D24CC" w:rsidP="00982590">
                      <w:pPr>
                        <w:shd w:val="clear" w:color="auto" w:fill="0099FF"/>
                        <w:spacing w:after="0" w:line="240" w:lineRule="auto"/>
                        <w:jc w:val="center"/>
                        <w:rPr>
                          <w:color w:val="FFFFFF" w:themeColor="background1"/>
                          <w:sz w:val="40"/>
                          <w:szCs w:val="40"/>
                        </w:rPr>
                      </w:pPr>
                      <w:r w:rsidRPr="00374F5F">
                        <w:rPr>
                          <w:b/>
                          <w:bCs/>
                          <w:color w:val="FFFFFF" w:themeColor="background1"/>
                          <w:sz w:val="40"/>
                          <w:szCs w:val="40"/>
                        </w:rPr>
                        <w:t xml:space="preserve">I. </w:t>
                      </w:r>
                      <w:r w:rsidRPr="00374F5F">
                        <w:rPr>
                          <w:color w:val="FFFFFF" w:themeColor="background1"/>
                          <w:sz w:val="40"/>
                          <w:szCs w:val="40"/>
                        </w:rPr>
                        <w:br/>
                        <w:t xml:space="preserve">Infrastruktura publiczna </w:t>
                      </w:r>
                      <w:r w:rsidRPr="00374F5F">
                        <w:rPr>
                          <w:color w:val="FFFFFF" w:themeColor="background1"/>
                          <w:sz w:val="40"/>
                          <w:szCs w:val="40"/>
                        </w:rPr>
                        <w:br/>
                        <w:t>i środowisko</w:t>
                      </w:r>
                    </w:p>
                  </w:txbxContent>
                </v:textbox>
                <w10:wrap type="square" anchorx="margin"/>
              </v:shape>
            </w:pict>
          </mc:Fallback>
        </mc:AlternateContent>
      </w:r>
      <w:r w:rsidRPr="00F25EBD">
        <w:rPr>
          <w:rFonts w:asciiTheme="majorHAnsi" w:hAnsiTheme="majorHAnsi" w:cstheme="majorHAnsi"/>
          <w:szCs w:val="20"/>
        </w:rPr>
        <w:t xml:space="preserve">Pierwszy obszar planowania odnosi się do kwestii drogownictwa, dróg publicznych </w:t>
      </w:r>
      <w:r w:rsidR="00055951" w:rsidRPr="00F25EBD">
        <w:rPr>
          <w:rFonts w:asciiTheme="majorHAnsi" w:hAnsiTheme="majorHAnsi" w:cstheme="majorHAnsi"/>
          <w:szCs w:val="20"/>
        </w:rPr>
        <w:t>znajdujących się na terenie OF</w:t>
      </w:r>
      <w:r w:rsidR="00F462A2" w:rsidRPr="00F25EBD">
        <w:rPr>
          <w:rFonts w:asciiTheme="majorHAnsi" w:hAnsiTheme="majorHAnsi" w:cstheme="majorHAnsi"/>
          <w:szCs w:val="20"/>
        </w:rPr>
        <w:t xml:space="preserve"> oraz środowiska przyrodniczego</w:t>
      </w:r>
      <w:r w:rsidRPr="00F25EBD">
        <w:rPr>
          <w:rFonts w:asciiTheme="majorHAnsi" w:hAnsiTheme="majorHAnsi" w:cstheme="majorHAnsi"/>
          <w:szCs w:val="20"/>
        </w:rPr>
        <w:t>. Należy tutaj również wskazać na kwestie związane z</w:t>
      </w:r>
      <w:r w:rsidR="00055951" w:rsidRPr="00F25EBD">
        <w:rPr>
          <w:rFonts w:asciiTheme="majorHAnsi" w:hAnsiTheme="majorHAnsi" w:cstheme="majorHAnsi"/>
          <w:szCs w:val="20"/>
        </w:rPr>
        <w:t xml:space="preserve"> </w:t>
      </w:r>
      <w:r w:rsidRPr="00F25EBD">
        <w:rPr>
          <w:rFonts w:asciiTheme="majorHAnsi" w:hAnsiTheme="majorHAnsi" w:cstheme="majorHAnsi"/>
          <w:szCs w:val="20"/>
        </w:rPr>
        <w:t xml:space="preserve">lobbingiem na rzecz zwiększenia dostępności komunikacyjnej co jest związane z reprezentowaniem interesu </w:t>
      </w:r>
      <w:r w:rsidR="00055951" w:rsidRPr="00F25EBD">
        <w:rPr>
          <w:rFonts w:asciiTheme="majorHAnsi" w:hAnsiTheme="majorHAnsi" w:cstheme="majorHAnsi"/>
          <w:szCs w:val="20"/>
        </w:rPr>
        <w:t xml:space="preserve">OF </w:t>
      </w:r>
      <w:r w:rsidRPr="00F25EBD">
        <w:rPr>
          <w:rFonts w:asciiTheme="majorHAnsi" w:hAnsiTheme="majorHAnsi" w:cstheme="majorHAnsi"/>
          <w:szCs w:val="20"/>
        </w:rPr>
        <w:t xml:space="preserve">jako obszaru składającego się z </w:t>
      </w:r>
      <w:r w:rsidR="00055951" w:rsidRPr="00F25EBD">
        <w:rPr>
          <w:rFonts w:asciiTheme="majorHAnsi" w:hAnsiTheme="majorHAnsi" w:cstheme="majorHAnsi"/>
          <w:szCs w:val="20"/>
        </w:rPr>
        <w:t>czterech powiatów</w:t>
      </w:r>
      <w:r w:rsidRPr="00F25EBD">
        <w:rPr>
          <w:rFonts w:asciiTheme="majorHAnsi" w:hAnsiTheme="majorHAnsi" w:cstheme="majorHAnsi"/>
          <w:szCs w:val="20"/>
        </w:rPr>
        <w:t>. Infrastruktura komunikacyjna to bardzo ważny czynnik budujący atrakcyjność inwestycyjną</w:t>
      </w:r>
      <w:r w:rsidR="00982590">
        <w:rPr>
          <w:rFonts w:asciiTheme="majorHAnsi" w:hAnsiTheme="majorHAnsi" w:cstheme="majorHAnsi"/>
          <w:szCs w:val="20"/>
        </w:rPr>
        <w:t>.</w:t>
      </w:r>
    </w:p>
    <w:p w14:paraId="59519C1F" w14:textId="77777777" w:rsidR="00114BF9" w:rsidRPr="00F25EBD" w:rsidRDefault="00114BF9" w:rsidP="00AD7C77">
      <w:pPr>
        <w:spacing w:line="276" w:lineRule="auto"/>
        <w:jc w:val="both"/>
        <w:rPr>
          <w:rFonts w:asciiTheme="majorHAnsi" w:hAnsiTheme="majorHAnsi" w:cstheme="majorHAnsi"/>
          <w:szCs w:val="20"/>
        </w:rPr>
      </w:pPr>
      <w:r w:rsidRPr="00F25EBD">
        <w:rPr>
          <w:rFonts w:asciiTheme="majorHAnsi" w:hAnsiTheme="majorHAnsi" w:cstheme="majorHAnsi"/>
          <w:szCs w:val="20"/>
        </w:rPr>
        <w:t xml:space="preserve">Infrastruktura publiczna i </w:t>
      </w:r>
      <w:r w:rsidR="00F462A2" w:rsidRPr="00F25EBD">
        <w:rPr>
          <w:rFonts w:asciiTheme="majorHAnsi" w:hAnsiTheme="majorHAnsi" w:cstheme="majorHAnsi"/>
          <w:szCs w:val="20"/>
        </w:rPr>
        <w:t xml:space="preserve">środowisko </w:t>
      </w:r>
      <w:r w:rsidRPr="00F25EBD">
        <w:rPr>
          <w:rFonts w:asciiTheme="majorHAnsi" w:hAnsiTheme="majorHAnsi" w:cstheme="majorHAnsi"/>
          <w:szCs w:val="20"/>
        </w:rPr>
        <w:t>to priorytetowe wyzwania strategiczne obejmujące m.in. następujące komponenty: drogi publiczne</w:t>
      </w:r>
      <w:r w:rsidR="00F403C8" w:rsidRPr="00F25EBD">
        <w:rPr>
          <w:rFonts w:asciiTheme="majorHAnsi" w:hAnsiTheme="majorHAnsi" w:cstheme="majorHAnsi"/>
          <w:szCs w:val="20"/>
        </w:rPr>
        <w:t xml:space="preserve"> </w:t>
      </w:r>
      <w:r w:rsidR="00186332" w:rsidRPr="00F25EBD">
        <w:rPr>
          <w:rFonts w:asciiTheme="majorHAnsi" w:hAnsiTheme="majorHAnsi" w:cstheme="majorHAnsi"/>
          <w:szCs w:val="20"/>
        </w:rPr>
        <w:t>aktywne</w:t>
      </w:r>
      <w:r w:rsidR="00186332" w:rsidRPr="00F25EBD">
        <w:rPr>
          <w:rFonts w:asciiTheme="majorHAnsi" w:hAnsiTheme="majorHAnsi" w:cstheme="majorHAnsi"/>
          <w:sz w:val="8"/>
          <w:szCs w:val="20"/>
        </w:rPr>
        <w:t xml:space="preserve"> </w:t>
      </w:r>
      <w:r w:rsidR="00186332" w:rsidRPr="00F25EBD">
        <w:rPr>
          <w:rFonts w:asciiTheme="majorHAnsi" w:hAnsiTheme="majorHAnsi" w:cstheme="majorHAnsi"/>
          <w:szCs w:val="20"/>
        </w:rPr>
        <w:t>działania lobbingowe.</w:t>
      </w:r>
      <w:r w:rsidRPr="00F25EBD">
        <w:rPr>
          <w:rFonts w:asciiTheme="majorHAnsi" w:hAnsiTheme="majorHAnsi" w:cstheme="majorHAnsi"/>
          <w:szCs w:val="20"/>
        </w:rPr>
        <w:t xml:space="preserve"> </w:t>
      </w:r>
    </w:p>
    <w:p w14:paraId="2ADF2F13" w14:textId="075A79F1" w:rsidR="00186332" w:rsidRDefault="00186332" w:rsidP="00805223">
      <w:pPr>
        <w:spacing w:after="0" w:line="276" w:lineRule="auto"/>
        <w:jc w:val="both"/>
        <w:rPr>
          <w:rFonts w:asciiTheme="majorHAnsi" w:hAnsiTheme="majorHAnsi" w:cstheme="majorHAnsi"/>
          <w:szCs w:val="20"/>
        </w:rPr>
      </w:pPr>
      <w:r w:rsidRPr="00F25EBD">
        <w:rPr>
          <w:rFonts w:asciiTheme="majorHAnsi" w:hAnsiTheme="majorHAnsi" w:cstheme="majorHAnsi"/>
          <w:szCs w:val="20"/>
        </w:rPr>
        <w:t xml:space="preserve">Środowisko to priorytetowe wyzwanie strategiczne obejmujące m.in. ochrona bioróżnorodności, udostępnianie terenów atrakcyjnych przyrodniczo, jakość środowiska naturalnego, gospodarka wodna, adaptacja do zmian klimatu. </w:t>
      </w:r>
    </w:p>
    <w:p w14:paraId="3504BBC3" w14:textId="77777777" w:rsidR="00982590" w:rsidRPr="00805223" w:rsidRDefault="00982590" w:rsidP="00FC7062">
      <w:pPr>
        <w:spacing w:line="276" w:lineRule="auto"/>
        <w:jc w:val="both"/>
        <w:rPr>
          <w:rFonts w:asciiTheme="majorHAnsi" w:hAnsiTheme="majorHAnsi" w:cstheme="majorHAnsi"/>
          <w:sz w:val="2"/>
          <w:szCs w:val="2"/>
        </w:rPr>
      </w:pPr>
    </w:p>
    <w:p w14:paraId="40D9827E" w14:textId="4697D447" w:rsidR="00F403C8" w:rsidRPr="00F25EBD" w:rsidRDefault="00982590" w:rsidP="00F5779E">
      <w:pPr>
        <w:spacing w:line="276" w:lineRule="auto"/>
        <w:jc w:val="both"/>
        <w:rPr>
          <w:rFonts w:asciiTheme="majorHAnsi" w:hAnsiTheme="majorHAnsi" w:cstheme="majorHAnsi"/>
          <w:szCs w:val="20"/>
        </w:rPr>
      </w:pPr>
      <w:r w:rsidRPr="00F25EBD">
        <w:rPr>
          <w:rFonts w:asciiTheme="majorHAnsi" w:hAnsiTheme="majorHAnsi" w:cstheme="majorHAnsi"/>
          <w:noProof/>
          <w:szCs w:val="20"/>
          <w:lang w:eastAsia="pl-PL"/>
        </w:rPr>
        <mc:AlternateContent>
          <mc:Choice Requires="wps">
            <w:drawing>
              <wp:anchor distT="45720" distB="45720" distL="114300" distR="114300" simplePos="0" relativeHeight="251668480" behindDoc="1" locked="0" layoutInCell="1" allowOverlap="1" wp14:anchorId="46485BDF" wp14:editId="21E272CA">
                <wp:simplePos x="0" y="0"/>
                <wp:positionH relativeFrom="margin">
                  <wp:posOffset>-107950</wp:posOffset>
                </wp:positionH>
                <wp:positionV relativeFrom="paragraph">
                  <wp:posOffset>10160</wp:posOffset>
                </wp:positionV>
                <wp:extent cx="2194560" cy="1287780"/>
                <wp:effectExtent l="0" t="0" r="15240" b="26670"/>
                <wp:wrapSquare wrapText="bothSides"/>
                <wp:docPr id="198"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4560" cy="1287780"/>
                        </a:xfrm>
                        <a:prstGeom prst="rect">
                          <a:avLst/>
                        </a:prstGeom>
                        <a:solidFill>
                          <a:srgbClr val="FFFFFF"/>
                        </a:solidFill>
                        <a:ln w="9525">
                          <a:solidFill>
                            <a:schemeClr val="bg1"/>
                          </a:solidFill>
                          <a:miter lim="800000"/>
                          <a:headEnd/>
                          <a:tailEnd/>
                        </a:ln>
                      </wps:spPr>
                      <wps:txbx>
                        <w:txbxContent>
                          <w:p w14:paraId="0BA3C164" w14:textId="77777777" w:rsidR="006D24CC" w:rsidRDefault="006D24CC" w:rsidP="006B3241">
                            <w:pPr>
                              <w:shd w:val="clear" w:color="auto" w:fill="92D050"/>
                              <w:spacing w:after="0" w:line="240" w:lineRule="auto"/>
                              <w:rPr>
                                <w:b/>
                                <w:bCs/>
                                <w:color w:val="FFFFFF" w:themeColor="background1"/>
                                <w:sz w:val="40"/>
                                <w:szCs w:val="40"/>
                              </w:rPr>
                            </w:pPr>
                          </w:p>
                          <w:p w14:paraId="243EBE92" w14:textId="77777777" w:rsidR="006D24CC" w:rsidRPr="00374F5F" w:rsidRDefault="006D24CC" w:rsidP="006B3241">
                            <w:pPr>
                              <w:shd w:val="clear" w:color="auto" w:fill="92D050"/>
                              <w:spacing w:after="0" w:line="240" w:lineRule="auto"/>
                              <w:jc w:val="center"/>
                              <w:rPr>
                                <w:color w:val="FFFFFF" w:themeColor="background1"/>
                                <w:sz w:val="40"/>
                                <w:szCs w:val="40"/>
                              </w:rPr>
                            </w:pPr>
                            <w:r w:rsidRPr="00374F5F">
                              <w:rPr>
                                <w:b/>
                                <w:bCs/>
                                <w:color w:val="FFFFFF" w:themeColor="background1"/>
                                <w:sz w:val="40"/>
                                <w:szCs w:val="40"/>
                              </w:rPr>
                              <w:t xml:space="preserve">II. </w:t>
                            </w:r>
                            <w:r w:rsidRPr="00374F5F">
                              <w:rPr>
                                <w:color w:val="FFFFFF" w:themeColor="background1"/>
                                <w:sz w:val="40"/>
                                <w:szCs w:val="40"/>
                              </w:rPr>
                              <w:br/>
                              <w:t xml:space="preserve">Gospodarka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485BDF" id="_x0000_s1027" type="#_x0000_t202" style="position:absolute;left:0;text-align:left;margin-left:-8.5pt;margin-top:.8pt;width:172.8pt;height:101.4pt;z-index:-2516480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" strokecolor="white [3212]">
                <v:textbox>
                  <w:txbxContent>
                    <w:p w14:paraId="0BA3C164" w14:textId="77777777" w:rsidR="006D24CC" w:rsidRDefault="006D24CC" w:rsidP="006B3241">
                      <w:pPr>
                        <w:shd w:val="clear" w:color="auto" w:fill="92D050"/>
                        <w:spacing w:after="0" w:line="240" w:lineRule="auto"/>
                        <w:rPr>
                          <w:b/>
                          <w:bCs/>
                          <w:color w:val="FFFFFF" w:themeColor="background1"/>
                          <w:sz w:val="40"/>
                          <w:szCs w:val="40"/>
                        </w:rPr>
                      </w:pPr>
                    </w:p>
                    <w:p w14:paraId="243EBE92" w14:textId="77777777" w:rsidR="006D24CC" w:rsidRPr="00374F5F" w:rsidRDefault="006D24CC" w:rsidP="006B3241">
                      <w:pPr>
                        <w:shd w:val="clear" w:color="auto" w:fill="92D050"/>
                        <w:spacing w:after="0" w:line="240" w:lineRule="auto"/>
                        <w:jc w:val="center"/>
                        <w:rPr>
                          <w:color w:val="FFFFFF" w:themeColor="background1"/>
                          <w:sz w:val="40"/>
                          <w:szCs w:val="40"/>
                        </w:rPr>
                      </w:pPr>
                      <w:r w:rsidRPr="00374F5F">
                        <w:rPr>
                          <w:b/>
                          <w:bCs/>
                          <w:color w:val="FFFFFF" w:themeColor="background1"/>
                          <w:sz w:val="40"/>
                          <w:szCs w:val="40"/>
                        </w:rPr>
                        <w:t xml:space="preserve">II. </w:t>
                      </w:r>
                      <w:r w:rsidRPr="00374F5F">
                        <w:rPr>
                          <w:color w:val="FFFFFF" w:themeColor="background1"/>
                          <w:sz w:val="40"/>
                          <w:szCs w:val="40"/>
                        </w:rPr>
                        <w:br/>
                        <w:t xml:space="preserve">Gospodarka </w:t>
                      </w:r>
                    </w:p>
                  </w:txbxContent>
                </v:textbox>
                <w10:wrap type="square" anchorx="margin"/>
              </v:shape>
            </w:pict>
          </mc:Fallback>
        </mc:AlternateContent>
      </w:r>
      <w:r w:rsidR="00114BF9" w:rsidRPr="00F25EBD">
        <w:rPr>
          <w:rFonts w:asciiTheme="majorHAnsi" w:hAnsiTheme="majorHAnsi" w:cstheme="majorHAnsi"/>
          <w:szCs w:val="20"/>
        </w:rPr>
        <w:t xml:space="preserve">Drugi obszar planowania strategicznego </w:t>
      </w:r>
      <w:r w:rsidR="00577843">
        <w:rPr>
          <w:rFonts w:asciiTheme="majorHAnsi" w:hAnsiTheme="majorHAnsi" w:cstheme="majorHAnsi"/>
          <w:szCs w:val="20"/>
        </w:rPr>
        <w:t xml:space="preserve">to </w:t>
      </w:r>
      <w:r w:rsidR="00F403C8" w:rsidRPr="00F25EBD">
        <w:rPr>
          <w:rFonts w:asciiTheme="majorHAnsi" w:hAnsiTheme="majorHAnsi" w:cstheme="majorHAnsi"/>
          <w:szCs w:val="20"/>
        </w:rPr>
        <w:t>gospodarka. Tematy objęte obszarem planowania są najczęściej artykułowane jako kluczowe z punktu widzenia najbliższych lat, ma to związek</w:t>
      </w:r>
      <w:r w:rsidR="006B3241">
        <w:rPr>
          <w:rFonts w:asciiTheme="majorHAnsi" w:hAnsiTheme="majorHAnsi" w:cstheme="majorHAnsi"/>
          <w:szCs w:val="20"/>
        </w:rPr>
        <w:t xml:space="preserve"> </w:t>
      </w:r>
      <w:r w:rsidR="00577843">
        <w:rPr>
          <w:rFonts w:asciiTheme="majorHAnsi" w:hAnsiTheme="majorHAnsi" w:cstheme="majorHAnsi"/>
          <w:szCs w:val="20"/>
        </w:rPr>
        <w:br/>
      </w:r>
      <w:r w:rsidR="00F403C8" w:rsidRPr="00F25EBD">
        <w:rPr>
          <w:rFonts w:asciiTheme="majorHAnsi" w:hAnsiTheme="majorHAnsi" w:cstheme="majorHAnsi"/>
          <w:szCs w:val="20"/>
        </w:rPr>
        <w:t>z</w:t>
      </w:r>
      <w:r w:rsidR="006B3241">
        <w:rPr>
          <w:rFonts w:asciiTheme="majorHAnsi" w:hAnsiTheme="majorHAnsi" w:cstheme="majorHAnsi"/>
          <w:szCs w:val="20"/>
        </w:rPr>
        <w:t xml:space="preserve"> </w:t>
      </w:r>
      <w:r w:rsidR="00F403C8" w:rsidRPr="00F25EBD">
        <w:rPr>
          <w:rFonts w:asciiTheme="majorHAnsi" w:hAnsiTheme="majorHAnsi" w:cstheme="majorHAnsi"/>
          <w:szCs w:val="20"/>
        </w:rPr>
        <w:t xml:space="preserve">identyfikowanymi deficytami oraz oczekiwaniami, szczególnie w obrębie poprawy atrakcyjności inwestycyjnej obszaru oraz rynku pracy. </w:t>
      </w:r>
    </w:p>
    <w:p w14:paraId="736FFDDA" w14:textId="70F9CCCD" w:rsidR="00F403C8" w:rsidRDefault="006820AC" w:rsidP="00805223">
      <w:pPr>
        <w:spacing w:after="0" w:line="276" w:lineRule="auto"/>
        <w:jc w:val="both"/>
        <w:rPr>
          <w:rFonts w:asciiTheme="majorHAnsi" w:hAnsiTheme="majorHAnsi" w:cstheme="majorHAnsi"/>
          <w:szCs w:val="20"/>
        </w:rPr>
      </w:pPr>
      <w:r w:rsidRPr="00F25EBD">
        <w:rPr>
          <w:rFonts w:asciiTheme="majorHAnsi" w:hAnsiTheme="majorHAnsi" w:cstheme="majorHAnsi"/>
          <w:szCs w:val="20"/>
        </w:rPr>
        <w:t>Gospodarka to istotna domena rozwoju OF obejm</w:t>
      </w:r>
      <w:r w:rsidR="00506A6E">
        <w:rPr>
          <w:rFonts w:asciiTheme="majorHAnsi" w:hAnsiTheme="majorHAnsi" w:cstheme="majorHAnsi"/>
          <w:szCs w:val="20"/>
        </w:rPr>
        <w:t>ująca m.in. tworzenie warunków d</w:t>
      </w:r>
      <w:r w:rsidRPr="00F25EBD">
        <w:rPr>
          <w:rFonts w:asciiTheme="majorHAnsi" w:hAnsiTheme="majorHAnsi" w:cstheme="majorHAnsi"/>
          <w:szCs w:val="20"/>
        </w:rPr>
        <w:t>o rozwoju oferty inwestycyjnej obszaru, promocja gospodarcza OF, aktywna polityka inwestycyjna, gospodarowanie mieniem, dziedzictwo materialne a także</w:t>
      </w:r>
      <w:r w:rsidR="00982590">
        <w:rPr>
          <w:rFonts w:asciiTheme="majorHAnsi" w:hAnsiTheme="majorHAnsi" w:cstheme="majorHAnsi"/>
          <w:szCs w:val="20"/>
        </w:rPr>
        <w:t xml:space="preserve"> </w:t>
      </w:r>
      <w:r w:rsidR="00F403C8" w:rsidRPr="00F25EBD">
        <w:rPr>
          <w:rFonts w:asciiTheme="majorHAnsi" w:hAnsiTheme="majorHAnsi" w:cstheme="majorHAnsi"/>
          <w:szCs w:val="20"/>
        </w:rPr>
        <w:t>przeciwdziałania bezrobociu, ak</w:t>
      </w:r>
      <w:r w:rsidR="00E1404B" w:rsidRPr="00F25EBD">
        <w:rPr>
          <w:rFonts w:asciiTheme="majorHAnsi" w:hAnsiTheme="majorHAnsi" w:cstheme="majorHAnsi"/>
          <w:szCs w:val="20"/>
        </w:rPr>
        <w:t>tywizacji lokalnego rynku pracy.</w:t>
      </w:r>
    </w:p>
    <w:p w14:paraId="5B518859" w14:textId="77777777" w:rsidR="00982590" w:rsidRPr="00805223" w:rsidRDefault="00982590" w:rsidP="00982590">
      <w:pPr>
        <w:spacing w:line="276" w:lineRule="auto"/>
        <w:jc w:val="both"/>
        <w:rPr>
          <w:rFonts w:asciiTheme="majorHAnsi" w:hAnsiTheme="majorHAnsi" w:cstheme="majorHAnsi"/>
          <w:sz w:val="2"/>
          <w:szCs w:val="2"/>
        </w:rPr>
      </w:pPr>
    </w:p>
    <w:p w14:paraId="5475CE1E" w14:textId="3A620F3D" w:rsidR="00262054" w:rsidRPr="00F25EBD" w:rsidRDefault="00114BF9" w:rsidP="00FC7062">
      <w:pPr>
        <w:spacing w:line="276" w:lineRule="auto"/>
        <w:jc w:val="both"/>
        <w:rPr>
          <w:rFonts w:asciiTheme="majorHAnsi" w:hAnsiTheme="majorHAnsi" w:cstheme="majorHAnsi"/>
          <w:szCs w:val="20"/>
        </w:rPr>
      </w:pPr>
      <w:r w:rsidRPr="00F25EBD">
        <w:rPr>
          <w:rFonts w:asciiTheme="majorHAnsi" w:hAnsiTheme="majorHAnsi" w:cstheme="majorHAnsi"/>
          <w:noProof/>
          <w:szCs w:val="20"/>
          <w:lang w:eastAsia="pl-PL"/>
        </w:rPr>
        <mc:AlternateContent>
          <mc:Choice Requires="wps">
            <w:drawing>
              <wp:anchor distT="45720" distB="45720" distL="114300" distR="114300" simplePos="0" relativeHeight="251671552" behindDoc="0" locked="0" layoutInCell="1" allowOverlap="1" wp14:anchorId="56F330CC" wp14:editId="5DF147BA">
                <wp:simplePos x="0" y="0"/>
                <wp:positionH relativeFrom="margin">
                  <wp:align>left</wp:align>
                </wp:positionH>
                <wp:positionV relativeFrom="paragraph">
                  <wp:posOffset>0</wp:posOffset>
                </wp:positionV>
                <wp:extent cx="2001520" cy="1274445"/>
                <wp:effectExtent l="0" t="0" r="17780" b="20955"/>
                <wp:wrapSquare wrapText="bothSides"/>
                <wp:docPr id="204"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1982" cy="1274445"/>
                        </a:xfrm>
                        <a:prstGeom prst="rect">
                          <a:avLst/>
                        </a:prstGeom>
                        <a:solidFill>
                          <a:schemeClr val="bg1"/>
                        </a:solidFill>
                        <a:ln w="9525">
                          <a:solidFill>
                            <a:schemeClr val="bg1"/>
                          </a:solidFill>
                          <a:miter lim="800000"/>
                          <a:headEnd/>
                          <a:tailEnd/>
                        </a:ln>
                      </wps:spPr>
                      <wps:txbx>
                        <w:txbxContent>
                          <w:p w14:paraId="23C6D964" w14:textId="77777777" w:rsidR="006D24CC" w:rsidRDefault="006D24CC" w:rsidP="006B3241">
                            <w:pPr>
                              <w:shd w:val="clear" w:color="auto" w:fill="A6A6A6" w:themeFill="background1" w:themeFillShade="A6"/>
                              <w:spacing w:after="0" w:line="240" w:lineRule="auto"/>
                              <w:jc w:val="center"/>
                              <w:rPr>
                                <w:b/>
                                <w:color w:val="FFFFFF" w:themeColor="background1"/>
                                <w:sz w:val="40"/>
                                <w:szCs w:val="40"/>
                              </w:rPr>
                            </w:pPr>
                          </w:p>
                          <w:p w14:paraId="1E8EA51A" w14:textId="77777777" w:rsidR="006D24CC" w:rsidRPr="00374F5F" w:rsidRDefault="006D24CC" w:rsidP="006B3241">
                            <w:pPr>
                              <w:shd w:val="clear" w:color="auto" w:fill="A6A6A6" w:themeFill="background1" w:themeFillShade="A6"/>
                              <w:spacing w:after="0" w:line="240" w:lineRule="auto"/>
                              <w:jc w:val="center"/>
                              <w:rPr>
                                <w:b/>
                                <w:color w:val="FFFFFF" w:themeColor="background1"/>
                                <w:sz w:val="40"/>
                                <w:szCs w:val="40"/>
                              </w:rPr>
                            </w:pPr>
                            <w:r w:rsidRPr="00374F5F">
                              <w:rPr>
                                <w:b/>
                                <w:color w:val="FFFFFF" w:themeColor="background1"/>
                                <w:sz w:val="40"/>
                                <w:szCs w:val="40"/>
                              </w:rPr>
                              <w:t>III.</w:t>
                            </w:r>
                          </w:p>
                          <w:p w14:paraId="61608CC4" w14:textId="77777777" w:rsidR="006D24CC" w:rsidRPr="00374F5F" w:rsidRDefault="006D24CC" w:rsidP="006B3241">
                            <w:pPr>
                              <w:shd w:val="clear" w:color="auto" w:fill="A6A6A6" w:themeFill="background1" w:themeFillShade="A6"/>
                              <w:spacing w:after="0" w:line="240" w:lineRule="auto"/>
                              <w:jc w:val="center"/>
                              <w:rPr>
                                <w:color w:val="FFFFFF" w:themeColor="background1"/>
                                <w:sz w:val="40"/>
                                <w:szCs w:val="40"/>
                              </w:rPr>
                            </w:pPr>
                            <w:r w:rsidRPr="00374F5F">
                              <w:rPr>
                                <w:color w:val="FFFFFF" w:themeColor="background1"/>
                                <w:sz w:val="40"/>
                                <w:szCs w:val="40"/>
                              </w:rPr>
                              <w:t>Usługi publiczne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F330CC" id="_x0000_s1028" type="#_x0000_t202" style="position:absolute;left:0;text-align:left;margin-left:0;margin-top:0;width:157.6pt;height:100.35pt;z-index:25167155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" fillcolor="white [3212]" strokecolor="white [3212]">
                <v:textbox>
                  <w:txbxContent>
                    <w:p w14:paraId="23C6D964" w14:textId="77777777" w:rsidR="006D24CC" w:rsidRDefault="006D24CC" w:rsidP="006B3241">
                      <w:pPr>
                        <w:shd w:val="clear" w:color="auto" w:fill="A6A6A6" w:themeFill="background1" w:themeFillShade="A6"/>
                        <w:spacing w:after="0" w:line="240" w:lineRule="auto"/>
                        <w:jc w:val="center"/>
                        <w:rPr>
                          <w:b/>
                          <w:color w:val="FFFFFF" w:themeColor="background1"/>
                          <w:sz w:val="40"/>
                          <w:szCs w:val="40"/>
                        </w:rPr>
                      </w:pPr>
                    </w:p>
                    <w:p w14:paraId="1E8EA51A" w14:textId="77777777" w:rsidR="006D24CC" w:rsidRPr="00374F5F" w:rsidRDefault="006D24CC" w:rsidP="006B3241">
                      <w:pPr>
                        <w:shd w:val="clear" w:color="auto" w:fill="A6A6A6" w:themeFill="background1" w:themeFillShade="A6"/>
                        <w:spacing w:after="0" w:line="240" w:lineRule="auto"/>
                        <w:jc w:val="center"/>
                        <w:rPr>
                          <w:b/>
                          <w:color w:val="FFFFFF" w:themeColor="background1"/>
                          <w:sz w:val="40"/>
                          <w:szCs w:val="40"/>
                        </w:rPr>
                      </w:pPr>
                      <w:r w:rsidRPr="00374F5F">
                        <w:rPr>
                          <w:b/>
                          <w:color w:val="FFFFFF" w:themeColor="background1"/>
                          <w:sz w:val="40"/>
                          <w:szCs w:val="40"/>
                        </w:rPr>
                        <w:t>III.</w:t>
                      </w:r>
                    </w:p>
                    <w:p w14:paraId="61608CC4" w14:textId="77777777" w:rsidR="006D24CC" w:rsidRPr="00374F5F" w:rsidRDefault="006D24CC" w:rsidP="006B3241">
                      <w:pPr>
                        <w:shd w:val="clear" w:color="auto" w:fill="A6A6A6" w:themeFill="background1" w:themeFillShade="A6"/>
                        <w:spacing w:after="0" w:line="240" w:lineRule="auto"/>
                        <w:jc w:val="center"/>
                        <w:rPr>
                          <w:color w:val="FFFFFF" w:themeColor="background1"/>
                          <w:sz w:val="40"/>
                          <w:szCs w:val="40"/>
                        </w:rPr>
                      </w:pPr>
                      <w:r w:rsidRPr="00374F5F">
                        <w:rPr>
                          <w:color w:val="FFFFFF" w:themeColor="background1"/>
                          <w:sz w:val="40"/>
                          <w:szCs w:val="40"/>
                        </w:rPr>
                        <w:t>Usługi publiczne</w:t>
                      </w:r>
                    </w:p>
                  </w:txbxContent>
                </v:textbox>
                <w10:wrap type="square" anchorx="margin"/>
              </v:shape>
            </w:pict>
          </mc:Fallback>
        </mc:AlternateContent>
      </w:r>
      <w:r w:rsidR="00262054" w:rsidRPr="00F25EBD">
        <w:rPr>
          <w:rFonts w:asciiTheme="majorHAnsi" w:hAnsiTheme="majorHAnsi" w:cstheme="majorHAnsi"/>
          <w:szCs w:val="20"/>
        </w:rPr>
        <w:t>W ramach trzeciej domeny zgrupowano usługi pu</w:t>
      </w:r>
      <w:r w:rsidR="00E1404B" w:rsidRPr="00F25EBD">
        <w:rPr>
          <w:rFonts w:asciiTheme="majorHAnsi" w:hAnsiTheme="majorHAnsi" w:cstheme="majorHAnsi"/>
          <w:szCs w:val="20"/>
        </w:rPr>
        <w:t>bliczne świadczone mieszkańcom</w:t>
      </w:r>
      <w:r w:rsidR="00262054" w:rsidRPr="00F25EBD">
        <w:rPr>
          <w:rFonts w:asciiTheme="majorHAnsi" w:hAnsiTheme="majorHAnsi" w:cstheme="majorHAnsi"/>
          <w:szCs w:val="20"/>
        </w:rPr>
        <w:t xml:space="preserve">. Obejmują one te aspekty aktywności </w:t>
      </w:r>
      <w:r w:rsidR="00E1404B" w:rsidRPr="00F25EBD">
        <w:rPr>
          <w:rFonts w:asciiTheme="majorHAnsi" w:hAnsiTheme="majorHAnsi" w:cstheme="majorHAnsi"/>
          <w:szCs w:val="20"/>
        </w:rPr>
        <w:t>OF</w:t>
      </w:r>
      <w:r w:rsidR="00262054" w:rsidRPr="00F25EBD">
        <w:rPr>
          <w:rFonts w:asciiTheme="majorHAnsi" w:hAnsiTheme="majorHAnsi" w:cstheme="majorHAnsi"/>
          <w:szCs w:val="20"/>
        </w:rPr>
        <w:t xml:space="preserve">, które łączą się z zabezpieczaniem potrzeb w konkretnych obszarach. Profesjonalne usługi publiczne odwołują się </w:t>
      </w:r>
      <w:r w:rsidR="006677F6">
        <w:rPr>
          <w:rFonts w:asciiTheme="majorHAnsi" w:hAnsiTheme="majorHAnsi" w:cstheme="majorHAnsi"/>
          <w:szCs w:val="20"/>
        </w:rPr>
        <w:br/>
      </w:r>
      <w:r w:rsidR="00262054" w:rsidRPr="00F25EBD">
        <w:rPr>
          <w:rFonts w:asciiTheme="majorHAnsi" w:hAnsiTheme="majorHAnsi" w:cstheme="majorHAnsi"/>
          <w:szCs w:val="20"/>
        </w:rPr>
        <w:t xml:space="preserve">do zabezpieczenia podstawowych potrzeb społecznych takich jak: transport publiczny, edukacja, ochrona zdrowia, pomoc społeczna czy też świadczenie usług związanych z kulturą. </w:t>
      </w:r>
      <w:r w:rsidR="00F5779E">
        <w:rPr>
          <w:rFonts w:asciiTheme="majorHAnsi" w:hAnsiTheme="majorHAnsi" w:cstheme="majorHAnsi"/>
          <w:szCs w:val="20"/>
        </w:rPr>
        <w:br/>
      </w:r>
      <w:r w:rsidR="00262054" w:rsidRPr="00F25EBD">
        <w:rPr>
          <w:rFonts w:asciiTheme="majorHAnsi" w:hAnsiTheme="majorHAnsi" w:cstheme="majorHAnsi"/>
          <w:szCs w:val="20"/>
        </w:rPr>
        <w:t>W</w:t>
      </w:r>
      <w:r w:rsidR="00F5779E">
        <w:rPr>
          <w:rFonts w:asciiTheme="majorHAnsi" w:hAnsiTheme="majorHAnsi" w:cstheme="majorHAnsi"/>
          <w:szCs w:val="20"/>
        </w:rPr>
        <w:t xml:space="preserve"> </w:t>
      </w:r>
      <w:r w:rsidR="00262054" w:rsidRPr="00F25EBD">
        <w:rPr>
          <w:rFonts w:asciiTheme="majorHAnsi" w:hAnsiTheme="majorHAnsi" w:cstheme="majorHAnsi"/>
          <w:szCs w:val="20"/>
        </w:rPr>
        <w:t>ujęciu zbiorczym, zaproponowany poniżej katalog, wprost odnosi się do kom</w:t>
      </w:r>
      <w:r w:rsidR="00E1404B" w:rsidRPr="00F25EBD">
        <w:rPr>
          <w:rFonts w:asciiTheme="majorHAnsi" w:hAnsiTheme="majorHAnsi" w:cstheme="majorHAnsi"/>
          <w:szCs w:val="20"/>
        </w:rPr>
        <w:t>petencji (zadań własnych powiatów tworzących OF</w:t>
      </w:r>
      <w:r w:rsidR="00262054" w:rsidRPr="00F25EBD">
        <w:rPr>
          <w:rFonts w:asciiTheme="majorHAnsi" w:hAnsiTheme="majorHAnsi" w:cstheme="majorHAnsi"/>
          <w:szCs w:val="20"/>
        </w:rPr>
        <w:t xml:space="preserve">) i dopełnia całość interwencji w ramach wyznaczonych obszarów. </w:t>
      </w:r>
    </w:p>
    <w:p w14:paraId="5E08630F" w14:textId="55DD5FC6" w:rsidR="00262054" w:rsidRPr="00805223" w:rsidRDefault="006B3241" w:rsidP="00FC7062">
      <w:pPr>
        <w:spacing w:line="276" w:lineRule="auto"/>
        <w:jc w:val="both"/>
        <w:rPr>
          <w:rFonts w:asciiTheme="majorHAnsi" w:hAnsiTheme="majorHAnsi" w:cstheme="majorHAnsi"/>
          <w:sz w:val="2"/>
          <w:szCs w:val="2"/>
        </w:rPr>
      </w:pPr>
      <w:r w:rsidRPr="00F25EBD">
        <w:rPr>
          <w:rFonts w:asciiTheme="majorHAnsi" w:hAnsiTheme="majorHAnsi" w:cstheme="majorHAnsi"/>
          <w:noProof/>
          <w:szCs w:val="20"/>
          <w:lang w:eastAsia="pl-PL"/>
        </w:rPr>
        <mc:AlternateContent>
          <mc:Choice Requires="wps">
            <w:drawing>
              <wp:anchor distT="45720" distB="45720" distL="114300" distR="114300" simplePos="0" relativeHeight="251696128" behindDoc="0" locked="0" layoutInCell="1" allowOverlap="1" wp14:anchorId="2682A445" wp14:editId="04F15923">
                <wp:simplePos x="0" y="0"/>
                <wp:positionH relativeFrom="margin">
                  <wp:posOffset>-62230</wp:posOffset>
                </wp:positionH>
                <wp:positionV relativeFrom="paragraph">
                  <wp:posOffset>124460</wp:posOffset>
                </wp:positionV>
                <wp:extent cx="2063750" cy="1274445"/>
                <wp:effectExtent l="0" t="0" r="0" b="1905"/>
                <wp:wrapSquare wrapText="bothSides"/>
                <wp:docPr id="448"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3750" cy="1274445"/>
                        </a:xfrm>
                        <a:prstGeom prst="rect">
                          <a:avLst/>
                        </a:prstGeom>
                        <a:solidFill>
                          <a:schemeClr val="bg1"/>
                        </a:solidFill>
                        <a:ln w="9525">
                          <a:noFill/>
                          <a:miter lim="800000"/>
                          <a:headEnd/>
                          <a:tailEnd/>
                        </a:ln>
                      </wps:spPr>
                      <wps:txbx>
                        <w:txbxContent>
                          <w:p w14:paraId="71FA1CEA" w14:textId="77777777" w:rsidR="006D24CC" w:rsidRPr="00982590" w:rsidRDefault="006D24CC" w:rsidP="006B3241">
                            <w:pPr>
                              <w:shd w:val="clear" w:color="auto" w:fill="7030A0"/>
                              <w:spacing w:after="0" w:line="240" w:lineRule="auto"/>
                              <w:jc w:val="center"/>
                              <w:rPr>
                                <w:b/>
                                <w:color w:val="FFFFFF" w:themeColor="background1"/>
                                <w:sz w:val="40"/>
                                <w:szCs w:val="40"/>
                              </w:rPr>
                            </w:pPr>
                            <w:r w:rsidRPr="00982590">
                              <w:rPr>
                                <w:b/>
                                <w:color w:val="FFFFFF" w:themeColor="background1"/>
                                <w:sz w:val="40"/>
                                <w:szCs w:val="40"/>
                              </w:rPr>
                              <w:t>IV.</w:t>
                            </w:r>
                          </w:p>
                          <w:p w14:paraId="22FDBFF8" w14:textId="23343100" w:rsidR="006D24CC" w:rsidRPr="00982590" w:rsidRDefault="006D24CC" w:rsidP="006B3241">
                            <w:pPr>
                              <w:shd w:val="clear" w:color="auto" w:fill="7030A0"/>
                              <w:spacing w:after="0" w:line="240" w:lineRule="auto"/>
                              <w:jc w:val="center"/>
                              <w:rPr>
                                <w:bCs/>
                                <w:color w:val="FFFFFF" w:themeColor="background1"/>
                                <w:sz w:val="40"/>
                                <w:szCs w:val="40"/>
                              </w:rPr>
                            </w:pPr>
                            <w:r w:rsidRPr="00982590">
                              <w:rPr>
                                <w:bCs/>
                                <w:color w:val="FFFFFF" w:themeColor="background1"/>
                                <w:sz w:val="40"/>
                                <w:szCs w:val="40"/>
                              </w:rPr>
                              <w:t>Aktywna wspólnota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82A445" id="_x0000_s1029" type="#_x0000_t202" style="position:absolute;left:0;text-align:left;margin-left:-4.9pt;margin-top:9.8pt;width:162.5pt;height:100.35pt;z-index:2516961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" fillcolor="white [3212]" stroked="f">
                <v:textbox>
                  <w:txbxContent>
                    <w:p w14:paraId="71FA1CEA" w14:textId="77777777" w:rsidR="006D24CC" w:rsidRPr="00982590" w:rsidRDefault="006D24CC" w:rsidP="006B3241">
                      <w:pPr>
                        <w:shd w:val="clear" w:color="auto" w:fill="7030A0"/>
                        <w:spacing w:after="0" w:line="240" w:lineRule="auto"/>
                        <w:jc w:val="center"/>
                        <w:rPr>
                          <w:b/>
                          <w:color w:val="FFFFFF" w:themeColor="background1"/>
                          <w:sz w:val="40"/>
                          <w:szCs w:val="40"/>
                        </w:rPr>
                      </w:pPr>
                      <w:r w:rsidRPr="00982590">
                        <w:rPr>
                          <w:b/>
                          <w:color w:val="FFFFFF" w:themeColor="background1"/>
                          <w:sz w:val="40"/>
                          <w:szCs w:val="40"/>
                        </w:rPr>
                        <w:t>IV.</w:t>
                      </w:r>
                    </w:p>
                    <w:p w14:paraId="22FDBFF8" w14:textId="23343100" w:rsidR="006D24CC" w:rsidRPr="00982590" w:rsidRDefault="006D24CC" w:rsidP="006B3241">
                      <w:pPr>
                        <w:shd w:val="clear" w:color="auto" w:fill="7030A0"/>
                        <w:spacing w:after="0" w:line="240" w:lineRule="auto"/>
                        <w:jc w:val="center"/>
                        <w:rPr>
                          <w:bCs/>
                          <w:color w:val="FFFFFF" w:themeColor="background1"/>
                          <w:sz w:val="40"/>
                          <w:szCs w:val="40"/>
                        </w:rPr>
                      </w:pPr>
                      <w:r w:rsidRPr="00982590">
                        <w:rPr>
                          <w:bCs/>
                          <w:color w:val="FFFFFF" w:themeColor="background1"/>
                          <w:sz w:val="40"/>
                          <w:szCs w:val="40"/>
                        </w:rPr>
                        <w:t>Aktywna wspólnota</w:t>
                      </w:r>
                    </w:p>
                  </w:txbxContent>
                </v:textbox>
                <w10:wrap type="square" anchorx="margin"/>
              </v:shape>
            </w:pict>
          </mc:Fallback>
        </mc:AlternateContent>
      </w:r>
    </w:p>
    <w:p w14:paraId="02CD2592" w14:textId="5B473587" w:rsidR="00E1404B" w:rsidRPr="00F25EBD" w:rsidRDefault="00114BF9" w:rsidP="00FC7062">
      <w:pPr>
        <w:spacing w:line="276" w:lineRule="auto"/>
        <w:jc w:val="both"/>
        <w:rPr>
          <w:rFonts w:asciiTheme="majorHAnsi" w:hAnsiTheme="majorHAnsi" w:cstheme="majorHAnsi"/>
          <w:szCs w:val="20"/>
        </w:rPr>
      </w:pPr>
      <w:r w:rsidRPr="00F25EBD">
        <w:rPr>
          <w:rFonts w:asciiTheme="majorHAnsi" w:hAnsiTheme="majorHAnsi" w:cstheme="majorHAnsi"/>
          <w:szCs w:val="20"/>
        </w:rPr>
        <w:t>W ramach czwarte</w:t>
      </w:r>
      <w:r w:rsidR="00E1404B" w:rsidRPr="00F25EBD">
        <w:rPr>
          <w:rFonts w:asciiTheme="majorHAnsi" w:hAnsiTheme="majorHAnsi" w:cstheme="majorHAnsi"/>
          <w:szCs w:val="20"/>
        </w:rPr>
        <w:t xml:space="preserve">j domeny ujęto kwestie społeczeństwa obywatelskiego oraz integracji społecznej. Jest to bardzo istotne wyzwanie, szczególnie biorąc pod uwagę poziom rozwoju tego sektora oraz słabość w zakresie funkcjonowania organizacji pozarządowych, określanych mianem infrastrukturalnych. Poza wskazanym elementem należy podejmować również działania ukierunkowane na wspólnotę, traktowaniem obszaru </w:t>
      </w:r>
      <w:r w:rsidR="008F791C" w:rsidRPr="00F25EBD">
        <w:rPr>
          <w:rFonts w:asciiTheme="majorHAnsi" w:hAnsiTheme="majorHAnsi" w:cstheme="majorHAnsi"/>
          <w:szCs w:val="20"/>
        </w:rPr>
        <w:t xml:space="preserve">OF </w:t>
      </w:r>
      <w:r w:rsidR="00E1404B" w:rsidRPr="00F25EBD">
        <w:rPr>
          <w:rFonts w:asciiTheme="majorHAnsi" w:hAnsiTheme="majorHAnsi" w:cstheme="majorHAnsi"/>
          <w:szCs w:val="20"/>
        </w:rPr>
        <w:t xml:space="preserve">jako wspólnoty mieszkańców, która kieruje się podobnymi wartościami. Współpraca i działalności na rzecz organizacji pozarządowych, a tym samym społeczności to podstawowy filar obszaru interwencji, jego drugim komponentem jest sprawne i efektywne funkcjonowanie administracji samorządu powiatowego w wymiarze usług świadczonych mieszkańcom przede wszystkim w kontekście kwestii geodezyjnych czy też komunikacyjnych. </w:t>
      </w:r>
    </w:p>
    <w:p w14:paraId="132713D4" w14:textId="77777777" w:rsidR="00E1404B" w:rsidRPr="00F25EBD" w:rsidRDefault="00E1404B" w:rsidP="00FC7062">
      <w:pPr>
        <w:spacing w:line="276" w:lineRule="auto"/>
        <w:jc w:val="both"/>
        <w:rPr>
          <w:rFonts w:asciiTheme="majorHAnsi" w:hAnsiTheme="majorHAnsi" w:cstheme="majorHAnsi"/>
          <w:szCs w:val="20"/>
        </w:rPr>
      </w:pPr>
      <w:r w:rsidRPr="00F25EBD">
        <w:rPr>
          <w:rFonts w:asciiTheme="majorHAnsi" w:hAnsiTheme="majorHAnsi" w:cstheme="majorHAnsi"/>
          <w:szCs w:val="20"/>
        </w:rPr>
        <w:t xml:space="preserve">Jako integralną część obszaru traktuje się zagadnienia związane z kulturą przede wszystkim ze względu na jej kluczowe znaczenie dla budowy i wzmacniania kapitału społecznego, ludzkiego oraz w perspektywie potencjału do ich akumulacji. </w:t>
      </w:r>
    </w:p>
    <w:p w14:paraId="5D3071ED" w14:textId="77777777" w:rsidR="008801E2" w:rsidRPr="00F25EBD" w:rsidRDefault="008801E2" w:rsidP="00FC7062">
      <w:pPr>
        <w:spacing w:line="276" w:lineRule="auto"/>
        <w:rPr>
          <w:rFonts w:asciiTheme="majorHAnsi" w:hAnsiTheme="majorHAnsi" w:cstheme="majorHAnsi"/>
        </w:rPr>
      </w:pPr>
    </w:p>
    <w:p w14:paraId="268F6DA3" w14:textId="62FFCC53" w:rsidR="008801E2" w:rsidRPr="00805223" w:rsidRDefault="00805223" w:rsidP="00805223">
      <w:pPr>
        <w:pStyle w:val="Nagwek2"/>
      </w:pPr>
      <w:bookmarkStart w:id="110" w:name="_Toc77070635"/>
      <w:r w:rsidRPr="00805223">
        <w:t xml:space="preserve">11.1 </w:t>
      </w:r>
      <w:r w:rsidR="00F5674C" w:rsidRPr="00805223">
        <w:t>C</w:t>
      </w:r>
      <w:r w:rsidR="008801E2" w:rsidRPr="00805223">
        <w:t>ele strategiczne</w:t>
      </w:r>
      <w:bookmarkEnd w:id="110"/>
      <w:r w:rsidR="008801E2" w:rsidRPr="00805223">
        <w:t xml:space="preserve"> </w:t>
      </w:r>
    </w:p>
    <w:p w14:paraId="7959975F" w14:textId="77777777" w:rsidR="00320474" w:rsidRPr="00F25EBD" w:rsidRDefault="00320474" w:rsidP="00FC7062">
      <w:pPr>
        <w:spacing w:line="276" w:lineRule="auto"/>
        <w:jc w:val="both"/>
        <w:rPr>
          <w:rFonts w:asciiTheme="majorHAnsi" w:hAnsiTheme="majorHAnsi" w:cstheme="majorHAnsi"/>
          <w:szCs w:val="20"/>
        </w:rPr>
      </w:pPr>
      <w:r w:rsidRPr="00F25EBD">
        <w:rPr>
          <w:rFonts w:asciiTheme="majorHAnsi" w:hAnsiTheme="majorHAnsi" w:cstheme="majorHAnsi"/>
          <w:szCs w:val="20"/>
        </w:rPr>
        <w:t xml:space="preserve">Cele strategiczne wynikają z demarkacji wyznaczonych obszarów interwencji strategicznej i tworzą ramy dla sieci wyspecyfikowanych celów strategicznych. Należy przyjąć, że treść i brzmienie celów strategicznych buduje ramy kluczowe z punktu widzenia osiągniecia pożądanej zmiany w </w:t>
      </w:r>
      <w:r w:rsidR="003A789D" w:rsidRPr="00F25EBD">
        <w:rPr>
          <w:rFonts w:asciiTheme="majorHAnsi" w:hAnsiTheme="majorHAnsi" w:cstheme="majorHAnsi"/>
          <w:szCs w:val="20"/>
        </w:rPr>
        <w:t>OF</w:t>
      </w:r>
      <w:r w:rsidRPr="00F25EBD">
        <w:rPr>
          <w:rFonts w:asciiTheme="majorHAnsi" w:hAnsiTheme="majorHAnsi" w:cstheme="majorHAnsi"/>
          <w:szCs w:val="20"/>
        </w:rPr>
        <w:t xml:space="preserve"> opisanej w wizji i misji. </w:t>
      </w:r>
    </w:p>
    <w:tbl>
      <w:tblPr>
        <w:tblStyle w:val="Tabela-Siatka"/>
        <w:tblW w:w="9468" w:type="dxa"/>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ook w:val="04A0" w:firstRow="1" w:lastRow="0" w:firstColumn="1" w:lastColumn="0" w:noHBand="0" w:noVBand="1"/>
      </w:tblPr>
      <w:tblGrid>
        <w:gridCol w:w="3656"/>
        <w:gridCol w:w="984"/>
        <w:gridCol w:w="4828"/>
      </w:tblGrid>
      <w:tr w:rsidR="002C7BDC" w:rsidRPr="00F25EBD" w14:paraId="2A2EBE38" w14:textId="77777777" w:rsidTr="006B3241">
        <w:trPr>
          <w:trHeight w:val="1757"/>
        </w:trPr>
        <w:tc>
          <w:tcPr>
            <w:tcW w:w="3656" w:type="dxa"/>
            <w:vMerge w:val="restart"/>
            <w:shd w:val="clear" w:color="auto" w:fill="5B9BD5"/>
            <w:vAlign w:val="center"/>
          </w:tcPr>
          <w:p w14:paraId="7D111995" w14:textId="77777777" w:rsidR="002C7BDC" w:rsidRPr="00F25EBD" w:rsidRDefault="002C7BDC" w:rsidP="006B3241">
            <w:pPr>
              <w:jc w:val="center"/>
              <w:rPr>
                <w:rFonts w:asciiTheme="majorHAnsi" w:hAnsiTheme="majorHAnsi" w:cstheme="majorHAnsi"/>
                <w:color w:val="FFFFFF" w:themeColor="background1"/>
                <w:sz w:val="36"/>
              </w:rPr>
            </w:pPr>
            <w:bookmarkStart w:id="111" w:name="_Hlk53220341"/>
            <w:r w:rsidRPr="00F25EBD">
              <w:rPr>
                <w:rFonts w:asciiTheme="majorHAnsi" w:hAnsiTheme="majorHAnsi" w:cstheme="majorHAnsi"/>
                <w:color w:val="FFFFFF" w:themeColor="background1"/>
                <w:sz w:val="36"/>
              </w:rPr>
              <w:t xml:space="preserve">Infrastruktura publiczna </w:t>
            </w:r>
            <w:r w:rsidRPr="00F25EBD">
              <w:rPr>
                <w:rFonts w:asciiTheme="majorHAnsi" w:hAnsiTheme="majorHAnsi" w:cstheme="majorHAnsi"/>
                <w:color w:val="FFFFFF" w:themeColor="background1"/>
                <w:sz w:val="36"/>
              </w:rPr>
              <w:br/>
              <w:t xml:space="preserve">i </w:t>
            </w:r>
            <w:r w:rsidR="007F1471">
              <w:rPr>
                <w:rFonts w:asciiTheme="majorHAnsi" w:hAnsiTheme="majorHAnsi" w:cstheme="majorHAnsi"/>
                <w:color w:val="FFFFFF" w:themeColor="background1"/>
                <w:sz w:val="36"/>
              </w:rPr>
              <w:t>środowisko</w:t>
            </w:r>
          </w:p>
        </w:tc>
        <w:tc>
          <w:tcPr>
            <w:tcW w:w="984" w:type="dxa"/>
            <w:vMerge w:val="restart"/>
            <w:vAlign w:val="center"/>
          </w:tcPr>
          <w:p w14:paraId="140F75EC" w14:textId="77777777" w:rsidR="002C7BDC" w:rsidRPr="00F25EBD" w:rsidRDefault="002C7BDC" w:rsidP="006B3241">
            <w:pPr>
              <w:rPr>
                <w:rFonts w:asciiTheme="majorHAnsi" w:hAnsiTheme="majorHAnsi" w:cstheme="majorHAnsi"/>
              </w:rPr>
            </w:pPr>
            <w:r w:rsidRPr="00F25EBD">
              <w:rPr>
                <w:rFonts w:asciiTheme="majorHAnsi" w:hAnsiTheme="majorHAnsi" w:cstheme="majorHAnsi"/>
                <w:noProof/>
                <w:lang w:eastAsia="pl-PL"/>
              </w:rPr>
              <mc:AlternateContent>
                <mc:Choice Requires="wps">
                  <w:drawing>
                    <wp:anchor distT="0" distB="0" distL="114300" distR="114300" simplePos="0" relativeHeight="251688960" behindDoc="0" locked="0" layoutInCell="1" allowOverlap="1" wp14:anchorId="4DFC8B2E" wp14:editId="44123B43">
                      <wp:simplePos x="0" y="0"/>
                      <wp:positionH relativeFrom="column">
                        <wp:posOffset>84455</wp:posOffset>
                      </wp:positionH>
                      <wp:positionV relativeFrom="paragraph">
                        <wp:posOffset>95885</wp:posOffset>
                      </wp:positionV>
                      <wp:extent cx="360680" cy="301625"/>
                      <wp:effectExtent l="0" t="19050" r="39370" b="41275"/>
                      <wp:wrapNone/>
                      <wp:docPr id="200" name="Strzałka w prawo 200"/>
                      <wp:cNvGraphicFramePr/>
                      <a:graphic xmlns:a="http://schemas.openxmlformats.org/drawingml/2006/main">
                        <a:graphicData uri="http://schemas.microsoft.com/office/word/2010/wordprocessingShape">
                          <wps:wsp>
                            <wps:cNvSpPr/>
                            <wps:spPr>
                              <a:xfrm>
                                <a:off x="0" y="0"/>
                                <a:ext cx="360680" cy="301625"/>
                              </a:xfrm>
                              <a:prstGeom prst="rightArrow">
                                <a:avLst/>
                              </a:prstGeom>
                              <a:solidFill>
                                <a:srgbClr val="5B9BD5"/>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CA5E2AA"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Strzałka w prawo 200" o:spid="_x0000_s1026" type="#_x0000_t13" style="position:absolute;margin-left:6.65pt;margin-top:7.55pt;width:28.4pt;height:23.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" adj="12568" fillcolor="#5b9bd5" strokecolor="white [3212]" strokeweight="1pt"/>
                  </w:pict>
                </mc:Fallback>
              </mc:AlternateContent>
            </w:r>
          </w:p>
        </w:tc>
        <w:tc>
          <w:tcPr>
            <w:tcW w:w="4828" w:type="dxa"/>
            <w:shd w:val="clear" w:color="auto" w:fill="C2DAF0"/>
            <w:vAlign w:val="center"/>
          </w:tcPr>
          <w:p w14:paraId="302B9DE6" w14:textId="77777777" w:rsidR="002C7BDC" w:rsidRPr="00F25EBD" w:rsidRDefault="002C7BDC" w:rsidP="006B3241">
            <w:pPr>
              <w:jc w:val="center"/>
              <w:rPr>
                <w:rFonts w:asciiTheme="majorHAnsi" w:hAnsiTheme="majorHAnsi" w:cstheme="majorHAnsi"/>
                <w:b/>
                <w:sz w:val="32"/>
              </w:rPr>
            </w:pPr>
            <w:r w:rsidRPr="00F25EBD">
              <w:rPr>
                <w:rFonts w:asciiTheme="majorHAnsi" w:hAnsiTheme="majorHAnsi" w:cstheme="majorHAnsi"/>
                <w:b/>
                <w:sz w:val="32"/>
              </w:rPr>
              <w:t>Cel strategiczny 1.</w:t>
            </w:r>
          </w:p>
          <w:p w14:paraId="14555F1E" w14:textId="77777777" w:rsidR="002C7BDC" w:rsidRPr="00F25EBD" w:rsidRDefault="002C7BDC" w:rsidP="006B3241">
            <w:pPr>
              <w:jc w:val="center"/>
              <w:rPr>
                <w:rFonts w:asciiTheme="majorHAnsi" w:hAnsiTheme="majorHAnsi" w:cstheme="majorHAnsi"/>
              </w:rPr>
            </w:pPr>
            <w:r w:rsidRPr="00512DE6">
              <w:rPr>
                <w:rFonts w:asciiTheme="majorHAnsi" w:hAnsiTheme="majorHAnsi" w:cstheme="majorHAnsi"/>
                <w:szCs w:val="23"/>
              </w:rPr>
              <w:t>Tworzenie warunków dla dynamicznego wzrostu gospodarczego w oparciu o wydajny układ komunikacyjny i tworzenie atrakcyjnych terenów inwestycyjnych</w:t>
            </w:r>
          </w:p>
        </w:tc>
      </w:tr>
      <w:tr w:rsidR="002C7BDC" w:rsidRPr="00F25EBD" w14:paraId="3E34F595" w14:textId="77777777" w:rsidTr="006B3241">
        <w:trPr>
          <w:trHeight w:val="1437"/>
        </w:trPr>
        <w:tc>
          <w:tcPr>
            <w:tcW w:w="3656" w:type="dxa"/>
            <w:vMerge/>
            <w:shd w:val="clear" w:color="auto" w:fill="5B9BD5"/>
            <w:vAlign w:val="center"/>
          </w:tcPr>
          <w:p w14:paraId="5E442649" w14:textId="77777777" w:rsidR="002C7BDC" w:rsidRPr="00F25EBD" w:rsidRDefault="002C7BDC" w:rsidP="006B3241">
            <w:pPr>
              <w:jc w:val="center"/>
              <w:rPr>
                <w:rFonts w:asciiTheme="majorHAnsi" w:hAnsiTheme="majorHAnsi" w:cstheme="majorHAnsi"/>
                <w:color w:val="FFFFFF" w:themeColor="background1"/>
                <w:sz w:val="36"/>
              </w:rPr>
            </w:pPr>
          </w:p>
        </w:tc>
        <w:tc>
          <w:tcPr>
            <w:tcW w:w="984" w:type="dxa"/>
            <w:vMerge/>
            <w:vAlign w:val="center"/>
          </w:tcPr>
          <w:p w14:paraId="777DA458" w14:textId="77777777" w:rsidR="002C7BDC" w:rsidRPr="00F25EBD" w:rsidRDefault="002C7BDC" w:rsidP="006B3241">
            <w:pPr>
              <w:rPr>
                <w:rFonts w:asciiTheme="majorHAnsi" w:hAnsiTheme="majorHAnsi" w:cstheme="majorHAnsi"/>
                <w:noProof/>
                <w:lang w:eastAsia="pl-PL"/>
              </w:rPr>
            </w:pPr>
          </w:p>
        </w:tc>
        <w:tc>
          <w:tcPr>
            <w:tcW w:w="4828" w:type="dxa"/>
            <w:shd w:val="clear" w:color="auto" w:fill="C2DAF0"/>
            <w:vAlign w:val="center"/>
          </w:tcPr>
          <w:p w14:paraId="2A16BE67" w14:textId="77777777" w:rsidR="002C7BDC" w:rsidRPr="00512DE6" w:rsidRDefault="002C7BDC" w:rsidP="006B3241">
            <w:pPr>
              <w:jc w:val="center"/>
              <w:rPr>
                <w:rFonts w:asciiTheme="majorHAnsi" w:hAnsiTheme="majorHAnsi" w:cstheme="majorHAnsi"/>
                <w:b/>
                <w:sz w:val="32"/>
              </w:rPr>
            </w:pPr>
            <w:r w:rsidRPr="00512DE6">
              <w:rPr>
                <w:rFonts w:asciiTheme="majorHAnsi" w:hAnsiTheme="majorHAnsi" w:cstheme="majorHAnsi"/>
                <w:b/>
                <w:sz w:val="32"/>
              </w:rPr>
              <w:t>Cel strategiczny 2.</w:t>
            </w:r>
          </w:p>
          <w:p w14:paraId="459347C4" w14:textId="1AED651E" w:rsidR="00512DE6" w:rsidRPr="00512DE6" w:rsidRDefault="002C7BDC" w:rsidP="0087682A">
            <w:pPr>
              <w:jc w:val="center"/>
              <w:rPr>
                <w:rFonts w:asciiTheme="majorHAnsi" w:hAnsiTheme="majorHAnsi" w:cstheme="majorHAnsi"/>
                <w:szCs w:val="23"/>
              </w:rPr>
            </w:pPr>
            <w:r w:rsidRPr="00512DE6">
              <w:rPr>
                <w:rFonts w:asciiTheme="majorHAnsi" w:hAnsiTheme="majorHAnsi" w:cstheme="majorHAnsi"/>
                <w:szCs w:val="23"/>
              </w:rPr>
              <w:t xml:space="preserve">Zapewnienie wysokiej jakości życia mieszkańców poprzez efektywną gospodarkę energetyczną, ochronę </w:t>
            </w:r>
            <w:r w:rsidR="0087682A">
              <w:rPr>
                <w:rFonts w:asciiTheme="majorHAnsi" w:hAnsiTheme="majorHAnsi" w:cstheme="majorHAnsi"/>
                <w:szCs w:val="23"/>
              </w:rPr>
              <w:t>ziemi</w:t>
            </w:r>
            <w:r w:rsidRPr="00512DE6">
              <w:rPr>
                <w:rFonts w:asciiTheme="majorHAnsi" w:hAnsiTheme="majorHAnsi" w:cstheme="majorHAnsi"/>
                <w:szCs w:val="23"/>
              </w:rPr>
              <w:t>, powietrza i środowiska naturalnego</w:t>
            </w:r>
          </w:p>
        </w:tc>
      </w:tr>
      <w:tr w:rsidR="008F791C" w:rsidRPr="00F25EBD" w14:paraId="58CA563E" w14:textId="77777777" w:rsidTr="004A6B2F">
        <w:trPr>
          <w:trHeight w:val="1757"/>
        </w:trPr>
        <w:tc>
          <w:tcPr>
            <w:tcW w:w="3656" w:type="dxa"/>
            <w:shd w:val="clear" w:color="auto" w:fill="92D050"/>
            <w:vAlign w:val="center"/>
          </w:tcPr>
          <w:p w14:paraId="10BE24A2" w14:textId="77777777" w:rsidR="008F791C" w:rsidRPr="00F25EBD" w:rsidRDefault="008F791C" w:rsidP="006B3241">
            <w:pPr>
              <w:jc w:val="center"/>
              <w:rPr>
                <w:rFonts w:asciiTheme="majorHAnsi" w:hAnsiTheme="majorHAnsi" w:cstheme="majorHAnsi"/>
                <w:color w:val="FFFFFF" w:themeColor="background1"/>
                <w:sz w:val="36"/>
              </w:rPr>
            </w:pPr>
            <w:r w:rsidRPr="00F25EBD">
              <w:rPr>
                <w:rFonts w:asciiTheme="majorHAnsi" w:hAnsiTheme="majorHAnsi" w:cstheme="majorHAnsi"/>
                <w:color w:val="FFFFFF" w:themeColor="background1"/>
                <w:sz w:val="36"/>
              </w:rPr>
              <w:t>Gospodarka</w:t>
            </w:r>
          </w:p>
        </w:tc>
        <w:tc>
          <w:tcPr>
            <w:tcW w:w="984" w:type="dxa"/>
            <w:vAlign w:val="center"/>
          </w:tcPr>
          <w:p w14:paraId="6990039C" w14:textId="77777777" w:rsidR="008F791C" w:rsidRPr="00F25EBD" w:rsidRDefault="008F791C" w:rsidP="006B3241">
            <w:pPr>
              <w:jc w:val="center"/>
              <w:rPr>
                <w:rFonts w:asciiTheme="majorHAnsi" w:hAnsiTheme="majorHAnsi" w:cstheme="majorHAnsi"/>
              </w:rPr>
            </w:pPr>
            <w:r w:rsidRPr="00F25EBD">
              <w:rPr>
                <w:rFonts w:asciiTheme="majorHAnsi" w:hAnsiTheme="majorHAnsi" w:cstheme="majorHAnsi"/>
                <w:noProof/>
                <w:lang w:eastAsia="pl-PL"/>
              </w:rPr>
              <mc:AlternateContent>
                <mc:Choice Requires="wps">
                  <w:drawing>
                    <wp:anchor distT="0" distB="0" distL="114300" distR="114300" simplePos="0" relativeHeight="251678720" behindDoc="0" locked="0" layoutInCell="1" allowOverlap="1" wp14:anchorId="4424C7FA" wp14:editId="19969FF1">
                      <wp:simplePos x="0" y="0"/>
                      <wp:positionH relativeFrom="column">
                        <wp:posOffset>91440</wp:posOffset>
                      </wp:positionH>
                      <wp:positionV relativeFrom="paragraph">
                        <wp:posOffset>88265</wp:posOffset>
                      </wp:positionV>
                      <wp:extent cx="360680" cy="301625"/>
                      <wp:effectExtent l="0" t="19050" r="39370" b="41275"/>
                      <wp:wrapNone/>
                      <wp:docPr id="201" name="Strzałka w prawo 201"/>
                      <wp:cNvGraphicFramePr/>
                      <a:graphic xmlns:a="http://schemas.openxmlformats.org/drawingml/2006/main">
                        <a:graphicData uri="http://schemas.microsoft.com/office/word/2010/wordprocessingShape">
                          <wps:wsp>
                            <wps:cNvSpPr/>
                            <wps:spPr>
                              <a:xfrm>
                                <a:off x="0" y="0"/>
                                <a:ext cx="360680" cy="301625"/>
                              </a:xfrm>
                              <a:prstGeom prst="rightArrow">
                                <a:avLst/>
                              </a:prstGeom>
                              <a:solidFill>
                                <a:srgbClr val="92D050"/>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FB8300" id="Strzałka w prawo 201" o:spid="_x0000_s1026" type="#_x0000_t13" style="position:absolute;margin-left:7.2pt;margin-top:6.95pt;width:28.4pt;height:23.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" adj="12568" fillcolor="#92d050" strokecolor="white [3212]" strokeweight="1pt"/>
                  </w:pict>
                </mc:Fallback>
              </mc:AlternateContent>
            </w:r>
          </w:p>
        </w:tc>
        <w:tc>
          <w:tcPr>
            <w:tcW w:w="4828" w:type="dxa"/>
            <w:shd w:val="clear" w:color="auto" w:fill="DFF1CB"/>
            <w:vAlign w:val="center"/>
          </w:tcPr>
          <w:p w14:paraId="54E770AE" w14:textId="77777777" w:rsidR="008F791C" w:rsidRPr="00F25EBD" w:rsidRDefault="008F791C" w:rsidP="006B3241">
            <w:pPr>
              <w:jc w:val="center"/>
              <w:rPr>
                <w:rFonts w:asciiTheme="majorHAnsi" w:hAnsiTheme="majorHAnsi" w:cstheme="majorHAnsi"/>
                <w:b/>
                <w:sz w:val="32"/>
              </w:rPr>
            </w:pPr>
            <w:r w:rsidRPr="00F25EBD">
              <w:rPr>
                <w:rFonts w:asciiTheme="majorHAnsi" w:hAnsiTheme="majorHAnsi" w:cstheme="majorHAnsi"/>
                <w:b/>
                <w:sz w:val="32"/>
              </w:rPr>
              <w:t xml:space="preserve">Cel strategiczny </w:t>
            </w:r>
            <w:r w:rsidR="00F00D41" w:rsidRPr="00F25EBD">
              <w:rPr>
                <w:rFonts w:asciiTheme="majorHAnsi" w:hAnsiTheme="majorHAnsi" w:cstheme="majorHAnsi"/>
                <w:b/>
                <w:sz w:val="32"/>
              </w:rPr>
              <w:t>3</w:t>
            </w:r>
            <w:r w:rsidRPr="00F25EBD">
              <w:rPr>
                <w:rFonts w:asciiTheme="majorHAnsi" w:hAnsiTheme="majorHAnsi" w:cstheme="majorHAnsi"/>
                <w:b/>
                <w:sz w:val="32"/>
              </w:rPr>
              <w:t>.</w:t>
            </w:r>
          </w:p>
          <w:p w14:paraId="4DDAAA76" w14:textId="77777777" w:rsidR="008F791C" w:rsidRPr="00F25EBD" w:rsidRDefault="00F00D41" w:rsidP="006B3241">
            <w:pPr>
              <w:jc w:val="center"/>
              <w:rPr>
                <w:rFonts w:asciiTheme="majorHAnsi" w:hAnsiTheme="majorHAnsi" w:cstheme="majorHAnsi"/>
              </w:rPr>
            </w:pPr>
            <w:r w:rsidRPr="00512DE6">
              <w:rPr>
                <w:rFonts w:asciiTheme="majorHAnsi" w:hAnsiTheme="majorHAnsi" w:cstheme="majorHAnsi"/>
                <w:szCs w:val="23"/>
              </w:rPr>
              <w:t xml:space="preserve">Dywersyfikacja struktury gospodarczej </w:t>
            </w:r>
            <w:r w:rsidR="00785495" w:rsidRPr="00512DE6">
              <w:rPr>
                <w:rFonts w:asciiTheme="majorHAnsi" w:hAnsiTheme="majorHAnsi" w:cstheme="majorHAnsi"/>
                <w:szCs w:val="23"/>
              </w:rPr>
              <w:t>Obszaru Funkcjonalnego</w:t>
            </w:r>
            <w:r w:rsidR="00512DE6" w:rsidRPr="00512DE6">
              <w:rPr>
                <w:rFonts w:asciiTheme="majorHAnsi" w:hAnsiTheme="majorHAnsi" w:cstheme="majorHAnsi"/>
                <w:szCs w:val="23"/>
              </w:rPr>
              <w:t xml:space="preserve"> </w:t>
            </w:r>
            <w:r w:rsidRPr="00512DE6">
              <w:rPr>
                <w:rFonts w:asciiTheme="majorHAnsi" w:hAnsiTheme="majorHAnsi" w:cstheme="majorHAnsi"/>
                <w:szCs w:val="23"/>
              </w:rPr>
              <w:t>przy wykorzystaniu unikatowego potencjału zasobów lokalnych</w:t>
            </w:r>
            <w:r w:rsidR="00512DE6">
              <w:rPr>
                <w:rFonts w:asciiTheme="majorHAnsi" w:hAnsiTheme="majorHAnsi" w:cstheme="majorHAnsi"/>
                <w:szCs w:val="23"/>
              </w:rPr>
              <w:t xml:space="preserve"> - </w:t>
            </w:r>
            <w:r w:rsidRPr="00512DE6">
              <w:rPr>
                <w:rFonts w:asciiTheme="majorHAnsi" w:hAnsiTheme="majorHAnsi" w:cstheme="majorHAnsi"/>
                <w:szCs w:val="23"/>
              </w:rPr>
              <w:t>dziedzictwa przyrody i kultury</w:t>
            </w:r>
          </w:p>
        </w:tc>
      </w:tr>
      <w:tr w:rsidR="002C7BDC" w:rsidRPr="00F25EBD" w14:paraId="690A612A" w14:textId="77777777" w:rsidTr="004A6B2F">
        <w:trPr>
          <w:trHeight w:val="1757"/>
        </w:trPr>
        <w:tc>
          <w:tcPr>
            <w:tcW w:w="3656" w:type="dxa"/>
            <w:tcBorders>
              <w:bottom w:val="single" w:sz="24" w:space="0" w:color="FFFFFF" w:themeColor="background1"/>
            </w:tcBorders>
            <w:shd w:val="clear" w:color="auto" w:fill="A6A6A6" w:themeFill="background1" w:themeFillShade="A6"/>
            <w:vAlign w:val="center"/>
          </w:tcPr>
          <w:p w14:paraId="655B7F82" w14:textId="77777777" w:rsidR="002C7BDC" w:rsidRPr="00F25EBD" w:rsidRDefault="002C7BDC" w:rsidP="006B3241">
            <w:pPr>
              <w:jc w:val="center"/>
              <w:rPr>
                <w:rFonts w:asciiTheme="majorHAnsi" w:hAnsiTheme="majorHAnsi" w:cstheme="majorHAnsi"/>
                <w:color w:val="FFFFFF" w:themeColor="background1"/>
                <w:sz w:val="36"/>
              </w:rPr>
            </w:pPr>
            <w:r w:rsidRPr="00F25EBD">
              <w:rPr>
                <w:rFonts w:asciiTheme="majorHAnsi" w:hAnsiTheme="majorHAnsi" w:cstheme="majorHAnsi"/>
                <w:color w:val="FFFFFF" w:themeColor="background1"/>
                <w:sz w:val="36"/>
              </w:rPr>
              <w:t>Usługi publiczne</w:t>
            </w:r>
          </w:p>
        </w:tc>
        <w:tc>
          <w:tcPr>
            <w:tcW w:w="984" w:type="dxa"/>
            <w:vAlign w:val="center"/>
          </w:tcPr>
          <w:p w14:paraId="02378927" w14:textId="77777777" w:rsidR="002C7BDC" w:rsidRPr="00F25EBD" w:rsidRDefault="002C7BDC" w:rsidP="006B3241">
            <w:pPr>
              <w:jc w:val="center"/>
              <w:rPr>
                <w:rFonts w:asciiTheme="majorHAnsi" w:hAnsiTheme="majorHAnsi" w:cstheme="majorHAnsi"/>
              </w:rPr>
            </w:pPr>
            <w:r w:rsidRPr="00F25EBD">
              <w:rPr>
                <w:rFonts w:asciiTheme="majorHAnsi" w:hAnsiTheme="majorHAnsi" w:cstheme="majorHAnsi"/>
                <w:noProof/>
                <w:lang w:eastAsia="pl-PL"/>
              </w:rPr>
              <mc:AlternateContent>
                <mc:Choice Requires="wps">
                  <w:drawing>
                    <wp:anchor distT="0" distB="0" distL="114300" distR="114300" simplePos="0" relativeHeight="251686912" behindDoc="0" locked="0" layoutInCell="1" allowOverlap="1" wp14:anchorId="17A7D695" wp14:editId="799755E3">
                      <wp:simplePos x="0" y="0"/>
                      <wp:positionH relativeFrom="column">
                        <wp:posOffset>111760</wp:posOffset>
                      </wp:positionH>
                      <wp:positionV relativeFrom="paragraph">
                        <wp:posOffset>44450</wp:posOffset>
                      </wp:positionV>
                      <wp:extent cx="360680" cy="301625"/>
                      <wp:effectExtent l="0" t="19050" r="39370" b="41275"/>
                      <wp:wrapNone/>
                      <wp:docPr id="205" name="Strzałka w prawo 205"/>
                      <wp:cNvGraphicFramePr/>
                      <a:graphic xmlns:a="http://schemas.openxmlformats.org/drawingml/2006/main">
                        <a:graphicData uri="http://schemas.microsoft.com/office/word/2010/wordprocessingShape">
                          <wps:wsp>
                            <wps:cNvSpPr/>
                            <wps:spPr>
                              <a:xfrm>
                                <a:off x="0" y="0"/>
                                <a:ext cx="360680" cy="301625"/>
                              </a:xfrm>
                              <a:prstGeom prst="rightArrow">
                                <a:avLst/>
                              </a:prstGeom>
                              <a:solidFill>
                                <a:schemeClr val="bg1">
                                  <a:lumMod val="6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44B571" id="Strzałka w prawo 205" o:spid="_x0000_s1026" type="#_x0000_t13" style="position:absolute;margin-left:8.8pt;margin-top:3.5pt;width:28.4pt;height:23.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" adj="12568" fillcolor="#a5a5a5 [2092]" strokecolor="#a5a5a5 [2092]" strokeweight="1pt"/>
                  </w:pict>
                </mc:Fallback>
              </mc:AlternateContent>
            </w:r>
          </w:p>
        </w:tc>
        <w:tc>
          <w:tcPr>
            <w:tcW w:w="4828" w:type="dxa"/>
            <w:shd w:val="clear" w:color="auto" w:fill="D9D9D9" w:themeFill="background1" w:themeFillShade="D9"/>
            <w:vAlign w:val="center"/>
          </w:tcPr>
          <w:p w14:paraId="2795585D" w14:textId="77777777" w:rsidR="002C7BDC" w:rsidRPr="00F25EBD" w:rsidRDefault="002C7BDC" w:rsidP="006B3241">
            <w:pPr>
              <w:jc w:val="center"/>
              <w:rPr>
                <w:rFonts w:asciiTheme="majorHAnsi" w:hAnsiTheme="majorHAnsi" w:cstheme="majorHAnsi"/>
                <w:b/>
                <w:sz w:val="32"/>
              </w:rPr>
            </w:pPr>
            <w:r w:rsidRPr="00F25EBD">
              <w:rPr>
                <w:rFonts w:asciiTheme="majorHAnsi" w:hAnsiTheme="majorHAnsi" w:cstheme="majorHAnsi"/>
                <w:b/>
                <w:sz w:val="32"/>
              </w:rPr>
              <w:t>Cel strategiczny 4.</w:t>
            </w:r>
          </w:p>
          <w:p w14:paraId="276BAE4C" w14:textId="77777777" w:rsidR="002C7BDC" w:rsidRPr="00F25EBD" w:rsidRDefault="002C7BDC" w:rsidP="006B3241">
            <w:pPr>
              <w:jc w:val="center"/>
              <w:rPr>
                <w:rFonts w:asciiTheme="majorHAnsi" w:hAnsiTheme="majorHAnsi" w:cstheme="majorHAnsi"/>
              </w:rPr>
            </w:pPr>
            <w:r w:rsidRPr="00F25EBD">
              <w:rPr>
                <w:rFonts w:asciiTheme="majorHAnsi" w:hAnsiTheme="majorHAnsi" w:cstheme="majorHAnsi"/>
              </w:rPr>
              <w:t>Budowa zintegrowanego systemu wyspecjalizowanych usług publicznych w obszarach zabezpieczenia społecznego, opieki senioralnej, ochrony zdrowia</w:t>
            </w:r>
          </w:p>
        </w:tc>
      </w:tr>
      <w:tr w:rsidR="008F791C" w:rsidRPr="00F25EBD" w14:paraId="7283855F" w14:textId="77777777" w:rsidTr="004A6B2F">
        <w:trPr>
          <w:trHeight w:val="1757"/>
        </w:trPr>
        <w:tc>
          <w:tcPr>
            <w:tcW w:w="3656" w:type="dxa"/>
            <w:tcBorders>
              <w:bottom w:val="single" w:sz="4" w:space="0" w:color="auto"/>
            </w:tcBorders>
            <w:shd w:val="clear" w:color="auto" w:fill="7030A0"/>
            <w:vAlign w:val="center"/>
          </w:tcPr>
          <w:p w14:paraId="4E3E7401" w14:textId="77777777" w:rsidR="008F791C" w:rsidRPr="00F25EBD" w:rsidRDefault="008F791C" w:rsidP="006B3241">
            <w:pPr>
              <w:jc w:val="center"/>
              <w:rPr>
                <w:rFonts w:asciiTheme="majorHAnsi" w:hAnsiTheme="majorHAnsi" w:cstheme="majorHAnsi"/>
                <w:color w:val="FFFFFF" w:themeColor="background1"/>
                <w:sz w:val="36"/>
              </w:rPr>
            </w:pPr>
            <w:r w:rsidRPr="00F25EBD">
              <w:rPr>
                <w:rFonts w:asciiTheme="majorHAnsi" w:hAnsiTheme="majorHAnsi" w:cstheme="majorHAnsi"/>
                <w:color w:val="FFFFFF" w:themeColor="background1"/>
                <w:sz w:val="36"/>
              </w:rPr>
              <w:t>Aktywna wspólnota</w:t>
            </w:r>
          </w:p>
        </w:tc>
        <w:tc>
          <w:tcPr>
            <w:tcW w:w="984" w:type="dxa"/>
            <w:vAlign w:val="center"/>
          </w:tcPr>
          <w:p w14:paraId="4CF52BD8" w14:textId="77777777" w:rsidR="008F791C" w:rsidRPr="006B3241" w:rsidRDefault="008F791C" w:rsidP="006B3241">
            <w:pPr>
              <w:jc w:val="center"/>
              <w:rPr>
                <w:rFonts w:asciiTheme="majorHAnsi" w:hAnsiTheme="majorHAnsi" w:cstheme="majorHAnsi"/>
                <w:noProof/>
                <w:color w:val="0099FF"/>
                <w:lang w:eastAsia="pl-PL"/>
              </w:rPr>
            </w:pPr>
            <w:r w:rsidRPr="006B3241">
              <w:rPr>
                <w:rFonts w:asciiTheme="majorHAnsi" w:hAnsiTheme="majorHAnsi" w:cstheme="majorHAnsi"/>
                <w:noProof/>
                <w:color w:val="0099FF"/>
                <w:lang w:eastAsia="pl-PL"/>
              </w:rPr>
              <mc:AlternateContent>
                <mc:Choice Requires="wps">
                  <w:drawing>
                    <wp:anchor distT="0" distB="0" distL="114300" distR="114300" simplePos="0" relativeHeight="251679744" behindDoc="0" locked="0" layoutInCell="1" allowOverlap="1" wp14:anchorId="5286BC21" wp14:editId="29D6FC25">
                      <wp:simplePos x="0" y="0"/>
                      <wp:positionH relativeFrom="column">
                        <wp:posOffset>111760</wp:posOffset>
                      </wp:positionH>
                      <wp:positionV relativeFrom="paragraph">
                        <wp:posOffset>-110490</wp:posOffset>
                      </wp:positionV>
                      <wp:extent cx="360680" cy="301625"/>
                      <wp:effectExtent l="0" t="0" r="1270" b="3175"/>
                      <wp:wrapNone/>
                      <wp:docPr id="203" name="Strzałka w prawo 203"/>
                      <wp:cNvGraphicFramePr/>
                      <a:graphic xmlns:a="http://schemas.openxmlformats.org/drawingml/2006/main">
                        <a:graphicData uri="http://schemas.microsoft.com/office/word/2010/wordprocessingShape">
                          <wps:wsp>
                            <wps:cNvSpPr/>
                            <wps:spPr>
                              <a:xfrm>
                                <a:off x="0" y="0"/>
                                <a:ext cx="360680" cy="301625"/>
                              </a:xfrm>
                              <a:prstGeom prst="rightArrow">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0FC958" id="Strzałka w prawo 203" o:spid="_x0000_s1026" type="#_x0000_t13" style="position:absolute;margin-left:8.8pt;margin-top:-8.7pt;width:28.4pt;height:23.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" adj="12568" fillcolor="#7030a0" stroked="f" strokeweight="1pt"/>
                  </w:pict>
                </mc:Fallback>
              </mc:AlternateContent>
            </w:r>
          </w:p>
        </w:tc>
        <w:tc>
          <w:tcPr>
            <w:tcW w:w="4828" w:type="dxa"/>
            <w:shd w:val="clear" w:color="auto" w:fill="E8D9F3"/>
            <w:vAlign w:val="center"/>
          </w:tcPr>
          <w:p w14:paraId="749FE35E" w14:textId="77777777" w:rsidR="008F791C" w:rsidRPr="00F25EBD" w:rsidRDefault="008F791C" w:rsidP="006B3241">
            <w:pPr>
              <w:jc w:val="center"/>
              <w:rPr>
                <w:rFonts w:asciiTheme="majorHAnsi" w:hAnsiTheme="majorHAnsi" w:cstheme="majorHAnsi"/>
                <w:b/>
                <w:sz w:val="32"/>
              </w:rPr>
            </w:pPr>
            <w:r w:rsidRPr="00F25EBD">
              <w:rPr>
                <w:rFonts w:asciiTheme="majorHAnsi" w:hAnsiTheme="majorHAnsi" w:cstheme="majorHAnsi"/>
                <w:b/>
                <w:sz w:val="32"/>
              </w:rPr>
              <w:t xml:space="preserve">Cel strategiczny </w:t>
            </w:r>
            <w:r w:rsidR="000B0169">
              <w:rPr>
                <w:rFonts w:asciiTheme="majorHAnsi" w:hAnsiTheme="majorHAnsi" w:cstheme="majorHAnsi"/>
                <w:b/>
                <w:sz w:val="32"/>
              </w:rPr>
              <w:t>5</w:t>
            </w:r>
            <w:r w:rsidRPr="00F25EBD">
              <w:rPr>
                <w:rFonts w:asciiTheme="majorHAnsi" w:hAnsiTheme="majorHAnsi" w:cstheme="majorHAnsi"/>
                <w:b/>
                <w:sz w:val="32"/>
              </w:rPr>
              <w:t>.</w:t>
            </w:r>
          </w:p>
          <w:p w14:paraId="34E28E8D" w14:textId="3ACD03B9" w:rsidR="008F791C" w:rsidRPr="00F25EBD" w:rsidRDefault="006B4BD6" w:rsidP="006B3241">
            <w:pPr>
              <w:jc w:val="center"/>
              <w:rPr>
                <w:rFonts w:asciiTheme="majorHAnsi" w:hAnsiTheme="majorHAnsi" w:cstheme="majorHAnsi"/>
              </w:rPr>
            </w:pPr>
            <w:r w:rsidRPr="00F25EBD">
              <w:rPr>
                <w:rFonts w:asciiTheme="majorHAnsi" w:hAnsiTheme="majorHAnsi" w:cstheme="majorHAnsi"/>
              </w:rPr>
              <w:t>Wzmacnianie potencjału społeczeństwa obywatelskiego poprzez rozwijanie potencjału kapitału ludzkiego i społecznego oraz rozwój instytucjonalny</w:t>
            </w:r>
            <w:r w:rsidR="007B04A7">
              <w:rPr>
                <w:rFonts w:asciiTheme="majorHAnsi" w:hAnsiTheme="majorHAnsi" w:cstheme="majorHAnsi"/>
              </w:rPr>
              <w:t xml:space="preserve"> </w:t>
            </w:r>
          </w:p>
        </w:tc>
      </w:tr>
      <w:bookmarkEnd w:id="111"/>
    </w:tbl>
    <w:p w14:paraId="3AA078A9" w14:textId="77777777" w:rsidR="00D765DC" w:rsidRDefault="00D765DC" w:rsidP="00FC7062">
      <w:pPr>
        <w:spacing w:line="276" w:lineRule="auto"/>
        <w:rPr>
          <w:rFonts w:asciiTheme="majorHAnsi" w:hAnsiTheme="majorHAnsi" w:cstheme="majorHAnsi"/>
        </w:rPr>
        <w:sectPr w:rsidR="00D765DC" w:rsidSect="00BB5769">
          <w:pgSz w:w="11906" w:h="16838"/>
          <w:pgMar w:top="1418" w:right="1418" w:bottom="1418" w:left="1418" w:header="709" w:footer="709" w:gutter="0"/>
          <w:cols w:space="708"/>
          <w:docGrid w:linePitch="360"/>
        </w:sectPr>
      </w:pPr>
    </w:p>
    <w:p w14:paraId="3941BBA5" w14:textId="5B425AB2" w:rsidR="00830672" w:rsidRPr="00F25EBD" w:rsidRDefault="00AF5F39" w:rsidP="006B3241">
      <w:pPr>
        <w:pStyle w:val="Nagwek2"/>
        <w:spacing w:before="0"/>
        <w:jc w:val="both"/>
        <w:rPr>
          <w:rFonts w:cstheme="majorHAnsi"/>
        </w:rPr>
      </w:pPr>
      <w:bookmarkStart w:id="112" w:name="_Toc77070636"/>
      <w:r>
        <w:rPr>
          <w:rFonts w:cstheme="majorHAnsi"/>
        </w:rPr>
        <w:t xml:space="preserve">11.2 </w:t>
      </w:r>
      <w:r w:rsidR="00830672" w:rsidRPr="00F25EBD">
        <w:rPr>
          <w:rFonts w:cstheme="majorHAnsi"/>
        </w:rPr>
        <w:t>Cele operacyjne</w:t>
      </w:r>
      <w:r w:rsidR="00BF0D61">
        <w:rPr>
          <w:rFonts w:cstheme="majorHAnsi"/>
        </w:rPr>
        <w:t xml:space="preserve"> i działania</w:t>
      </w:r>
      <w:bookmarkEnd w:id="112"/>
      <w:r w:rsidR="00BF0D61">
        <w:rPr>
          <w:rFonts w:cstheme="majorHAnsi"/>
        </w:rPr>
        <w:t xml:space="preserve"> </w:t>
      </w:r>
    </w:p>
    <w:tbl>
      <w:tblPr>
        <w:tblStyle w:val="Tabela-Siatka"/>
        <w:tblW w:w="5000" w:type="pct"/>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shd w:val="clear" w:color="auto" w:fill="F4B083" w:themeFill="accent2" w:themeFillTint="99"/>
        <w:tblLook w:val="04A0" w:firstRow="1" w:lastRow="0" w:firstColumn="1" w:lastColumn="0" w:noHBand="0" w:noVBand="1"/>
      </w:tblPr>
      <w:tblGrid>
        <w:gridCol w:w="9010"/>
      </w:tblGrid>
      <w:tr w:rsidR="00BF0D61" w:rsidRPr="001A20A9" w14:paraId="6A75C973" w14:textId="77777777" w:rsidTr="006B3241">
        <w:trPr>
          <w:trHeight w:val="20"/>
          <w:tblHeader/>
        </w:trPr>
        <w:tc>
          <w:tcPr>
            <w:tcW w:w="5000" w:type="pct"/>
            <w:shd w:val="clear" w:color="auto" w:fill="5B9BD5"/>
            <w:vAlign w:val="center"/>
          </w:tcPr>
          <w:p w14:paraId="09A4C2FB" w14:textId="77777777" w:rsidR="00BF0D61" w:rsidRPr="001A20A9" w:rsidRDefault="00BF0D61" w:rsidP="00FC7062">
            <w:pPr>
              <w:spacing w:line="276" w:lineRule="auto"/>
              <w:jc w:val="center"/>
              <w:rPr>
                <w:rFonts w:asciiTheme="majorHAnsi" w:hAnsiTheme="majorHAnsi" w:cstheme="majorHAnsi"/>
                <w:b/>
                <w:sz w:val="20"/>
                <w:szCs w:val="20"/>
              </w:rPr>
            </w:pPr>
            <w:r w:rsidRPr="001A20A9">
              <w:rPr>
                <w:rFonts w:asciiTheme="majorHAnsi" w:hAnsiTheme="majorHAnsi" w:cstheme="majorHAnsi"/>
                <w:b/>
                <w:sz w:val="20"/>
                <w:szCs w:val="20"/>
              </w:rPr>
              <w:t xml:space="preserve">Cel strategiczny 1. </w:t>
            </w:r>
          </w:p>
          <w:p w14:paraId="10D8DBD2" w14:textId="77777777" w:rsidR="00BF0D61" w:rsidRPr="001A20A9" w:rsidRDefault="00BF0D61" w:rsidP="00FC7062">
            <w:pPr>
              <w:spacing w:line="276" w:lineRule="auto"/>
              <w:jc w:val="center"/>
              <w:rPr>
                <w:rFonts w:asciiTheme="majorHAnsi" w:hAnsiTheme="majorHAnsi" w:cstheme="majorHAnsi"/>
                <w:sz w:val="20"/>
                <w:szCs w:val="20"/>
              </w:rPr>
            </w:pPr>
            <w:r w:rsidRPr="001A20A9">
              <w:rPr>
                <w:rFonts w:asciiTheme="majorHAnsi" w:hAnsiTheme="majorHAnsi" w:cstheme="majorHAnsi"/>
                <w:sz w:val="20"/>
                <w:szCs w:val="20"/>
              </w:rPr>
              <w:t xml:space="preserve">Tworzenie warunków dla dynamicznego wzrostu gospodarczego w oparciu o wydajny układ komunikacyjny </w:t>
            </w:r>
            <w:r w:rsidR="0003491B">
              <w:rPr>
                <w:rFonts w:asciiTheme="majorHAnsi" w:hAnsiTheme="majorHAnsi" w:cstheme="majorHAnsi"/>
                <w:sz w:val="20"/>
                <w:szCs w:val="20"/>
              </w:rPr>
              <w:br/>
            </w:r>
            <w:r w:rsidRPr="001A20A9">
              <w:rPr>
                <w:rFonts w:asciiTheme="majorHAnsi" w:hAnsiTheme="majorHAnsi" w:cstheme="majorHAnsi"/>
                <w:sz w:val="20"/>
                <w:szCs w:val="20"/>
              </w:rPr>
              <w:t>i tworzenie atrakcyjnych terenów inwestycyjnych</w:t>
            </w:r>
          </w:p>
        </w:tc>
      </w:tr>
    </w:tbl>
    <w:p w14:paraId="43BE2987" w14:textId="77777777" w:rsidR="003C27AF" w:rsidRDefault="003C27AF" w:rsidP="00FC7062">
      <w:pPr>
        <w:spacing w:after="0" w:line="276" w:lineRule="auto"/>
      </w:pPr>
    </w:p>
    <w:tbl>
      <w:tblPr>
        <w:tblStyle w:val="Tabela-Siatka"/>
        <w:tblW w:w="5000" w:type="pct"/>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ook w:val="04A0" w:firstRow="1" w:lastRow="0" w:firstColumn="1" w:lastColumn="0" w:noHBand="0" w:noVBand="1"/>
      </w:tblPr>
      <w:tblGrid>
        <w:gridCol w:w="9010"/>
      </w:tblGrid>
      <w:tr w:rsidR="00BF0D61" w:rsidRPr="001A20A9" w14:paraId="0A5C692D" w14:textId="77777777" w:rsidTr="006B3241">
        <w:trPr>
          <w:trHeight w:val="20"/>
        </w:trPr>
        <w:tc>
          <w:tcPr>
            <w:tcW w:w="5000" w:type="pct"/>
            <w:shd w:val="clear" w:color="auto" w:fill="A3DAFF"/>
            <w:vAlign w:val="center"/>
          </w:tcPr>
          <w:p w14:paraId="714BF755" w14:textId="77777777" w:rsidR="00BF0D61" w:rsidRPr="003C27AF" w:rsidRDefault="003C27AF" w:rsidP="00FC7062">
            <w:pPr>
              <w:spacing w:line="276" w:lineRule="auto"/>
              <w:jc w:val="center"/>
              <w:rPr>
                <w:rFonts w:asciiTheme="majorHAnsi" w:hAnsiTheme="majorHAnsi" w:cstheme="majorHAnsi"/>
                <w:b/>
                <w:sz w:val="20"/>
                <w:szCs w:val="20"/>
              </w:rPr>
            </w:pPr>
            <w:r>
              <w:rPr>
                <w:rFonts w:asciiTheme="majorHAnsi" w:hAnsiTheme="majorHAnsi" w:cstheme="majorHAnsi"/>
                <w:b/>
                <w:sz w:val="20"/>
                <w:szCs w:val="20"/>
              </w:rPr>
              <w:t>Cel operacyjny 1.1</w:t>
            </w:r>
          </w:p>
        </w:tc>
      </w:tr>
      <w:tr w:rsidR="00BF0D61" w:rsidRPr="001A20A9" w14:paraId="05050620" w14:textId="77777777" w:rsidTr="006B3241">
        <w:trPr>
          <w:trHeight w:val="20"/>
        </w:trPr>
        <w:tc>
          <w:tcPr>
            <w:tcW w:w="5000" w:type="pct"/>
            <w:tcBorders>
              <w:bottom w:val="single" w:sz="4" w:space="0" w:color="5B9BD5"/>
            </w:tcBorders>
            <w:shd w:val="clear" w:color="auto" w:fill="A3DAFF"/>
            <w:vAlign w:val="center"/>
          </w:tcPr>
          <w:p w14:paraId="163B890A" w14:textId="77777777" w:rsidR="00BF0D61" w:rsidRPr="00560538" w:rsidRDefault="00560538" w:rsidP="00FC7062">
            <w:pPr>
              <w:spacing w:line="276" w:lineRule="auto"/>
              <w:jc w:val="center"/>
              <w:rPr>
                <w:rFonts w:asciiTheme="majorHAnsi" w:hAnsiTheme="majorHAnsi" w:cstheme="majorHAnsi"/>
                <w:sz w:val="20"/>
                <w:szCs w:val="20"/>
              </w:rPr>
            </w:pPr>
            <w:r w:rsidRPr="00560538">
              <w:rPr>
                <w:rFonts w:asciiTheme="majorHAnsi" w:hAnsiTheme="majorHAnsi" w:cstheme="majorHAnsi"/>
                <w:sz w:val="20"/>
                <w:szCs w:val="20"/>
              </w:rPr>
              <w:t>Budowa zintegrowanego systemu transportowego</w:t>
            </w:r>
          </w:p>
        </w:tc>
      </w:tr>
      <w:tr w:rsidR="003C27AF" w:rsidRPr="001A20A9" w14:paraId="5589A022" w14:textId="77777777" w:rsidTr="006B3241">
        <w:trPr>
          <w:trHeight w:val="20"/>
        </w:trPr>
        <w:tc>
          <w:tcPr>
            <w:tcW w:w="5000" w:type="pct"/>
            <w:tcBorders>
              <w:top w:val="single" w:sz="4" w:space="0" w:color="5B9BD5"/>
              <w:left w:val="single" w:sz="4" w:space="0" w:color="5B9BD5"/>
              <w:bottom w:val="single" w:sz="4" w:space="0" w:color="5B9BD5"/>
              <w:right w:val="single" w:sz="4" w:space="0" w:color="5B9BD5"/>
            </w:tcBorders>
            <w:shd w:val="clear" w:color="auto" w:fill="FFFFFF" w:themeFill="background1"/>
            <w:vAlign w:val="center"/>
          </w:tcPr>
          <w:p w14:paraId="2CC8A3A9" w14:textId="77777777" w:rsidR="00093B31" w:rsidRDefault="00093B31" w:rsidP="00FC7062">
            <w:pPr>
              <w:spacing w:line="276" w:lineRule="auto"/>
              <w:jc w:val="both"/>
              <w:rPr>
                <w:rFonts w:asciiTheme="majorHAnsi" w:hAnsiTheme="majorHAnsi" w:cstheme="majorHAnsi"/>
                <w:sz w:val="20"/>
                <w:szCs w:val="20"/>
              </w:rPr>
            </w:pPr>
            <w:r w:rsidRPr="00093B31">
              <w:rPr>
                <w:rFonts w:asciiTheme="majorHAnsi" w:hAnsiTheme="majorHAnsi" w:cstheme="majorHAnsi"/>
                <w:sz w:val="20"/>
                <w:szCs w:val="20"/>
              </w:rPr>
              <w:t xml:space="preserve">Kluczowym czynnikiem decydującym o potencjalne danego obszaru z punktu widzenia rozwoju jest zewnętrzna i wewnętrzna spójność systemu komunikacyjnego. Cel operacyjny zostanie osiągnięty poprzez zrealizowanie wyodrębnionych i spójnych terytorialnie inwestycji drogowych w </w:t>
            </w:r>
            <w:r>
              <w:rPr>
                <w:rFonts w:asciiTheme="majorHAnsi" w:hAnsiTheme="majorHAnsi" w:cstheme="majorHAnsi"/>
                <w:sz w:val="20"/>
                <w:szCs w:val="20"/>
              </w:rPr>
              <w:t>OF</w:t>
            </w:r>
            <w:r w:rsidRPr="00093B31">
              <w:rPr>
                <w:rFonts w:asciiTheme="majorHAnsi" w:hAnsiTheme="majorHAnsi" w:cstheme="majorHAnsi"/>
                <w:sz w:val="20"/>
                <w:szCs w:val="20"/>
              </w:rPr>
              <w:t>, znacznie podnoszących stopień wzajemnego skomunikowania</w:t>
            </w:r>
            <w:r>
              <w:rPr>
                <w:rFonts w:asciiTheme="majorHAnsi" w:hAnsiTheme="majorHAnsi" w:cstheme="majorHAnsi"/>
                <w:sz w:val="20"/>
                <w:szCs w:val="20"/>
              </w:rPr>
              <w:t>.</w:t>
            </w:r>
          </w:p>
          <w:p w14:paraId="283B606A" w14:textId="77777777" w:rsidR="001F2225" w:rsidRDefault="001F2225" w:rsidP="00FC7062">
            <w:pPr>
              <w:spacing w:line="276" w:lineRule="auto"/>
              <w:jc w:val="both"/>
              <w:rPr>
                <w:rFonts w:asciiTheme="majorHAnsi" w:hAnsiTheme="majorHAnsi" w:cstheme="majorHAnsi"/>
                <w:sz w:val="20"/>
                <w:szCs w:val="20"/>
              </w:rPr>
            </w:pPr>
          </w:p>
          <w:p w14:paraId="08EE8A11" w14:textId="77777777" w:rsidR="00FB37DC" w:rsidRDefault="003B3792" w:rsidP="00FC7062">
            <w:pPr>
              <w:spacing w:line="276" w:lineRule="auto"/>
              <w:jc w:val="both"/>
              <w:rPr>
                <w:rFonts w:asciiTheme="majorHAnsi" w:hAnsiTheme="majorHAnsi" w:cstheme="majorHAnsi"/>
                <w:sz w:val="20"/>
                <w:szCs w:val="20"/>
              </w:rPr>
            </w:pPr>
            <w:r>
              <w:rPr>
                <w:rFonts w:asciiTheme="majorHAnsi" w:hAnsiTheme="majorHAnsi" w:cstheme="majorHAnsi"/>
                <w:sz w:val="20"/>
                <w:szCs w:val="20"/>
              </w:rPr>
              <w:t>Dotychczas występujące ograniczenia komunikacyjne wpływają negatywnie do rozwój o</w:t>
            </w:r>
            <w:r w:rsidR="00896A24">
              <w:rPr>
                <w:rFonts w:asciiTheme="majorHAnsi" w:hAnsiTheme="majorHAnsi" w:cstheme="majorHAnsi"/>
                <w:sz w:val="20"/>
                <w:szCs w:val="20"/>
              </w:rPr>
              <w:t>bszaru. Kluczowym przedsięwzięciem jest p</w:t>
            </w:r>
            <w:r w:rsidR="0035781B" w:rsidRPr="001A20A9">
              <w:rPr>
                <w:rFonts w:asciiTheme="majorHAnsi" w:hAnsiTheme="majorHAnsi" w:cstheme="majorHAnsi"/>
                <w:sz w:val="20"/>
                <w:szCs w:val="20"/>
              </w:rPr>
              <w:t xml:space="preserve">oprawa dostępności komunikacyjnej OF poprzez korytarz transportowy Via </w:t>
            </w:r>
            <w:proofErr w:type="spellStart"/>
            <w:r w:rsidR="0035781B" w:rsidRPr="001A20A9">
              <w:rPr>
                <w:rFonts w:asciiTheme="majorHAnsi" w:hAnsiTheme="majorHAnsi" w:cstheme="majorHAnsi"/>
                <w:sz w:val="20"/>
                <w:szCs w:val="20"/>
              </w:rPr>
              <w:t>Masuria</w:t>
            </w:r>
            <w:proofErr w:type="spellEnd"/>
            <w:r w:rsidR="00896A24">
              <w:rPr>
                <w:rFonts w:asciiTheme="majorHAnsi" w:hAnsiTheme="majorHAnsi" w:cstheme="majorHAnsi"/>
                <w:sz w:val="20"/>
                <w:szCs w:val="20"/>
              </w:rPr>
              <w:t xml:space="preserve">, który stanowi bypass DK 16 i wpłynie pozytywnie na rozwój całego obszaru a także poprawi </w:t>
            </w:r>
            <w:r w:rsidR="00FB37DC">
              <w:rPr>
                <w:rFonts w:asciiTheme="majorHAnsi" w:hAnsiTheme="majorHAnsi" w:cstheme="majorHAnsi"/>
                <w:sz w:val="20"/>
                <w:szCs w:val="20"/>
              </w:rPr>
              <w:t xml:space="preserve">dostępność południowego obszaru Regionu Warmii i Mazur. Poprawa dostępności transportowej OF zmniejszy dysproporcję w </w:t>
            </w:r>
            <w:r w:rsidR="002B1DBE">
              <w:rPr>
                <w:rFonts w:asciiTheme="majorHAnsi" w:hAnsiTheme="majorHAnsi" w:cstheme="majorHAnsi"/>
                <w:sz w:val="20"/>
                <w:szCs w:val="20"/>
              </w:rPr>
              <w:t>poziomie</w:t>
            </w:r>
            <w:r w:rsidR="00FB37DC">
              <w:rPr>
                <w:rFonts w:asciiTheme="majorHAnsi" w:hAnsiTheme="majorHAnsi" w:cstheme="majorHAnsi"/>
                <w:sz w:val="20"/>
                <w:szCs w:val="20"/>
              </w:rPr>
              <w:t xml:space="preserve"> </w:t>
            </w:r>
            <w:r w:rsidR="002B1DBE">
              <w:rPr>
                <w:rFonts w:asciiTheme="majorHAnsi" w:hAnsiTheme="majorHAnsi" w:cstheme="majorHAnsi"/>
                <w:sz w:val="20"/>
                <w:szCs w:val="20"/>
              </w:rPr>
              <w:t>rozwoju</w:t>
            </w:r>
            <w:r w:rsidR="00FB37DC">
              <w:rPr>
                <w:rFonts w:asciiTheme="majorHAnsi" w:hAnsiTheme="majorHAnsi" w:cstheme="majorHAnsi"/>
                <w:sz w:val="20"/>
                <w:szCs w:val="20"/>
              </w:rPr>
              <w:t xml:space="preserve"> społec</w:t>
            </w:r>
            <w:r w:rsidR="002B1DBE">
              <w:rPr>
                <w:rFonts w:asciiTheme="majorHAnsi" w:hAnsiTheme="majorHAnsi" w:cstheme="majorHAnsi"/>
                <w:sz w:val="20"/>
                <w:szCs w:val="20"/>
              </w:rPr>
              <w:t>z</w:t>
            </w:r>
            <w:r w:rsidR="00FB37DC">
              <w:rPr>
                <w:rFonts w:asciiTheme="majorHAnsi" w:hAnsiTheme="majorHAnsi" w:cstheme="majorHAnsi"/>
                <w:sz w:val="20"/>
                <w:szCs w:val="20"/>
              </w:rPr>
              <w:t>no-</w:t>
            </w:r>
            <w:r w:rsidR="002B1DBE">
              <w:rPr>
                <w:rFonts w:asciiTheme="majorHAnsi" w:hAnsiTheme="majorHAnsi" w:cstheme="majorHAnsi"/>
                <w:sz w:val="20"/>
                <w:szCs w:val="20"/>
              </w:rPr>
              <w:t>gospodarczego</w:t>
            </w:r>
            <w:r w:rsidR="00FB37DC">
              <w:rPr>
                <w:rFonts w:asciiTheme="majorHAnsi" w:hAnsiTheme="majorHAnsi" w:cstheme="majorHAnsi"/>
                <w:sz w:val="20"/>
                <w:szCs w:val="20"/>
              </w:rPr>
              <w:t xml:space="preserve"> powiatów</w:t>
            </w:r>
            <w:r w:rsidR="002B1DBE">
              <w:rPr>
                <w:rFonts w:asciiTheme="majorHAnsi" w:hAnsiTheme="majorHAnsi" w:cstheme="majorHAnsi"/>
                <w:sz w:val="20"/>
                <w:szCs w:val="20"/>
              </w:rPr>
              <w:t xml:space="preserve"> i zwiększy ich konkurencyjność</w:t>
            </w:r>
            <w:r w:rsidR="00FB37DC">
              <w:rPr>
                <w:rFonts w:asciiTheme="majorHAnsi" w:hAnsiTheme="majorHAnsi" w:cstheme="majorHAnsi"/>
                <w:sz w:val="20"/>
                <w:szCs w:val="20"/>
              </w:rPr>
              <w:t xml:space="preserve">. </w:t>
            </w:r>
          </w:p>
          <w:p w14:paraId="4233738F" w14:textId="77777777" w:rsidR="00806AC4" w:rsidRDefault="00806AC4" w:rsidP="00FC7062">
            <w:pPr>
              <w:spacing w:line="276" w:lineRule="auto"/>
              <w:jc w:val="both"/>
              <w:rPr>
                <w:rFonts w:asciiTheme="majorHAnsi" w:hAnsiTheme="majorHAnsi" w:cstheme="majorHAnsi"/>
                <w:sz w:val="20"/>
                <w:szCs w:val="20"/>
              </w:rPr>
            </w:pPr>
          </w:p>
          <w:p w14:paraId="4AE5166E" w14:textId="5E3C0555" w:rsidR="00806AC4" w:rsidRDefault="00806AC4" w:rsidP="00FC7062">
            <w:pPr>
              <w:spacing w:line="276" w:lineRule="auto"/>
              <w:jc w:val="both"/>
              <w:rPr>
                <w:rFonts w:asciiTheme="majorHAnsi" w:hAnsiTheme="majorHAnsi" w:cstheme="majorHAnsi"/>
                <w:sz w:val="20"/>
                <w:szCs w:val="20"/>
              </w:rPr>
            </w:pPr>
            <w:r>
              <w:rPr>
                <w:rFonts w:asciiTheme="majorHAnsi" w:hAnsiTheme="majorHAnsi" w:cstheme="majorHAnsi"/>
                <w:sz w:val="20"/>
                <w:szCs w:val="20"/>
              </w:rPr>
              <w:t xml:space="preserve">Realizacja inwestycji poprawi dostępność transportową regionalnego portu lotniczego w Szymanach, który zapewnia komunikację ze światem i stanowi </w:t>
            </w:r>
            <w:r w:rsidR="0088133F">
              <w:rPr>
                <w:rFonts w:asciiTheme="majorHAnsi" w:hAnsiTheme="majorHAnsi" w:cstheme="majorHAnsi"/>
                <w:sz w:val="20"/>
                <w:szCs w:val="20"/>
              </w:rPr>
              <w:t>„mazurskie</w:t>
            </w:r>
            <w:r>
              <w:rPr>
                <w:rFonts w:asciiTheme="majorHAnsi" w:hAnsiTheme="majorHAnsi" w:cstheme="majorHAnsi"/>
                <w:sz w:val="20"/>
                <w:szCs w:val="20"/>
              </w:rPr>
              <w:t xml:space="preserve"> okno na świat</w:t>
            </w:r>
            <w:r w:rsidR="0088133F">
              <w:rPr>
                <w:rFonts w:asciiTheme="majorHAnsi" w:hAnsiTheme="majorHAnsi" w:cstheme="majorHAnsi"/>
                <w:sz w:val="20"/>
                <w:szCs w:val="20"/>
              </w:rPr>
              <w:t>”</w:t>
            </w:r>
            <w:r>
              <w:rPr>
                <w:rFonts w:asciiTheme="majorHAnsi" w:hAnsiTheme="majorHAnsi" w:cstheme="majorHAnsi"/>
                <w:sz w:val="20"/>
                <w:szCs w:val="20"/>
              </w:rPr>
              <w:t xml:space="preserve">. </w:t>
            </w:r>
            <w:r w:rsidR="00C60D4C">
              <w:rPr>
                <w:rFonts w:asciiTheme="majorHAnsi" w:hAnsiTheme="majorHAnsi" w:cstheme="majorHAnsi"/>
                <w:sz w:val="20"/>
                <w:szCs w:val="20"/>
              </w:rPr>
              <w:t>Obecnie</w:t>
            </w:r>
            <w:r w:rsidR="00A97D57">
              <w:rPr>
                <w:rFonts w:asciiTheme="majorHAnsi" w:hAnsiTheme="majorHAnsi" w:cstheme="majorHAnsi"/>
                <w:sz w:val="20"/>
                <w:szCs w:val="20"/>
              </w:rPr>
              <w:t xml:space="preserve"> jest ono słab</w:t>
            </w:r>
            <w:r w:rsidR="0088133F">
              <w:rPr>
                <w:rFonts w:asciiTheme="majorHAnsi" w:hAnsiTheme="majorHAnsi" w:cstheme="majorHAnsi"/>
                <w:sz w:val="20"/>
                <w:szCs w:val="20"/>
              </w:rPr>
              <w:t>o</w:t>
            </w:r>
            <w:r w:rsidR="00A97D57">
              <w:rPr>
                <w:rFonts w:asciiTheme="majorHAnsi" w:hAnsiTheme="majorHAnsi" w:cstheme="majorHAnsi"/>
                <w:sz w:val="20"/>
                <w:szCs w:val="20"/>
              </w:rPr>
              <w:t xml:space="preserve"> skomunikowane ze wschodnimi </w:t>
            </w:r>
            <w:r w:rsidR="0088133F">
              <w:rPr>
                <w:rFonts w:asciiTheme="majorHAnsi" w:hAnsiTheme="majorHAnsi" w:cstheme="majorHAnsi"/>
                <w:sz w:val="20"/>
                <w:szCs w:val="20"/>
              </w:rPr>
              <w:t>terenami</w:t>
            </w:r>
            <w:r w:rsidR="00A97D57">
              <w:rPr>
                <w:rFonts w:asciiTheme="majorHAnsi" w:hAnsiTheme="majorHAnsi" w:cstheme="majorHAnsi"/>
                <w:sz w:val="20"/>
                <w:szCs w:val="20"/>
              </w:rPr>
              <w:t xml:space="preserve"> </w:t>
            </w:r>
            <w:r w:rsidR="0088133F">
              <w:rPr>
                <w:rFonts w:asciiTheme="majorHAnsi" w:hAnsiTheme="majorHAnsi" w:cstheme="majorHAnsi"/>
                <w:sz w:val="20"/>
                <w:szCs w:val="20"/>
              </w:rPr>
              <w:t>Regionu n</w:t>
            </w:r>
            <w:r w:rsidR="00A97D57">
              <w:rPr>
                <w:rFonts w:asciiTheme="majorHAnsi" w:hAnsiTheme="majorHAnsi" w:cstheme="majorHAnsi"/>
                <w:sz w:val="20"/>
                <w:szCs w:val="20"/>
              </w:rPr>
              <w:t xml:space="preserve">p. Giżyckiem, który jest chętnie odwiedzane przez turystów w sezonie letnim. </w:t>
            </w:r>
          </w:p>
          <w:p w14:paraId="519A5FDD" w14:textId="77777777" w:rsidR="001F2225" w:rsidRDefault="001F2225" w:rsidP="00FC7062">
            <w:pPr>
              <w:spacing w:line="276" w:lineRule="auto"/>
              <w:jc w:val="both"/>
              <w:rPr>
                <w:rFonts w:asciiTheme="majorHAnsi" w:hAnsiTheme="majorHAnsi" w:cstheme="majorHAnsi"/>
                <w:sz w:val="20"/>
                <w:szCs w:val="20"/>
              </w:rPr>
            </w:pPr>
          </w:p>
          <w:p w14:paraId="2A5C7C53" w14:textId="77777777" w:rsidR="002B1DBE" w:rsidRDefault="00FB37DC" w:rsidP="00FC7062">
            <w:pPr>
              <w:spacing w:line="276" w:lineRule="auto"/>
              <w:jc w:val="both"/>
              <w:rPr>
                <w:rFonts w:asciiTheme="majorHAnsi" w:hAnsiTheme="majorHAnsi" w:cstheme="majorHAnsi"/>
                <w:sz w:val="20"/>
                <w:szCs w:val="20"/>
              </w:rPr>
            </w:pPr>
            <w:r w:rsidRPr="002B1DBE">
              <w:rPr>
                <w:rFonts w:asciiTheme="majorHAnsi" w:hAnsiTheme="majorHAnsi" w:cstheme="majorHAnsi"/>
                <w:sz w:val="20"/>
                <w:szCs w:val="20"/>
              </w:rPr>
              <w:t xml:space="preserve">W połączeniu z realizacją korytarza transportowego Via </w:t>
            </w:r>
            <w:proofErr w:type="spellStart"/>
            <w:r w:rsidRPr="002B1DBE">
              <w:rPr>
                <w:rFonts w:asciiTheme="majorHAnsi" w:hAnsiTheme="majorHAnsi" w:cstheme="majorHAnsi"/>
                <w:sz w:val="20"/>
                <w:szCs w:val="20"/>
              </w:rPr>
              <w:t>Masuria</w:t>
            </w:r>
            <w:proofErr w:type="spellEnd"/>
            <w:r w:rsidR="002B1DBE" w:rsidRPr="002B1DBE">
              <w:rPr>
                <w:rFonts w:asciiTheme="majorHAnsi" w:hAnsiTheme="majorHAnsi" w:cstheme="majorHAnsi"/>
                <w:sz w:val="20"/>
                <w:szCs w:val="20"/>
              </w:rPr>
              <w:t xml:space="preserve"> realizowane muszą być inwestycje dotyczące rozbudowy i modernizacj</w:t>
            </w:r>
            <w:r w:rsidR="002B1DBE">
              <w:rPr>
                <w:rFonts w:asciiTheme="majorHAnsi" w:hAnsiTheme="majorHAnsi" w:cstheme="majorHAnsi"/>
                <w:sz w:val="20"/>
                <w:szCs w:val="20"/>
              </w:rPr>
              <w:t>i</w:t>
            </w:r>
            <w:r w:rsidR="002B1DBE" w:rsidRPr="002B1DBE">
              <w:rPr>
                <w:rFonts w:asciiTheme="majorHAnsi" w:hAnsiTheme="majorHAnsi" w:cstheme="majorHAnsi"/>
                <w:sz w:val="20"/>
                <w:szCs w:val="20"/>
              </w:rPr>
              <w:t xml:space="preserve"> sieci dróg powiatowych</w:t>
            </w:r>
            <w:r w:rsidR="002B1DBE">
              <w:rPr>
                <w:rFonts w:asciiTheme="majorHAnsi" w:hAnsiTheme="majorHAnsi" w:cstheme="majorHAnsi"/>
                <w:sz w:val="20"/>
                <w:szCs w:val="20"/>
              </w:rPr>
              <w:t xml:space="preserve">, które łączyć będą OF z drogami </w:t>
            </w:r>
            <w:r w:rsidR="00000AF3">
              <w:rPr>
                <w:rFonts w:asciiTheme="majorHAnsi" w:hAnsiTheme="majorHAnsi" w:cstheme="majorHAnsi"/>
                <w:sz w:val="20"/>
                <w:szCs w:val="20"/>
              </w:rPr>
              <w:t>wyższego</w:t>
            </w:r>
            <w:r w:rsidR="002B1DBE">
              <w:rPr>
                <w:rFonts w:asciiTheme="majorHAnsi" w:hAnsiTheme="majorHAnsi" w:cstheme="majorHAnsi"/>
                <w:sz w:val="20"/>
                <w:szCs w:val="20"/>
              </w:rPr>
              <w:t xml:space="preserve"> rzędu. </w:t>
            </w:r>
          </w:p>
          <w:p w14:paraId="391A4A3A" w14:textId="77777777" w:rsidR="005562CA" w:rsidRDefault="005562CA" w:rsidP="00FC7062">
            <w:pPr>
              <w:spacing w:line="276" w:lineRule="auto"/>
              <w:jc w:val="both"/>
              <w:rPr>
                <w:rFonts w:asciiTheme="majorHAnsi" w:hAnsiTheme="majorHAnsi" w:cstheme="majorHAnsi"/>
                <w:sz w:val="20"/>
                <w:szCs w:val="20"/>
              </w:rPr>
            </w:pPr>
          </w:p>
          <w:p w14:paraId="409E7740" w14:textId="3433E143" w:rsidR="000F3778" w:rsidRPr="000F3778" w:rsidRDefault="00000AF3" w:rsidP="00FC7062">
            <w:pPr>
              <w:spacing w:line="276" w:lineRule="auto"/>
              <w:jc w:val="both"/>
              <w:rPr>
                <w:rFonts w:asciiTheme="majorHAnsi" w:hAnsiTheme="majorHAnsi" w:cstheme="majorHAnsi"/>
                <w:sz w:val="18"/>
                <w:szCs w:val="20"/>
              </w:rPr>
            </w:pPr>
            <w:r>
              <w:rPr>
                <w:rFonts w:asciiTheme="majorHAnsi" w:hAnsiTheme="majorHAnsi" w:cstheme="majorHAnsi"/>
                <w:sz w:val="20"/>
                <w:szCs w:val="20"/>
              </w:rPr>
              <w:t xml:space="preserve">Realizacja </w:t>
            </w:r>
            <w:r w:rsidR="005A4619">
              <w:rPr>
                <w:rFonts w:asciiTheme="majorHAnsi" w:hAnsiTheme="majorHAnsi" w:cstheme="majorHAnsi"/>
                <w:sz w:val="20"/>
                <w:szCs w:val="20"/>
              </w:rPr>
              <w:t xml:space="preserve">inwestycji </w:t>
            </w:r>
            <w:r w:rsidR="003252A6">
              <w:rPr>
                <w:rFonts w:asciiTheme="majorHAnsi" w:hAnsiTheme="majorHAnsi" w:cstheme="majorHAnsi"/>
                <w:sz w:val="20"/>
                <w:szCs w:val="20"/>
              </w:rPr>
              <w:t>drogowych musi</w:t>
            </w:r>
            <w:r w:rsidR="005A4619">
              <w:rPr>
                <w:rFonts w:asciiTheme="majorHAnsi" w:hAnsiTheme="majorHAnsi" w:cstheme="majorHAnsi"/>
                <w:sz w:val="20"/>
                <w:szCs w:val="20"/>
              </w:rPr>
              <w:t xml:space="preserve"> </w:t>
            </w:r>
            <w:r w:rsidR="003252A6">
              <w:rPr>
                <w:rFonts w:asciiTheme="majorHAnsi" w:hAnsiTheme="majorHAnsi" w:cstheme="majorHAnsi"/>
                <w:sz w:val="20"/>
                <w:szCs w:val="20"/>
              </w:rPr>
              <w:t xml:space="preserve">być </w:t>
            </w:r>
            <w:r w:rsidR="005A4619">
              <w:rPr>
                <w:rFonts w:asciiTheme="majorHAnsi" w:hAnsiTheme="majorHAnsi" w:cstheme="majorHAnsi"/>
                <w:sz w:val="20"/>
                <w:szCs w:val="20"/>
              </w:rPr>
              <w:t xml:space="preserve">ściśle powiązana z </w:t>
            </w:r>
            <w:r w:rsidR="000F3778">
              <w:rPr>
                <w:rFonts w:asciiTheme="majorHAnsi" w:hAnsiTheme="majorHAnsi" w:cstheme="majorHAnsi"/>
                <w:sz w:val="20"/>
                <w:szCs w:val="20"/>
              </w:rPr>
              <w:t xml:space="preserve">budową ścieżek rowerowych na terenie OF. </w:t>
            </w:r>
            <w:r w:rsidR="002001B0">
              <w:rPr>
                <w:rFonts w:asciiTheme="majorHAnsi" w:hAnsiTheme="majorHAnsi" w:cstheme="majorHAnsi"/>
                <w:sz w:val="20"/>
              </w:rPr>
              <w:t xml:space="preserve">Ścieżki rowerowe </w:t>
            </w:r>
            <w:r w:rsidR="00384A0C">
              <w:rPr>
                <w:rFonts w:asciiTheme="majorHAnsi" w:hAnsiTheme="majorHAnsi" w:cstheme="majorHAnsi"/>
                <w:sz w:val="20"/>
              </w:rPr>
              <w:t>są</w:t>
            </w:r>
            <w:r w:rsidR="002001B0">
              <w:rPr>
                <w:rFonts w:asciiTheme="majorHAnsi" w:hAnsiTheme="majorHAnsi" w:cstheme="majorHAnsi"/>
                <w:sz w:val="20"/>
              </w:rPr>
              <w:t xml:space="preserve"> </w:t>
            </w:r>
            <w:r w:rsidR="00384A0C">
              <w:rPr>
                <w:rFonts w:asciiTheme="majorHAnsi" w:hAnsiTheme="majorHAnsi" w:cstheme="majorHAnsi"/>
                <w:sz w:val="20"/>
              </w:rPr>
              <w:t xml:space="preserve">istotnym </w:t>
            </w:r>
            <w:r w:rsidR="002001B0">
              <w:rPr>
                <w:rFonts w:asciiTheme="majorHAnsi" w:hAnsiTheme="majorHAnsi" w:cstheme="majorHAnsi"/>
                <w:sz w:val="20"/>
              </w:rPr>
              <w:t>produkt</w:t>
            </w:r>
            <w:r w:rsidR="00384A0C">
              <w:rPr>
                <w:rFonts w:asciiTheme="majorHAnsi" w:hAnsiTheme="majorHAnsi" w:cstheme="majorHAnsi"/>
                <w:sz w:val="20"/>
              </w:rPr>
              <w:t>em</w:t>
            </w:r>
            <w:r w:rsidR="002001B0">
              <w:rPr>
                <w:rFonts w:asciiTheme="majorHAnsi" w:hAnsiTheme="majorHAnsi" w:cstheme="majorHAnsi"/>
                <w:sz w:val="20"/>
              </w:rPr>
              <w:t xml:space="preserve"> </w:t>
            </w:r>
            <w:r w:rsidR="00384A0C">
              <w:rPr>
                <w:rFonts w:asciiTheme="majorHAnsi" w:hAnsiTheme="majorHAnsi" w:cstheme="majorHAnsi"/>
                <w:sz w:val="20"/>
              </w:rPr>
              <w:t>turystycznym</w:t>
            </w:r>
            <w:r w:rsidR="002001B0">
              <w:rPr>
                <w:rFonts w:asciiTheme="majorHAnsi" w:hAnsiTheme="majorHAnsi" w:cstheme="majorHAnsi"/>
                <w:sz w:val="20"/>
              </w:rPr>
              <w:t xml:space="preserve"> obszaru a </w:t>
            </w:r>
            <w:r w:rsidR="00384A0C">
              <w:rPr>
                <w:rFonts w:asciiTheme="majorHAnsi" w:hAnsiTheme="majorHAnsi" w:cstheme="majorHAnsi"/>
                <w:sz w:val="20"/>
              </w:rPr>
              <w:t>także</w:t>
            </w:r>
            <w:r w:rsidR="002001B0">
              <w:rPr>
                <w:rFonts w:asciiTheme="majorHAnsi" w:hAnsiTheme="majorHAnsi" w:cstheme="majorHAnsi"/>
                <w:sz w:val="20"/>
              </w:rPr>
              <w:t xml:space="preserve"> stanowią </w:t>
            </w:r>
            <w:r w:rsidR="000F3778" w:rsidRPr="000F3778">
              <w:rPr>
                <w:rFonts w:asciiTheme="majorHAnsi" w:hAnsiTheme="majorHAnsi" w:cstheme="majorHAnsi"/>
                <w:sz w:val="20"/>
              </w:rPr>
              <w:t>element realizowania ważnych z punktu widzenia jakości życia tzw. strategii niskoemisyjnych, stymulujących zastępowanie środków transportu (z samochodów na rowery).</w:t>
            </w:r>
          </w:p>
          <w:p w14:paraId="1A51A679" w14:textId="77777777" w:rsidR="000F3778" w:rsidRPr="002B1DBE" w:rsidRDefault="000F3778" w:rsidP="00FC7062">
            <w:pPr>
              <w:spacing w:line="276" w:lineRule="auto"/>
              <w:jc w:val="both"/>
              <w:rPr>
                <w:rFonts w:asciiTheme="majorHAnsi" w:hAnsiTheme="majorHAnsi" w:cstheme="majorHAnsi"/>
                <w:sz w:val="20"/>
                <w:szCs w:val="20"/>
              </w:rPr>
            </w:pPr>
          </w:p>
          <w:p w14:paraId="496C29BA" w14:textId="1DA99EBE" w:rsidR="00C079C7" w:rsidRPr="001A20A9" w:rsidRDefault="00560538" w:rsidP="00C079C7">
            <w:pPr>
              <w:spacing w:line="276" w:lineRule="auto"/>
              <w:jc w:val="both"/>
              <w:rPr>
                <w:rFonts w:asciiTheme="majorHAnsi" w:hAnsiTheme="majorHAnsi" w:cstheme="majorHAnsi"/>
                <w:sz w:val="20"/>
                <w:szCs w:val="20"/>
              </w:rPr>
            </w:pPr>
            <w:r w:rsidRPr="00560538">
              <w:rPr>
                <w:rFonts w:asciiTheme="majorHAnsi" w:hAnsiTheme="majorHAnsi" w:cstheme="majorHAnsi"/>
                <w:sz w:val="20"/>
                <w:szCs w:val="20"/>
              </w:rPr>
              <w:t xml:space="preserve">Efektem przedsięwzięć drogowych będzie wzmocnienie drożności komunikacyjnej, ułatwienie dostępu mieszańców i turystów do głównych drogowych szlaków komunikacyjnych </w:t>
            </w:r>
            <w:r>
              <w:rPr>
                <w:rFonts w:asciiTheme="majorHAnsi" w:hAnsiTheme="majorHAnsi" w:cstheme="majorHAnsi"/>
                <w:sz w:val="20"/>
                <w:szCs w:val="20"/>
              </w:rPr>
              <w:t>OF</w:t>
            </w:r>
            <w:r w:rsidR="00C079C7">
              <w:rPr>
                <w:rFonts w:asciiTheme="majorHAnsi" w:hAnsiTheme="majorHAnsi" w:cstheme="majorHAnsi"/>
                <w:sz w:val="20"/>
                <w:szCs w:val="20"/>
              </w:rPr>
              <w:t xml:space="preserve">, a także wzrost liczby </w:t>
            </w:r>
            <w:r w:rsidR="00C079C7" w:rsidRPr="00C079C7">
              <w:rPr>
                <w:rFonts w:asciiTheme="majorHAnsi" w:hAnsiTheme="majorHAnsi" w:cstheme="majorHAnsi"/>
                <w:sz w:val="20"/>
                <w:szCs w:val="20"/>
              </w:rPr>
              <w:t>terenów inwestycyjnych atrakcyjnych dla przedsiębiorców</w:t>
            </w:r>
            <w:r w:rsidR="00C079C7">
              <w:rPr>
                <w:rFonts w:asciiTheme="majorHAnsi" w:hAnsiTheme="majorHAnsi" w:cstheme="majorHAnsi"/>
                <w:sz w:val="20"/>
                <w:szCs w:val="20"/>
              </w:rPr>
              <w:t>.</w:t>
            </w:r>
          </w:p>
        </w:tc>
      </w:tr>
    </w:tbl>
    <w:p w14:paraId="1BD110D8" w14:textId="77777777" w:rsidR="00BF0D61" w:rsidRDefault="00BF0D61" w:rsidP="00FC7062">
      <w:pPr>
        <w:spacing w:line="276" w:lineRule="auto"/>
        <w:rPr>
          <w:rFonts w:asciiTheme="majorHAnsi" w:hAnsiTheme="majorHAnsi" w:cstheme="majorHAnsi"/>
        </w:rPr>
      </w:pPr>
    </w:p>
    <w:p w14:paraId="3E7FF5CD" w14:textId="77777777" w:rsidR="0026144A" w:rsidRDefault="0026144A" w:rsidP="00FC7062">
      <w:pPr>
        <w:spacing w:line="276" w:lineRule="auto"/>
        <w:rPr>
          <w:rFonts w:asciiTheme="majorHAnsi" w:hAnsiTheme="majorHAnsi" w:cstheme="majorHAnsi"/>
        </w:rPr>
        <w:sectPr w:rsidR="0026144A" w:rsidSect="00BB5769">
          <w:pgSz w:w="11906" w:h="16838"/>
          <w:pgMar w:top="1418" w:right="1418" w:bottom="1418" w:left="1418" w:header="709" w:footer="709" w:gutter="0"/>
          <w:cols w:space="708"/>
          <w:docGrid w:linePitch="360"/>
        </w:sectPr>
      </w:pPr>
    </w:p>
    <w:tbl>
      <w:tblPr>
        <w:tblStyle w:val="Tabela-Siatka"/>
        <w:tblW w:w="5000" w:type="pct"/>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shd w:val="clear" w:color="auto" w:fill="F4B083" w:themeFill="accent2" w:themeFillTint="99"/>
        <w:tblLook w:val="04A0" w:firstRow="1" w:lastRow="0" w:firstColumn="1" w:lastColumn="0" w:noHBand="0" w:noVBand="1"/>
      </w:tblPr>
      <w:tblGrid>
        <w:gridCol w:w="9010"/>
      </w:tblGrid>
      <w:tr w:rsidR="00802828" w:rsidRPr="001A20A9" w14:paraId="5E63140D" w14:textId="77777777" w:rsidTr="006B3241">
        <w:trPr>
          <w:trHeight w:val="20"/>
          <w:tblHeader/>
        </w:trPr>
        <w:tc>
          <w:tcPr>
            <w:tcW w:w="5000" w:type="pct"/>
            <w:shd w:val="clear" w:color="auto" w:fill="5B9BD5"/>
            <w:vAlign w:val="center"/>
          </w:tcPr>
          <w:p w14:paraId="467E3AE8" w14:textId="77777777" w:rsidR="00802828" w:rsidRPr="001A20A9" w:rsidRDefault="00802828" w:rsidP="00FC7062">
            <w:pPr>
              <w:spacing w:line="276" w:lineRule="auto"/>
              <w:jc w:val="center"/>
              <w:rPr>
                <w:rFonts w:asciiTheme="majorHAnsi" w:hAnsiTheme="majorHAnsi" w:cstheme="majorHAnsi"/>
                <w:b/>
                <w:sz w:val="20"/>
                <w:szCs w:val="20"/>
              </w:rPr>
            </w:pPr>
            <w:r w:rsidRPr="001A20A9">
              <w:rPr>
                <w:rFonts w:asciiTheme="majorHAnsi" w:hAnsiTheme="majorHAnsi" w:cstheme="majorHAnsi"/>
                <w:b/>
                <w:sz w:val="20"/>
                <w:szCs w:val="20"/>
              </w:rPr>
              <w:t xml:space="preserve">Cel strategiczny 2. </w:t>
            </w:r>
          </w:p>
          <w:p w14:paraId="73A6BB0F" w14:textId="77777777" w:rsidR="00802828" w:rsidRPr="001A20A9" w:rsidRDefault="00802828" w:rsidP="00FC7062">
            <w:pPr>
              <w:spacing w:line="276" w:lineRule="auto"/>
              <w:jc w:val="center"/>
              <w:rPr>
                <w:rFonts w:asciiTheme="majorHAnsi" w:hAnsiTheme="majorHAnsi" w:cstheme="majorHAnsi"/>
                <w:sz w:val="20"/>
                <w:szCs w:val="20"/>
              </w:rPr>
            </w:pPr>
            <w:r w:rsidRPr="001A20A9">
              <w:rPr>
                <w:rFonts w:asciiTheme="majorHAnsi" w:hAnsiTheme="majorHAnsi" w:cstheme="majorHAnsi"/>
                <w:sz w:val="20"/>
                <w:szCs w:val="20"/>
              </w:rPr>
              <w:t>Zapewnienie wysokiej jakości życia mieszkańców poprzez efektywną gospodarkę energetyczną, ochronę gleb, powietrza i środowiska naturalnego</w:t>
            </w:r>
          </w:p>
        </w:tc>
      </w:tr>
    </w:tbl>
    <w:p w14:paraId="1A051C41" w14:textId="77777777" w:rsidR="00E31FAB" w:rsidRDefault="00E31FAB" w:rsidP="00F61F12">
      <w:pPr>
        <w:spacing w:after="0" w:line="276" w:lineRule="auto"/>
      </w:pPr>
    </w:p>
    <w:tbl>
      <w:tblPr>
        <w:tblStyle w:val="Tabela-Siatka"/>
        <w:tblW w:w="5000" w:type="pct"/>
        <w:jc w:val="center"/>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ook w:val="04A0" w:firstRow="1" w:lastRow="0" w:firstColumn="1" w:lastColumn="0" w:noHBand="0" w:noVBand="1"/>
      </w:tblPr>
      <w:tblGrid>
        <w:gridCol w:w="9024"/>
      </w:tblGrid>
      <w:tr w:rsidR="00C87458" w:rsidRPr="00C87458" w14:paraId="5F6164E1" w14:textId="77777777" w:rsidTr="004A6B2F">
        <w:trPr>
          <w:trHeight w:val="20"/>
          <w:jc w:val="center"/>
        </w:trPr>
        <w:tc>
          <w:tcPr>
            <w:tcW w:w="5000" w:type="pct"/>
            <w:shd w:val="clear" w:color="auto" w:fill="C2DAF0"/>
            <w:vAlign w:val="center"/>
          </w:tcPr>
          <w:p w14:paraId="5119A1CF" w14:textId="77777777" w:rsidR="00C87458" w:rsidRPr="00C87458" w:rsidRDefault="00C87458" w:rsidP="00FC7062">
            <w:pPr>
              <w:spacing w:line="276" w:lineRule="auto"/>
              <w:jc w:val="center"/>
              <w:rPr>
                <w:rFonts w:asciiTheme="majorHAnsi" w:hAnsiTheme="majorHAnsi" w:cstheme="majorHAnsi"/>
                <w:sz w:val="20"/>
                <w:szCs w:val="20"/>
              </w:rPr>
            </w:pPr>
            <w:r w:rsidRPr="00C87458">
              <w:rPr>
                <w:rFonts w:asciiTheme="majorHAnsi" w:hAnsiTheme="majorHAnsi" w:cstheme="majorHAnsi"/>
                <w:sz w:val="20"/>
                <w:szCs w:val="20"/>
              </w:rPr>
              <w:t xml:space="preserve">Cel operacyjny </w:t>
            </w:r>
            <w:r w:rsidR="00D75598">
              <w:rPr>
                <w:rFonts w:asciiTheme="majorHAnsi" w:hAnsiTheme="majorHAnsi" w:cstheme="majorHAnsi"/>
                <w:sz w:val="20"/>
                <w:szCs w:val="20"/>
              </w:rPr>
              <w:t>2</w:t>
            </w:r>
            <w:r w:rsidRPr="00C87458">
              <w:rPr>
                <w:rFonts w:asciiTheme="majorHAnsi" w:hAnsiTheme="majorHAnsi" w:cstheme="majorHAnsi"/>
                <w:sz w:val="20"/>
                <w:szCs w:val="20"/>
              </w:rPr>
              <w:t>.1</w:t>
            </w:r>
          </w:p>
        </w:tc>
      </w:tr>
      <w:tr w:rsidR="00C87458" w:rsidRPr="00C87458" w14:paraId="4C2401D3" w14:textId="77777777" w:rsidTr="004A6B2F">
        <w:trPr>
          <w:trHeight w:val="20"/>
          <w:jc w:val="center"/>
        </w:trPr>
        <w:tc>
          <w:tcPr>
            <w:tcW w:w="5000" w:type="pct"/>
            <w:tcBorders>
              <w:bottom w:val="single" w:sz="18" w:space="0" w:color="FFFFFF" w:themeColor="background1"/>
            </w:tcBorders>
            <w:shd w:val="clear" w:color="auto" w:fill="C2DAF0"/>
            <w:vAlign w:val="center"/>
          </w:tcPr>
          <w:p w14:paraId="3667EE0C" w14:textId="2CD10141" w:rsidR="00C87458" w:rsidRPr="00C87458" w:rsidRDefault="00562B23" w:rsidP="00FC7062">
            <w:pPr>
              <w:spacing w:line="276" w:lineRule="auto"/>
              <w:jc w:val="center"/>
              <w:rPr>
                <w:rFonts w:asciiTheme="majorHAnsi" w:hAnsiTheme="majorHAnsi" w:cstheme="majorHAnsi"/>
                <w:sz w:val="20"/>
                <w:szCs w:val="20"/>
              </w:rPr>
            </w:pPr>
            <w:r w:rsidRPr="00562B23">
              <w:rPr>
                <w:rFonts w:asciiTheme="majorHAnsi" w:hAnsiTheme="majorHAnsi" w:cstheme="majorHAnsi"/>
                <w:sz w:val="20"/>
                <w:szCs w:val="20"/>
              </w:rPr>
              <w:t>Czyste powietrze</w:t>
            </w:r>
            <w:r w:rsidR="00FB0C7E">
              <w:rPr>
                <w:rFonts w:asciiTheme="majorHAnsi" w:hAnsiTheme="majorHAnsi" w:cstheme="majorHAnsi"/>
                <w:sz w:val="20"/>
                <w:szCs w:val="20"/>
              </w:rPr>
              <w:t xml:space="preserve"> </w:t>
            </w:r>
            <w:r w:rsidR="00FB0C7E" w:rsidRPr="00FB0C7E">
              <w:rPr>
                <w:rFonts w:asciiTheme="majorHAnsi" w:hAnsiTheme="majorHAnsi" w:cstheme="majorHAnsi"/>
                <w:sz w:val="20"/>
                <w:szCs w:val="20"/>
              </w:rPr>
              <w:t>i efektywna gospodarka energetyczna</w:t>
            </w:r>
          </w:p>
        </w:tc>
      </w:tr>
      <w:tr w:rsidR="00562B23" w:rsidRPr="00C87458" w14:paraId="1BDFB773" w14:textId="77777777" w:rsidTr="004A6B2F">
        <w:trPr>
          <w:trHeight w:val="20"/>
          <w:jc w:val="center"/>
        </w:trPr>
        <w:tc>
          <w:tcPr>
            <w:tcW w:w="5000" w:type="pct"/>
            <w:tcBorders>
              <w:top w:val="single" w:sz="18" w:space="0" w:color="FFFFFF" w:themeColor="background1"/>
              <w:left w:val="single" w:sz="4" w:space="0" w:color="5B9BD5"/>
              <w:bottom w:val="single" w:sz="4" w:space="0" w:color="5B9BD5"/>
              <w:right w:val="single" w:sz="4" w:space="0" w:color="5B9BD5"/>
            </w:tcBorders>
            <w:shd w:val="clear" w:color="auto" w:fill="FFFFFF" w:themeFill="background1"/>
            <w:vAlign w:val="center"/>
          </w:tcPr>
          <w:p w14:paraId="52F5EEB9" w14:textId="77777777" w:rsidR="00895B9F" w:rsidRDefault="00895B9F" w:rsidP="00895B9F">
            <w:pPr>
              <w:spacing w:line="276" w:lineRule="auto"/>
              <w:jc w:val="both"/>
              <w:rPr>
                <w:rFonts w:asciiTheme="majorHAnsi" w:hAnsiTheme="majorHAnsi" w:cstheme="majorHAnsi"/>
                <w:sz w:val="20"/>
              </w:rPr>
            </w:pPr>
            <w:r>
              <w:rPr>
                <w:rFonts w:asciiTheme="majorHAnsi" w:hAnsiTheme="majorHAnsi" w:cstheme="majorHAnsi"/>
                <w:sz w:val="20"/>
              </w:rPr>
              <w:t>Obszar Funkcjonalny</w:t>
            </w:r>
            <w:r w:rsidRPr="00562B23">
              <w:rPr>
                <w:rFonts w:asciiTheme="majorHAnsi" w:hAnsiTheme="majorHAnsi" w:cstheme="majorHAnsi"/>
                <w:sz w:val="20"/>
              </w:rPr>
              <w:t xml:space="preserve"> pod względem emisji zanieczyszczeń należy do grupy obszarów o </w:t>
            </w:r>
            <w:r>
              <w:rPr>
                <w:rFonts w:asciiTheme="majorHAnsi" w:hAnsiTheme="majorHAnsi" w:cstheme="majorHAnsi"/>
                <w:sz w:val="20"/>
              </w:rPr>
              <w:t xml:space="preserve">niskiej </w:t>
            </w:r>
            <w:r w:rsidRPr="00562B23">
              <w:rPr>
                <w:rFonts w:asciiTheme="majorHAnsi" w:hAnsiTheme="majorHAnsi" w:cstheme="majorHAnsi"/>
                <w:sz w:val="20"/>
              </w:rPr>
              <w:t xml:space="preserve">skali obciążenia środowiska. Głównym problemem </w:t>
            </w:r>
            <w:r>
              <w:rPr>
                <w:rFonts w:asciiTheme="majorHAnsi" w:hAnsiTheme="majorHAnsi" w:cstheme="majorHAnsi"/>
                <w:sz w:val="20"/>
              </w:rPr>
              <w:t>OF</w:t>
            </w:r>
            <w:r w:rsidRPr="00562B23">
              <w:rPr>
                <w:rFonts w:asciiTheme="majorHAnsi" w:hAnsiTheme="majorHAnsi" w:cstheme="majorHAnsi"/>
                <w:sz w:val="20"/>
              </w:rPr>
              <w:t xml:space="preserve"> w zakresie zanieczyszczenia powietrza jest </w:t>
            </w:r>
            <w:r>
              <w:rPr>
                <w:rFonts w:asciiTheme="majorHAnsi" w:hAnsiTheme="majorHAnsi" w:cstheme="majorHAnsi"/>
                <w:sz w:val="20"/>
              </w:rPr>
              <w:t xml:space="preserve">wzrastający </w:t>
            </w:r>
            <w:r w:rsidRPr="00562B23">
              <w:rPr>
                <w:rFonts w:asciiTheme="majorHAnsi" w:hAnsiTheme="majorHAnsi" w:cstheme="majorHAnsi"/>
                <w:sz w:val="20"/>
              </w:rPr>
              <w:t xml:space="preserve">poziom pyłu zawieszonego PM10, PM2,5 oraz </w:t>
            </w:r>
            <w:proofErr w:type="spellStart"/>
            <w:r w:rsidRPr="00562B23">
              <w:rPr>
                <w:rFonts w:asciiTheme="majorHAnsi" w:hAnsiTheme="majorHAnsi" w:cstheme="majorHAnsi"/>
                <w:sz w:val="20"/>
              </w:rPr>
              <w:t>benzo</w:t>
            </w:r>
            <w:proofErr w:type="spellEnd"/>
            <w:r w:rsidRPr="00562B23">
              <w:rPr>
                <w:rFonts w:asciiTheme="majorHAnsi" w:hAnsiTheme="majorHAnsi" w:cstheme="majorHAnsi"/>
                <w:sz w:val="20"/>
              </w:rPr>
              <w:t>(a)</w:t>
            </w:r>
            <w:proofErr w:type="spellStart"/>
            <w:r w:rsidRPr="00562B23">
              <w:rPr>
                <w:rFonts w:asciiTheme="majorHAnsi" w:hAnsiTheme="majorHAnsi" w:cstheme="majorHAnsi"/>
                <w:sz w:val="20"/>
              </w:rPr>
              <w:t>pirenu</w:t>
            </w:r>
            <w:proofErr w:type="spellEnd"/>
            <w:r w:rsidRPr="00562B23">
              <w:rPr>
                <w:rFonts w:asciiTheme="majorHAnsi" w:hAnsiTheme="majorHAnsi" w:cstheme="majorHAnsi"/>
                <w:sz w:val="20"/>
              </w:rPr>
              <w:t xml:space="preserve"> w powietrzu. Cel ten będzie realizowany poprzez inwestycje </w:t>
            </w:r>
            <w:r w:rsidRPr="000A2A2E">
              <w:rPr>
                <w:rFonts w:asciiTheme="majorHAnsi" w:hAnsiTheme="majorHAnsi" w:cstheme="majorHAnsi"/>
                <w:color w:val="FF0000"/>
                <w:sz w:val="20"/>
              </w:rPr>
              <w:t>związane z transformacja do gospodarki neutralnej dla klimatu, w tym</w:t>
            </w:r>
            <w:r>
              <w:rPr>
                <w:rFonts w:asciiTheme="majorHAnsi" w:hAnsiTheme="majorHAnsi" w:cstheme="majorHAnsi"/>
                <w:sz w:val="20"/>
              </w:rPr>
              <w:t xml:space="preserve"> </w:t>
            </w:r>
            <w:r w:rsidRPr="000A2A2E">
              <w:rPr>
                <w:rFonts w:asciiTheme="majorHAnsi" w:hAnsiTheme="majorHAnsi" w:cstheme="majorHAnsi"/>
                <w:color w:val="FF0000"/>
                <w:sz w:val="20"/>
              </w:rPr>
              <w:t>m.in.</w:t>
            </w:r>
            <w:r>
              <w:rPr>
                <w:rFonts w:asciiTheme="majorHAnsi" w:hAnsiTheme="majorHAnsi" w:cstheme="majorHAnsi"/>
                <w:sz w:val="20"/>
              </w:rPr>
              <w:t xml:space="preserve"> </w:t>
            </w:r>
            <w:r w:rsidRPr="00562B23">
              <w:rPr>
                <w:rFonts w:asciiTheme="majorHAnsi" w:hAnsiTheme="majorHAnsi" w:cstheme="majorHAnsi"/>
                <w:sz w:val="20"/>
              </w:rPr>
              <w:t>związane z ograniczaniem niskiej emisji oraz wzrostem wykorzystania odnawialnych źródeł energii</w:t>
            </w:r>
            <w:r>
              <w:rPr>
                <w:rFonts w:asciiTheme="majorHAnsi" w:hAnsiTheme="majorHAnsi" w:cstheme="majorHAnsi"/>
                <w:sz w:val="20"/>
              </w:rPr>
              <w:t>.</w:t>
            </w:r>
          </w:p>
          <w:p w14:paraId="3FD40BBE" w14:textId="77777777" w:rsidR="00895B9F" w:rsidRDefault="00895B9F" w:rsidP="00895B9F">
            <w:pPr>
              <w:spacing w:line="276" w:lineRule="auto"/>
              <w:jc w:val="both"/>
              <w:rPr>
                <w:rFonts w:asciiTheme="majorHAnsi" w:hAnsiTheme="majorHAnsi" w:cstheme="majorHAnsi"/>
                <w:sz w:val="20"/>
              </w:rPr>
            </w:pPr>
          </w:p>
          <w:p w14:paraId="44D35E60" w14:textId="25763F53" w:rsidR="00895B9F" w:rsidRDefault="00895B9F" w:rsidP="00895B9F">
            <w:pPr>
              <w:spacing w:line="276" w:lineRule="auto"/>
              <w:jc w:val="both"/>
              <w:rPr>
                <w:rFonts w:asciiTheme="majorHAnsi" w:hAnsiTheme="majorHAnsi" w:cstheme="majorHAnsi"/>
                <w:sz w:val="20"/>
              </w:rPr>
            </w:pPr>
            <w:r w:rsidRPr="00562B23">
              <w:rPr>
                <w:rFonts w:asciiTheme="majorHAnsi" w:hAnsiTheme="majorHAnsi" w:cstheme="majorHAnsi"/>
                <w:sz w:val="20"/>
              </w:rPr>
              <w:t xml:space="preserve">Zintegrowana interwencja przyczyni się do znacznej poprawy jakości powietrza, a w przypadku realizacji zadań polegających na redukcji zanieczyszczeń w budynkach prywatnych znacznie wzrośnie jakość i komfort życia mieszkańców. Efekt zintegrowany projektów zgrupowanych w tym obszarze będzie polegał na zaspokojeniu najbardziej pilnych potrzeb </w:t>
            </w:r>
            <w:r w:rsidRPr="000A2A2E">
              <w:rPr>
                <w:rFonts w:asciiTheme="majorHAnsi" w:hAnsiTheme="majorHAnsi" w:cstheme="majorHAnsi"/>
                <w:color w:val="FF0000"/>
                <w:sz w:val="20"/>
              </w:rPr>
              <w:t>m.in.</w:t>
            </w:r>
            <w:r>
              <w:rPr>
                <w:rFonts w:asciiTheme="majorHAnsi" w:hAnsiTheme="majorHAnsi" w:cstheme="majorHAnsi"/>
                <w:sz w:val="20"/>
              </w:rPr>
              <w:t xml:space="preserve"> </w:t>
            </w:r>
            <w:r w:rsidRPr="00562B23">
              <w:rPr>
                <w:rFonts w:asciiTheme="majorHAnsi" w:hAnsiTheme="majorHAnsi" w:cstheme="majorHAnsi"/>
                <w:sz w:val="20"/>
              </w:rPr>
              <w:t xml:space="preserve">z zakresu termomodernizacji budynków publicznych w każdej gminie </w:t>
            </w:r>
            <w:r>
              <w:rPr>
                <w:rFonts w:asciiTheme="majorHAnsi" w:hAnsiTheme="majorHAnsi" w:cstheme="majorHAnsi"/>
                <w:sz w:val="20"/>
              </w:rPr>
              <w:t>OF</w:t>
            </w:r>
            <w:r w:rsidRPr="00562B23">
              <w:rPr>
                <w:rFonts w:asciiTheme="majorHAnsi" w:hAnsiTheme="majorHAnsi" w:cstheme="majorHAnsi"/>
                <w:sz w:val="20"/>
              </w:rPr>
              <w:t xml:space="preserve">, </w:t>
            </w:r>
            <w:r w:rsidR="00E01359">
              <w:rPr>
                <w:rFonts w:asciiTheme="majorHAnsi" w:hAnsiTheme="majorHAnsi" w:cstheme="majorHAnsi"/>
                <w:sz w:val="20"/>
              </w:rPr>
              <w:br/>
            </w:r>
            <w:r w:rsidRPr="00562B23">
              <w:rPr>
                <w:rFonts w:asciiTheme="majorHAnsi" w:hAnsiTheme="majorHAnsi" w:cstheme="majorHAnsi"/>
                <w:sz w:val="20"/>
              </w:rPr>
              <w:t xml:space="preserve">co w skali całego obszaru przełoży się na obniżenie liczby zanieczyszczeń emitowanych do środowiska. </w:t>
            </w:r>
          </w:p>
          <w:p w14:paraId="7BD8675B" w14:textId="77777777" w:rsidR="00895B9F" w:rsidRDefault="00895B9F" w:rsidP="00895B9F">
            <w:pPr>
              <w:spacing w:line="276" w:lineRule="auto"/>
              <w:jc w:val="both"/>
              <w:rPr>
                <w:rFonts w:asciiTheme="majorHAnsi" w:hAnsiTheme="majorHAnsi" w:cstheme="majorHAnsi"/>
                <w:sz w:val="20"/>
              </w:rPr>
            </w:pPr>
          </w:p>
          <w:p w14:paraId="22045939" w14:textId="38021023" w:rsidR="00562B23" w:rsidRPr="00805A60" w:rsidRDefault="00895B9F" w:rsidP="00895B9F">
            <w:pPr>
              <w:spacing w:line="276" w:lineRule="auto"/>
              <w:jc w:val="both"/>
              <w:rPr>
                <w:rFonts w:asciiTheme="majorHAnsi" w:hAnsiTheme="majorHAnsi" w:cstheme="majorHAnsi"/>
                <w:sz w:val="20"/>
              </w:rPr>
            </w:pPr>
            <w:r w:rsidRPr="00562B23">
              <w:rPr>
                <w:rFonts w:asciiTheme="majorHAnsi" w:hAnsiTheme="majorHAnsi" w:cstheme="majorHAnsi"/>
                <w:sz w:val="20"/>
              </w:rPr>
              <w:t>W ramach działań inwestycyjnych mogących wpłynąć na realizację celu przewiduje się realizację następujących typów projektów</w:t>
            </w:r>
            <w:r>
              <w:rPr>
                <w:rFonts w:asciiTheme="majorHAnsi" w:hAnsiTheme="majorHAnsi" w:cstheme="majorHAnsi"/>
                <w:sz w:val="20"/>
              </w:rPr>
              <w:t>: t</w:t>
            </w:r>
            <w:r w:rsidRPr="00562B23">
              <w:rPr>
                <w:rFonts w:asciiTheme="majorHAnsi" w:hAnsiTheme="majorHAnsi" w:cstheme="majorHAnsi"/>
                <w:sz w:val="20"/>
              </w:rPr>
              <w:t>ermomodernizacje budynków</w:t>
            </w:r>
            <w:r>
              <w:rPr>
                <w:rFonts w:asciiTheme="majorHAnsi" w:hAnsiTheme="majorHAnsi" w:cstheme="majorHAnsi"/>
                <w:sz w:val="20"/>
              </w:rPr>
              <w:t xml:space="preserve"> i instalacji</w:t>
            </w:r>
            <w:r w:rsidRPr="00562B23">
              <w:rPr>
                <w:rFonts w:asciiTheme="majorHAnsi" w:hAnsiTheme="majorHAnsi" w:cstheme="majorHAnsi"/>
                <w:sz w:val="20"/>
              </w:rPr>
              <w:t xml:space="preserve"> publicznych,</w:t>
            </w:r>
            <w:r>
              <w:rPr>
                <w:rFonts w:asciiTheme="majorHAnsi" w:hAnsiTheme="majorHAnsi" w:cstheme="majorHAnsi"/>
                <w:sz w:val="20"/>
              </w:rPr>
              <w:t xml:space="preserve"> </w:t>
            </w:r>
            <w:r w:rsidRPr="00F76751">
              <w:rPr>
                <w:rFonts w:asciiTheme="majorHAnsi" w:hAnsiTheme="majorHAnsi" w:cstheme="majorHAnsi"/>
                <w:sz w:val="20"/>
              </w:rPr>
              <w:t>przedsiębiorstw, wspólnot mieszkaniow</w:t>
            </w:r>
            <w:r>
              <w:rPr>
                <w:rFonts w:asciiTheme="majorHAnsi" w:hAnsiTheme="majorHAnsi" w:cstheme="majorHAnsi"/>
                <w:sz w:val="20"/>
              </w:rPr>
              <w:t>ych</w:t>
            </w:r>
            <w:r w:rsidRPr="00F76751">
              <w:rPr>
                <w:rFonts w:asciiTheme="majorHAnsi" w:hAnsiTheme="majorHAnsi" w:cstheme="majorHAnsi"/>
                <w:sz w:val="20"/>
              </w:rPr>
              <w:t>, spółdzielni</w:t>
            </w:r>
            <w:r>
              <w:rPr>
                <w:rFonts w:asciiTheme="majorHAnsi" w:hAnsiTheme="majorHAnsi" w:cstheme="majorHAnsi"/>
                <w:sz w:val="20"/>
              </w:rPr>
              <w:t xml:space="preserve">, wspólnot mieszkaniowych oraz NGO, a także </w:t>
            </w:r>
            <w:r w:rsidRPr="0079426C">
              <w:rPr>
                <w:rFonts w:asciiTheme="majorHAnsi" w:hAnsiTheme="majorHAnsi" w:cstheme="majorHAnsi"/>
                <w:color w:val="FF0000"/>
                <w:sz w:val="20"/>
              </w:rPr>
              <w:t>wymiany źródeł ciepła i energii elektrycznej na niskoemisyjne, w tym OZE, np.</w:t>
            </w:r>
            <w:r>
              <w:rPr>
                <w:rFonts w:asciiTheme="majorHAnsi" w:hAnsiTheme="majorHAnsi" w:cstheme="majorHAnsi"/>
                <w:sz w:val="20"/>
              </w:rPr>
              <w:t xml:space="preserve"> montaż instalacji fotowoltaicznych </w:t>
            </w:r>
            <w:r w:rsidRPr="00562B23">
              <w:rPr>
                <w:rFonts w:asciiTheme="majorHAnsi" w:hAnsiTheme="majorHAnsi" w:cstheme="majorHAnsi"/>
                <w:sz w:val="20"/>
              </w:rPr>
              <w:t>w budynkach użyteczności publicznej</w:t>
            </w:r>
            <w:r>
              <w:rPr>
                <w:rFonts w:asciiTheme="majorHAnsi" w:hAnsiTheme="majorHAnsi" w:cstheme="majorHAnsi"/>
                <w:sz w:val="20"/>
              </w:rPr>
              <w:t xml:space="preserve"> i prywatnych</w:t>
            </w:r>
            <w:r w:rsidRPr="00562B23">
              <w:rPr>
                <w:rFonts w:asciiTheme="majorHAnsi" w:hAnsiTheme="majorHAnsi" w:cstheme="majorHAnsi"/>
                <w:sz w:val="20"/>
              </w:rPr>
              <w:t xml:space="preserve">, </w:t>
            </w:r>
            <w:r>
              <w:rPr>
                <w:rFonts w:asciiTheme="majorHAnsi" w:hAnsiTheme="majorHAnsi" w:cstheme="majorHAnsi"/>
                <w:sz w:val="20"/>
              </w:rPr>
              <w:t>promocja niskiej emisji wśród mieszkańców obszaru.</w:t>
            </w:r>
          </w:p>
        </w:tc>
      </w:tr>
    </w:tbl>
    <w:p w14:paraId="708D8526" w14:textId="77777777" w:rsidR="00C87458" w:rsidRDefault="00C87458" w:rsidP="00F61F12">
      <w:pPr>
        <w:spacing w:after="0" w:line="276" w:lineRule="auto"/>
      </w:pPr>
    </w:p>
    <w:tbl>
      <w:tblPr>
        <w:tblStyle w:val="Tabela-Siatka"/>
        <w:tblW w:w="5000" w:type="pct"/>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ook w:val="04A0" w:firstRow="1" w:lastRow="0" w:firstColumn="1" w:lastColumn="0" w:noHBand="0" w:noVBand="1"/>
      </w:tblPr>
      <w:tblGrid>
        <w:gridCol w:w="9010"/>
      </w:tblGrid>
      <w:tr w:rsidR="00B1739F" w:rsidRPr="003A638E" w14:paraId="4C8C75BB" w14:textId="77777777" w:rsidTr="004A6B2F">
        <w:trPr>
          <w:trHeight w:val="20"/>
        </w:trPr>
        <w:tc>
          <w:tcPr>
            <w:tcW w:w="5000" w:type="pct"/>
            <w:shd w:val="clear" w:color="auto" w:fill="C2DAF0"/>
            <w:vAlign w:val="center"/>
          </w:tcPr>
          <w:p w14:paraId="003A02DD" w14:textId="77777777" w:rsidR="00B1739F" w:rsidRPr="003A638E" w:rsidRDefault="0088133F" w:rsidP="00FC7062">
            <w:pPr>
              <w:spacing w:line="276" w:lineRule="auto"/>
              <w:jc w:val="center"/>
              <w:rPr>
                <w:rFonts w:asciiTheme="majorHAnsi" w:hAnsiTheme="majorHAnsi" w:cstheme="majorHAnsi"/>
                <w:sz w:val="20"/>
                <w:szCs w:val="20"/>
              </w:rPr>
            </w:pPr>
            <w:r>
              <w:rPr>
                <w:rFonts w:asciiTheme="majorHAnsi" w:hAnsiTheme="majorHAnsi" w:cstheme="majorHAnsi"/>
                <w:sz w:val="20"/>
                <w:szCs w:val="20"/>
              </w:rPr>
              <w:t>Cel operacyjny 2.2</w:t>
            </w:r>
          </w:p>
        </w:tc>
      </w:tr>
      <w:tr w:rsidR="00B1739F" w:rsidRPr="003A638E" w14:paraId="23FCB283" w14:textId="77777777" w:rsidTr="004A6B2F">
        <w:trPr>
          <w:trHeight w:val="20"/>
        </w:trPr>
        <w:tc>
          <w:tcPr>
            <w:tcW w:w="5000" w:type="pct"/>
            <w:tcBorders>
              <w:bottom w:val="single" w:sz="18" w:space="0" w:color="FFFFFF" w:themeColor="background1"/>
            </w:tcBorders>
            <w:shd w:val="clear" w:color="auto" w:fill="C2DAF0"/>
            <w:vAlign w:val="center"/>
          </w:tcPr>
          <w:p w14:paraId="438D6F89" w14:textId="7C56F271" w:rsidR="00B1739F" w:rsidRPr="003A638E" w:rsidRDefault="0088133F" w:rsidP="0088133F">
            <w:pPr>
              <w:spacing w:line="276" w:lineRule="auto"/>
              <w:jc w:val="center"/>
              <w:rPr>
                <w:rFonts w:asciiTheme="majorHAnsi" w:hAnsiTheme="majorHAnsi" w:cstheme="majorHAnsi"/>
                <w:sz w:val="20"/>
                <w:szCs w:val="20"/>
              </w:rPr>
            </w:pPr>
            <w:r>
              <w:rPr>
                <w:rFonts w:asciiTheme="majorHAnsi" w:hAnsiTheme="majorHAnsi" w:cstheme="majorHAnsi"/>
                <w:sz w:val="20"/>
                <w:szCs w:val="20"/>
              </w:rPr>
              <w:t xml:space="preserve">Ochrona </w:t>
            </w:r>
            <w:r w:rsidR="00895B9F" w:rsidRPr="00895B9F">
              <w:rPr>
                <w:rFonts w:asciiTheme="majorHAnsi" w:hAnsiTheme="majorHAnsi" w:cstheme="majorHAnsi"/>
                <w:color w:val="FF0000"/>
                <w:sz w:val="20"/>
                <w:szCs w:val="20"/>
              </w:rPr>
              <w:t xml:space="preserve">ziemi, </w:t>
            </w:r>
            <w:r>
              <w:rPr>
                <w:rFonts w:asciiTheme="majorHAnsi" w:hAnsiTheme="majorHAnsi" w:cstheme="majorHAnsi"/>
                <w:sz w:val="20"/>
                <w:szCs w:val="20"/>
              </w:rPr>
              <w:t xml:space="preserve">wód podziemnych i powierzchniowych </w:t>
            </w:r>
          </w:p>
        </w:tc>
      </w:tr>
      <w:tr w:rsidR="00895B9F" w:rsidRPr="0055261C" w14:paraId="7636F7B9" w14:textId="77777777" w:rsidTr="004A6B2F">
        <w:trPr>
          <w:trHeight w:val="20"/>
        </w:trPr>
        <w:tc>
          <w:tcPr>
            <w:tcW w:w="5000" w:type="pct"/>
            <w:tcBorders>
              <w:top w:val="single" w:sz="18" w:space="0" w:color="FFFFFF" w:themeColor="background1"/>
              <w:left w:val="single" w:sz="4" w:space="0" w:color="5B9BD5"/>
              <w:bottom w:val="single" w:sz="4" w:space="0" w:color="5B9BD5"/>
              <w:right w:val="single" w:sz="4" w:space="0" w:color="5B9BD5"/>
            </w:tcBorders>
            <w:shd w:val="clear" w:color="auto" w:fill="FFFFFF" w:themeFill="background1"/>
            <w:vAlign w:val="center"/>
          </w:tcPr>
          <w:p w14:paraId="2894EC88" w14:textId="77777777" w:rsidR="00895B9F" w:rsidRDefault="00895B9F" w:rsidP="00895B9F">
            <w:pPr>
              <w:spacing w:line="276" w:lineRule="auto"/>
              <w:jc w:val="both"/>
              <w:rPr>
                <w:rFonts w:asciiTheme="majorHAnsi" w:hAnsiTheme="majorHAnsi" w:cstheme="majorHAnsi"/>
                <w:sz w:val="20"/>
              </w:rPr>
            </w:pPr>
            <w:r w:rsidRPr="0088133F">
              <w:rPr>
                <w:rFonts w:asciiTheme="majorHAnsi" w:hAnsiTheme="majorHAnsi" w:cstheme="majorHAnsi"/>
                <w:sz w:val="20"/>
              </w:rPr>
              <w:t xml:space="preserve">Jednym z ważniejszych zamierzeń rozwojowych </w:t>
            </w:r>
            <w:r>
              <w:rPr>
                <w:rFonts w:asciiTheme="majorHAnsi" w:hAnsiTheme="majorHAnsi" w:cstheme="majorHAnsi"/>
                <w:sz w:val="20"/>
              </w:rPr>
              <w:t xml:space="preserve">OF </w:t>
            </w:r>
            <w:r w:rsidRPr="0088133F">
              <w:rPr>
                <w:rFonts w:asciiTheme="majorHAnsi" w:hAnsiTheme="majorHAnsi" w:cstheme="majorHAnsi"/>
                <w:sz w:val="20"/>
              </w:rPr>
              <w:t xml:space="preserve">jest zwiększenie atrakcyjności inwestycyjnej oraz turystycznej Subregionu poprzez poprawę stanu środowiska naturalnego uzyskaną dzięki rozwojowi infrastruktury technicznej. </w:t>
            </w:r>
            <w:r w:rsidRPr="00362667">
              <w:rPr>
                <w:rFonts w:asciiTheme="majorHAnsi" w:hAnsiTheme="majorHAnsi" w:cstheme="majorHAnsi"/>
                <w:color w:val="FF0000"/>
                <w:sz w:val="20"/>
              </w:rPr>
              <w:t>Jednym z istotnych elementów wpływających na stan środowiska jest właściwa gospodarka odpadami, w szczególności na atrakcyjnych turystycznie terenach PM. W związku z tym, wspierane będą działania dotyczący gospodarki o obiegu zamkniętym, koncentrujące się na zapobieganiu powstawaniu odpadów i gospodarowaniu nimi.</w:t>
            </w:r>
          </w:p>
          <w:p w14:paraId="7442E509" w14:textId="77777777" w:rsidR="00895B9F" w:rsidRDefault="00895B9F" w:rsidP="00895B9F">
            <w:pPr>
              <w:spacing w:line="276" w:lineRule="auto"/>
              <w:jc w:val="both"/>
              <w:rPr>
                <w:rFonts w:asciiTheme="majorHAnsi" w:hAnsiTheme="majorHAnsi" w:cstheme="majorHAnsi"/>
                <w:sz w:val="20"/>
              </w:rPr>
            </w:pPr>
          </w:p>
          <w:p w14:paraId="45597CFC" w14:textId="77777777" w:rsidR="00895B9F" w:rsidRDefault="00895B9F" w:rsidP="00895B9F">
            <w:pPr>
              <w:spacing w:line="276" w:lineRule="auto"/>
              <w:jc w:val="both"/>
              <w:rPr>
                <w:rFonts w:asciiTheme="majorHAnsi" w:hAnsiTheme="majorHAnsi" w:cstheme="majorHAnsi"/>
                <w:sz w:val="20"/>
              </w:rPr>
            </w:pPr>
            <w:r w:rsidRPr="0088133F">
              <w:rPr>
                <w:rFonts w:asciiTheme="majorHAnsi" w:hAnsiTheme="majorHAnsi" w:cstheme="majorHAnsi"/>
                <w:sz w:val="20"/>
              </w:rPr>
              <w:t>Niski poziom skanalizowania Subregionu</w:t>
            </w:r>
            <w:r>
              <w:rPr>
                <w:rFonts w:asciiTheme="majorHAnsi" w:hAnsiTheme="majorHAnsi" w:cstheme="majorHAnsi"/>
                <w:sz w:val="20"/>
              </w:rPr>
              <w:t xml:space="preserve"> </w:t>
            </w:r>
            <w:r w:rsidRPr="00F9799B">
              <w:rPr>
                <w:rFonts w:asciiTheme="majorHAnsi" w:hAnsiTheme="majorHAnsi" w:cstheme="majorHAnsi"/>
                <w:sz w:val="20"/>
                <w:szCs w:val="20"/>
              </w:rPr>
              <w:t>(70,7% mieszkańców użytkujących sieć kanalizacyjną w połączeniu z</w:t>
            </w:r>
            <w:r>
              <w:rPr>
                <w:rFonts w:asciiTheme="majorHAnsi" w:hAnsiTheme="majorHAnsi" w:cstheme="majorHAnsi"/>
                <w:sz w:val="20"/>
                <w:szCs w:val="20"/>
              </w:rPr>
              <w:t> </w:t>
            </w:r>
            <w:r w:rsidRPr="00F9799B">
              <w:rPr>
                <w:rFonts w:asciiTheme="majorHAnsi" w:hAnsiTheme="majorHAnsi" w:cstheme="majorHAnsi"/>
                <w:sz w:val="20"/>
                <w:szCs w:val="20"/>
              </w:rPr>
              <w:t>86,5% ludności korzystającej z sieci wodociągowej)</w:t>
            </w:r>
            <w:r w:rsidRPr="0088133F">
              <w:rPr>
                <w:rFonts w:asciiTheme="majorHAnsi" w:hAnsiTheme="majorHAnsi" w:cstheme="majorHAnsi"/>
                <w:sz w:val="20"/>
              </w:rPr>
              <w:t xml:space="preserve">, zwłaszcza obszarów wiejskich jest znaczącym problemem </w:t>
            </w:r>
            <w:r>
              <w:rPr>
                <w:rFonts w:asciiTheme="majorHAnsi" w:hAnsiTheme="majorHAnsi" w:cstheme="majorHAnsi"/>
                <w:sz w:val="20"/>
              </w:rPr>
              <w:t xml:space="preserve">powiatów PM. OF stanowi także rezerwuar wody pitnej dla Mazowsza. </w:t>
            </w:r>
          </w:p>
          <w:p w14:paraId="151CACFC" w14:textId="77777777" w:rsidR="00895B9F" w:rsidRDefault="00895B9F" w:rsidP="00895B9F">
            <w:pPr>
              <w:spacing w:line="276" w:lineRule="auto"/>
              <w:jc w:val="both"/>
              <w:rPr>
                <w:rFonts w:asciiTheme="majorHAnsi" w:hAnsiTheme="majorHAnsi" w:cstheme="majorHAnsi"/>
                <w:sz w:val="20"/>
              </w:rPr>
            </w:pPr>
            <w:r w:rsidRPr="00362667">
              <w:rPr>
                <w:rFonts w:asciiTheme="majorHAnsi" w:hAnsiTheme="majorHAnsi" w:cstheme="majorHAnsi"/>
                <w:color w:val="FF0000"/>
                <w:sz w:val="20"/>
              </w:rPr>
              <w:t>W tym obszarze</w:t>
            </w:r>
            <w:r>
              <w:rPr>
                <w:rFonts w:asciiTheme="majorHAnsi" w:hAnsiTheme="majorHAnsi" w:cstheme="majorHAnsi"/>
                <w:sz w:val="20"/>
              </w:rPr>
              <w:t>, g</w:t>
            </w:r>
            <w:r w:rsidRPr="0088133F">
              <w:rPr>
                <w:rFonts w:asciiTheme="majorHAnsi" w:hAnsiTheme="majorHAnsi" w:cstheme="majorHAnsi"/>
                <w:sz w:val="20"/>
              </w:rPr>
              <w:t xml:space="preserve">łównym zamierzeniem </w:t>
            </w:r>
            <w:r>
              <w:rPr>
                <w:rFonts w:asciiTheme="majorHAnsi" w:hAnsiTheme="majorHAnsi" w:cstheme="majorHAnsi"/>
                <w:sz w:val="20"/>
              </w:rPr>
              <w:t xml:space="preserve">jest realizacja inwestycji na terenie powiatów PM </w:t>
            </w:r>
            <w:r w:rsidRPr="0088133F">
              <w:rPr>
                <w:rFonts w:asciiTheme="majorHAnsi" w:hAnsiTheme="majorHAnsi" w:cstheme="majorHAnsi"/>
                <w:sz w:val="20"/>
              </w:rPr>
              <w:t xml:space="preserve">w zakresie </w:t>
            </w:r>
            <w:r w:rsidRPr="00451A3E">
              <w:rPr>
                <w:rFonts w:asciiTheme="majorHAnsi" w:hAnsiTheme="majorHAnsi" w:cstheme="majorHAnsi"/>
                <w:sz w:val="20"/>
              </w:rPr>
              <w:t>rozw</w:t>
            </w:r>
            <w:r>
              <w:rPr>
                <w:rFonts w:asciiTheme="majorHAnsi" w:hAnsiTheme="majorHAnsi" w:cstheme="majorHAnsi"/>
                <w:sz w:val="20"/>
              </w:rPr>
              <w:t xml:space="preserve">oju </w:t>
            </w:r>
            <w:r w:rsidRPr="00451A3E">
              <w:rPr>
                <w:rFonts w:asciiTheme="majorHAnsi" w:hAnsiTheme="majorHAnsi" w:cstheme="majorHAnsi"/>
                <w:sz w:val="20"/>
              </w:rPr>
              <w:t>sieci wodociągowo-kanalizacyjnej</w:t>
            </w:r>
            <w:r>
              <w:rPr>
                <w:rFonts w:asciiTheme="majorHAnsi" w:hAnsiTheme="majorHAnsi" w:cstheme="majorHAnsi"/>
                <w:sz w:val="20"/>
              </w:rPr>
              <w:t xml:space="preserve">, </w:t>
            </w:r>
            <w:r w:rsidRPr="00451A3E">
              <w:rPr>
                <w:rFonts w:asciiTheme="majorHAnsi" w:hAnsiTheme="majorHAnsi" w:cstheme="majorHAnsi"/>
                <w:sz w:val="20"/>
              </w:rPr>
              <w:t>budow</w:t>
            </w:r>
            <w:r>
              <w:rPr>
                <w:rFonts w:asciiTheme="majorHAnsi" w:hAnsiTheme="majorHAnsi" w:cstheme="majorHAnsi"/>
                <w:sz w:val="20"/>
              </w:rPr>
              <w:t>y</w:t>
            </w:r>
            <w:r w:rsidRPr="00451A3E">
              <w:rPr>
                <w:rFonts w:asciiTheme="majorHAnsi" w:hAnsiTheme="majorHAnsi" w:cstheme="majorHAnsi"/>
                <w:sz w:val="20"/>
              </w:rPr>
              <w:t xml:space="preserve"> stacji uzdatniania wody</w:t>
            </w:r>
            <w:r>
              <w:rPr>
                <w:rFonts w:asciiTheme="majorHAnsi" w:hAnsiTheme="majorHAnsi" w:cstheme="majorHAnsi"/>
                <w:sz w:val="20"/>
              </w:rPr>
              <w:t xml:space="preserve">, </w:t>
            </w:r>
            <w:r w:rsidRPr="00451A3E">
              <w:rPr>
                <w:rFonts w:asciiTheme="majorHAnsi" w:hAnsiTheme="majorHAnsi" w:cstheme="majorHAnsi"/>
                <w:sz w:val="20"/>
              </w:rPr>
              <w:t>budow</w:t>
            </w:r>
            <w:r>
              <w:rPr>
                <w:rFonts w:asciiTheme="majorHAnsi" w:hAnsiTheme="majorHAnsi" w:cstheme="majorHAnsi"/>
                <w:sz w:val="20"/>
              </w:rPr>
              <w:t>y</w:t>
            </w:r>
            <w:r w:rsidRPr="00451A3E">
              <w:rPr>
                <w:rFonts w:asciiTheme="majorHAnsi" w:hAnsiTheme="majorHAnsi" w:cstheme="majorHAnsi"/>
                <w:sz w:val="20"/>
              </w:rPr>
              <w:t xml:space="preserve"> kanalizacji deszczowej i systemów retencjonowania wód</w:t>
            </w:r>
            <w:r>
              <w:rPr>
                <w:rFonts w:asciiTheme="majorHAnsi" w:hAnsiTheme="majorHAnsi" w:cstheme="majorHAnsi"/>
                <w:sz w:val="20"/>
              </w:rPr>
              <w:t xml:space="preserve">, a także </w:t>
            </w:r>
            <w:r w:rsidRPr="00451A3E">
              <w:rPr>
                <w:rFonts w:asciiTheme="majorHAnsi" w:hAnsiTheme="majorHAnsi" w:cstheme="majorHAnsi"/>
                <w:sz w:val="20"/>
              </w:rPr>
              <w:t>działania na rzecz zachowania dobrej jakości wód i bioróżnorodności jezior</w:t>
            </w:r>
            <w:r>
              <w:rPr>
                <w:rFonts w:asciiTheme="majorHAnsi" w:hAnsiTheme="majorHAnsi" w:cstheme="majorHAnsi"/>
                <w:sz w:val="20"/>
              </w:rPr>
              <w:t xml:space="preserve">. </w:t>
            </w:r>
            <w:r>
              <w:rPr>
                <w:rFonts w:asciiTheme="majorHAnsi" w:hAnsiTheme="majorHAnsi" w:cstheme="majorHAnsi"/>
                <w:sz w:val="20"/>
              </w:rPr>
              <w:br/>
            </w:r>
          </w:p>
          <w:p w14:paraId="4771DCF8" w14:textId="0825066F" w:rsidR="00895B9F" w:rsidRPr="00364349" w:rsidRDefault="00895B9F" w:rsidP="00895B9F">
            <w:pPr>
              <w:spacing w:line="276" w:lineRule="auto"/>
              <w:jc w:val="both"/>
              <w:rPr>
                <w:rFonts w:asciiTheme="majorHAnsi" w:hAnsiTheme="majorHAnsi" w:cstheme="majorHAnsi"/>
                <w:sz w:val="20"/>
              </w:rPr>
            </w:pPr>
            <w:r w:rsidRPr="0088133F">
              <w:rPr>
                <w:rFonts w:asciiTheme="majorHAnsi" w:hAnsiTheme="majorHAnsi" w:cstheme="majorHAnsi"/>
                <w:sz w:val="20"/>
              </w:rPr>
              <w:t>W ten sposób uzyskamy efekt ekologiczny mający znacz</w:t>
            </w:r>
            <w:r>
              <w:rPr>
                <w:rFonts w:asciiTheme="majorHAnsi" w:hAnsiTheme="majorHAnsi" w:cstheme="majorHAnsi"/>
                <w:sz w:val="20"/>
              </w:rPr>
              <w:t>enie w skali całego Subregionu.</w:t>
            </w:r>
          </w:p>
        </w:tc>
      </w:tr>
    </w:tbl>
    <w:p w14:paraId="35CA680C" w14:textId="77777777" w:rsidR="00B1739F" w:rsidRDefault="00B1739F" w:rsidP="00F61F12">
      <w:pPr>
        <w:spacing w:after="0" w:line="276" w:lineRule="auto"/>
      </w:pPr>
    </w:p>
    <w:tbl>
      <w:tblPr>
        <w:tblStyle w:val="Tabela-Siatka"/>
        <w:tblW w:w="5000" w:type="pct"/>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ook w:val="04A0" w:firstRow="1" w:lastRow="0" w:firstColumn="1" w:lastColumn="0" w:noHBand="0" w:noVBand="1"/>
      </w:tblPr>
      <w:tblGrid>
        <w:gridCol w:w="9010"/>
      </w:tblGrid>
      <w:tr w:rsidR="00802828" w:rsidRPr="002E6E95" w14:paraId="5DB5F818" w14:textId="77777777" w:rsidTr="004A6B2F">
        <w:trPr>
          <w:trHeight w:val="20"/>
        </w:trPr>
        <w:tc>
          <w:tcPr>
            <w:tcW w:w="5000" w:type="pct"/>
            <w:shd w:val="clear" w:color="auto" w:fill="B6D2EC"/>
            <w:vAlign w:val="center"/>
          </w:tcPr>
          <w:p w14:paraId="3106674E" w14:textId="77777777" w:rsidR="00802828" w:rsidRPr="002E6E95" w:rsidRDefault="00364349" w:rsidP="00FC7062">
            <w:pPr>
              <w:spacing w:line="276" w:lineRule="auto"/>
              <w:jc w:val="center"/>
              <w:rPr>
                <w:rFonts w:asciiTheme="majorHAnsi" w:hAnsiTheme="majorHAnsi" w:cstheme="majorHAnsi"/>
                <w:color w:val="FF0000"/>
                <w:sz w:val="20"/>
                <w:szCs w:val="20"/>
              </w:rPr>
            </w:pPr>
            <w:r w:rsidRPr="002E6E95">
              <w:rPr>
                <w:rFonts w:asciiTheme="majorHAnsi" w:hAnsiTheme="majorHAnsi" w:cstheme="majorHAnsi"/>
                <w:color w:val="FF0000"/>
                <w:sz w:val="20"/>
                <w:szCs w:val="20"/>
              </w:rPr>
              <w:t>Cel operacyjny 2.3</w:t>
            </w:r>
          </w:p>
        </w:tc>
      </w:tr>
      <w:tr w:rsidR="002E6E95" w:rsidRPr="002E6E95" w14:paraId="5A0167F1" w14:textId="77777777" w:rsidTr="004A6B2F">
        <w:trPr>
          <w:trHeight w:val="20"/>
        </w:trPr>
        <w:tc>
          <w:tcPr>
            <w:tcW w:w="5000" w:type="pct"/>
            <w:tcBorders>
              <w:bottom w:val="single" w:sz="18" w:space="0" w:color="FFFFFF" w:themeColor="background1"/>
            </w:tcBorders>
            <w:shd w:val="clear" w:color="auto" w:fill="B6D2EC"/>
            <w:vAlign w:val="center"/>
          </w:tcPr>
          <w:p w14:paraId="28FBABFA" w14:textId="70E29BF5" w:rsidR="00802828" w:rsidRPr="002E6E95" w:rsidRDefault="00E164C2" w:rsidP="00E164C2">
            <w:pPr>
              <w:spacing w:line="276" w:lineRule="auto"/>
              <w:jc w:val="center"/>
              <w:rPr>
                <w:rFonts w:asciiTheme="majorHAnsi" w:hAnsiTheme="majorHAnsi" w:cstheme="majorHAnsi"/>
                <w:color w:val="FF0000"/>
                <w:sz w:val="20"/>
                <w:szCs w:val="20"/>
              </w:rPr>
            </w:pPr>
            <w:r w:rsidRPr="002E6E95">
              <w:rPr>
                <w:rFonts w:asciiTheme="majorHAnsi" w:hAnsiTheme="majorHAnsi" w:cstheme="majorHAnsi"/>
                <w:color w:val="FF0000"/>
                <w:sz w:val="20"/>
                <w:szCs w:val="20"/>
              </w:rPr>
              <w:t xml:space="preserve">Działania edukacyjne </w:t>
            </w:r>
            <w:r w:rsidR="00895B9F" w:rsidRPr="002E6E95">
              <w:rPr>
                <w:rFonts w:asciiTheme="majorHAnsi" w:hAnsiTheme="majorHAnsi" w:cstheme="majorHAnsi"/>
                <w:color w:val="FF0000"/>
                <w:sz w:val="20"/>
                <w:szCs w:val="20"/>
              </w:rPr>
              <w:t>promujące</w:t>
            </w:r>
            <w:r w:rsidRPr="002E6E95">
              <w:rPr>
                <w:rFonts w:asciiTheme="majorHAnsi" w:hAnsiTheme="majorHAnsi" w:cstheme="majorHAnsi"/>
                <w:color w:val="FF0000"/>
                <w:sz w:val="20"/>
                <w:szCs w:val="20"/>
              </w:rPr>
              <w:t xml:space="preserve"> </w:t>
            </w:r>
            <w:r w:rsidR="00895B9F" w:rsidRPr="002E6E95">
              <w:rPr>
                <w:rFonts w:asciiTheme="majorHAnsi" w:hAnsiTheme="majorHAnsi" w:cstheme="majorHAnsi"/>
                <w:color w:val="FF0000"/>
                <w:sz w:val="20"/>
                <w:szCs w:val="20"/>
              </w:rPr>
              <w:t>ochronę</w:t>
            </w:r>
            <w:r w:rsidR="00A2620D" w:rsidRPr="002E6E95">
              <w:rPr>
                <w:rFonts w:asciiTheme="majorHAnsi" w:hAnsiTheme="majorHAnsi" w:cstheme="majorHAnsi"/>
                <w:color w:val="FF0000"/>
                <w:sz w:val="20"/>
                <w:szCs w:val="20"/>
              </w:rPr>
              <w:t xml:space="preserve"> środowiska naturalnego</w:t>
            </w:r>
          </w:p>
        </w:tc>
      </w:tr>
      <w:tr w:rsidR="002E6E95" w:rsidRPr="002E6E95" w14:paraId="0894EC47" w14:textId="77777777" w:rsidTr="004A6B2F">
        <w:trPr>
          <w:trHeight w:val="20"/>
        </w:trPr>
        <w:tc>
          <w:tcPr>
            <w:tcW w:w="5000" w:type="pct"/>
            <w:tcBorders>
              <w:top w:val="single" w:sz="18" w:space="0" w:color="FFFFFF" w:themeColor="background1"/>
              <w:left w:val="single" w:sz="2" w:space="0" w:color="5B9BD5"/>
              <w:bottom w:val="single" w:sz="2" w:space="0" w:color="5B9BD5"/>
              <w:right w:val="single" w:sz="2" w:space="0" w:color="5B9BD5"/>
            </w:tcBorders>
            <w:shd w:val="clear" w:color="auto" w:fill="FFFFFF" w:themeFill="background1"/>
            <w:vAlign w:val="center"/>
          </w:tcPr>
          <w:p w14:paraId="15D1B60E" w14:textId="77777777" w:rsidR="00DE765A" w:rsidRPr="002E6E95" w:rsidRDefault="0055261C" w:rsidP="00DE765A">
            <w:pPr>
              <w:spacing w:line="276" w:lineRule="auto"/>
              <w:jc w:val="both"/>
              <w:rPr>
                <w:rFonts w:asciiTheme="majorHAnsi" w:hAnsiTheme="majorHAnsi" w:cstheme="majorHAnsi"/>
                <w:color w:val="FF0000"/>
                <w:sz w:val="20"/>
              </w:rPr>
            </w:pPr>
            <w:r w:rsidRPr="002E6E95">
              <w:rPr>
                <w:rFonts w:asciiTheme="majorHAnsi" w:hAnsiTheme="majorHAnsi" w:cstheme="majorHAnsi"/>
                <w:color w:val="FF0000"/>
                <w:sz w:val="20"/>
              </w:rPr>
              <w:t xml:space="preserve">Efektywna realizacja założeń Strategii w odniesieniu do jakości środowiska wymaga opracowania i </w:t>
            </w:r>
            <w:r w:rsidR="00FC0650" w:rsidRPr="002E6E95">
              <w:rPr>
                <w:rFonts w:asciiTheme="majorHAnsi" w:hAnsiTheme="majorHAnsi" w:cstheme="majorHAnsi"/>
                <w:color w:val="FF0000"/>
                <w:sz w:val="20"/>
              </w:rPr>
              <w:t>wdrożenia</w:t>
            </w:r>
            <w:r w:rsidRPr="002E6E95">
              <w:rPr>
                <w:rFonts w:asciiTheme="majorHAnsi" w:hAnsiTheme="majorHAnsi" w:cstheme="majorHAnsi"/>
                <w:color w:val="FF0000"/>
                <w:sz w:val="20"/>
              </w:rPr>
              <w:t xml:space="preserve"> </w:t>
            </w:r>
            <w:proofErr w:type="spellStart"/>
            <w:r w:rsidRPr="002E6E95">
              <w:rPr>
                <w:rFonts w:asciiTheme="majorHAnsi" w:hAnsiTheme="majorHAnsi" w:cstheme="majorHAnsi"/>
                <w:color w:val="FF0000"/>
                <w:sz w:val="20"/>
              </w:rPr>
              <w:t>subregionalnego</w:t>
            </w:r>
            <w:proofErr w:type="spellEnd"/>
            <w:r w:rsidRPr="002E6E95">
              <w:rPr>
                <w:rFonts w:asciiTheme="majorHAnsi" w:hAnsiTheme="majorHAnsi" w:cstheme="majorHAnsi"/>
                <w:color w:val="FF0000"/>
                <w:sz w:val="20"/>
              </w:rPr>
              <w:t xml:space="preserve"> systemu</w:t>
            </w:r>
            <w:r w:rsidR="00FB7AA3" w:rsidRPr="002E6E95">
              <w:rPr>
                <w:rFonts w:asciiTheme="majorHAnsi" w:hAnsiTheme="majorHAnsi" w:cstheme="majorHAnsi"/>
                <w:color w:val="FF0000"/>
                <w:sz w:val="20"/>
              </w:rPr>
              <w:t xml:space="preserve"> </w:t>
            </w:r>
            <w:r w:rsidR="00DE765A" w:rsidRPr="002E6E95">
              <w:rPr>
                <w:rFonts w:asciiTheme="majorHAnsi" w:hAnsiTheme="majorHAnsi" w:cstheme="majorHAnsi"/>
                <w:color w:val="FF0000"/>
                <w:sz w:val="20"/>
              </w:rPr>
              <w:t>propagowania i inspirowania</w:t>
            </w:r>
            <w:r w:rsidR="00FB7AA3" w:rsidRPr="002E6E95">
              <w:rPr>
                <w:rFonts w:asciiTheme="majorHAnsi" w:hAnsiTheme="majorHAnsi" w:cstheme="majorHAnsi"/>
                <w:color w:val="FF0000"/>
                <w:sz w:val="20"/>
              </w:rPr>
              <w:t xml:space="preserve"> działalności edukacyjno-informacyjnej</w:t>
            </w:r>
            <w:r w:rsidR="00DE765A" w:rsidRPr="002E6E95">
              <w:rPr>
                <w:rFonts w:asciiTheme="majorHAnsi" w:hAnsiTheme="majorHAnsi" w:cstheme="majorHAnsi"/>
                <w:color w:val="FF0000"/>
                <w:sz w:val="20"/>
              </w:rPr>
              <w:t xml:space="preserve">. Edukacja ekologiczna </w:t>
            </w:r>
            <w:r w:rsidR="00FB7AA3" w:rsidRPr="002E6E95">
              <w:rPr>
                <w:rFonts w:asciiTheme="majorHAnsi" w:hAnsiTheme="majorHAnsi" w:cstheme="majorHAnsi"/>
                <w:color w:val="FF0000"/>
                <w:sz w:val="20"/>
              </w:rPr>
              <w:t xml:space="preserve">jest jednym z narzędzi polityki ekologicznej i kierunków działań na rzecz ochrony środowiska i zdrowia OF. Istotnym bowiem zagrożeniem dla otaczającego nas środowiska, bezpieczeństwa ekologicznego kraju i zdrowia mieszkańców jest niska społeczna świadomość, której wyrazem jest widoczny na co dzień brak kultury ekologicznej. </w:t>
            </w:r>
          </w:p>
          <w:p w14:paraId="100E864D" w14:textId="77777777" w:rsidR="00DE765A" w:rsidRPr="002E6E95" w:rsidRDefault="00DE765A" w:rsidP="00DE765A">
            <w:pPr>
              <w:spacing w:line="276" w:lineRule="auto"/>
              <w:jc w:val="both"/>
              <w:rPr>
                <w:rFonts w:asciiTheme="majorHAnsi" w:hAnsiTheme="majorHAnsi" w:cstheme="majorHAnsi"/>
                <w:color w:val="FF0000"/>
                <w:sz w:val="20"/>
              </w:rPr>
            </w:pPr>
          </w:p>
          <w:p w14:paraId="6EDBFD65" w14:textId="2941ED69" w:rsidR="00E31FAB" w:rsidRPr="002E6E95" w:rsidRDefault="00FB7AA3" w:rsidP="00DE765A">
            <w:pPr>
              <w:spacing w:line="276" w:lineRule="auto"/>
              <w:jc w:val="both"/>
              <w:rPr>
                <w:rFonts w:asciiTheme="majorHAnsi" w:hAnsiTheme="majorHAnsi" w:cstheme="majorHAnsi"/>
                <w:color w:val="FF0000"/>
                <w:sz w:val="20"/>
              </w:rPr>
            </w:pPr>
            <w:r w:rsidRPr="002E6E95">
              <w:rPr>
                <w:rFonts w:asciiTheme="majorHAnsi" w:hAnsiTheme="majorHAnsi" w:cstheme="majorHAnsi"/>
                <w:color w:val="FF0000"/>
                <w:sz w:val="20"/>
              </w:rPr>
              <w:t>Edukacja ekologiczna jest koniecznym działaniem do przeprowadzenia z lokalną społecznością OF inicjującym działań na rzecz ochrony środowiska. Edukacja ekologiczna musi docierać do wszystkich grup wiekowych i społecznych, tj. zarówno do dzieci i młodzieży, dorosłych, jak i decydentów w sprawach związanych z ochroną środowiska, tzn.  pracowników samorządowych.</w:t>
            </w:r>
          </w:p>
        </w:tc>
      </w:tr>
    </w:tbl>
    <w:p w14:paraId="54391883" w14:textId="77777777" w:rsidR="0035781B" w:rsidRDefault="0035781B" w:rsidP="00FC7062">
      <w:pPr>
        <w:spacing w:line="276" w:lineRule="auto"/>
        <w:rPr>
          <w:rFonts w:asciiTheme="majorHAnsi" w:hAnsiTheme="majorHAnsi" w:cstheme="majorHAnsi"/>
        </w:rPr>
      </w:pPr>
    </w:p>
    <w:p w14:paraId="2D6E46B0" w14:textId="77777777" w:rsidR="0026144A" w:rsidRDefault="0026144A" w:rsidP="00FC7062">
      <w:pPr>
        <w:spacing w:line="276" w:lineRule="auto"/>
        <w:rPr>
          <w:rFonts w:asciiTheme="majorHAnsi" w:hAnsiTheme="majorHAnsi" w:cstheme="majorHAnsi"/>
        </w:rPr>
        <w:sectPr w:rsidR="0026144A" w:rsidSect="00BB5769">
          <w:pgSz w:w="11906" w:h="16838"/>
          <w:pgMar w:top="1418" w:right="1418" w:bottom="1418" w:left="1418" w:header="709" w:footer="709" w:gutter="0"/>
          <w:cols w:space="708"/>
          <w:docGrid w:linePitch="360"/>
        </w:sectPr>
      </w:pPr>
    </w:p>
    <w:tbl>
      <w:tblPr>
        <w:tblStyle w:val="Tabela-Siatka"/>
        <w:tblW w:w="5000" w:type="pct"/>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shd w:val="clear" w:color="auto" w:fill="BDD6EE" w:themeFill="accent1" w:themeFillTint="66"/>
        <w:tblLook w:val="04A0" w:firstRow="1" w:lastRow="0" w:firstColumn="1" w:lastColumn="0" w:noHBand="0" w:noVBand="1"/>
      </w:tblPr>
      <w:tblGrid>
        <w:gridCol w:w="9010"/>
      </w:tblGrid>
      <w:tr w:rsidR="00802828" w:rsidRPr="001A20A9" w14:paraId="2CC8B103" w14:textId="77777777" w:rsidTr="004A6B2F">
        <w:trPr>
          <w:trHeight w:val="20"/>
          <w:tblHeader/>
        </w:trPr>
        <w:tc>
          <w:tcPr>
            <w:tcW w:w="5000" w:type="pct"/>
            <w:shd w:val="clear" w:color="auto" w:fill="92D050"/>
            <w:vAlign w:val="center"/>
          </w:tcPr>
          <w:p w14:paraId="7A9A9365" w14:textId="77777777" w:rsidR="00802828" w:rsidRPr="001A20A9" w:rsidRDefault="00802828" w:rsidP="00FC7062">
            <w:pPr>
              <w:spacing w:line="276" w:lineRule="auto"/>
              <w:jc w:val="center"/>
              <w:rPr>
                <w:rFonts w:asciiTheme="majorHAnsi" w:hAnsiTheme="majorHAnsi" w:cstheme="majorHAnsi"/>
                <w:b/>
                <w:sz w:val="20"/>
                <w:szCs w:val="20"/>
              </w:rPr>
            </w:pPr>
            <w:r w:rsidRPr="001A20A9">
              <w:rPr>
                <w:rFonts w:asciiTheme="majorHAnsi" w:hAnsiTheme="majorHAnsi" w:cstheme="majorHAnsi"/>
                <w:b/>
                <w:sz w:val="20"/>
                <w:szCs w:val="20"/>
              </w:rPr>
              <w:t xml:space="preserve">Cel strategiczny 3. </w:t>
            </w:r>
          </w:p>
          <w:p w14:paraId="17157225" w14:textId="77777777" w:rsidR="00802828" w:rsidRPr="001A20A9" w:rsidRDefault="00802828" w:rsidP="00FC7062">
            <w:pPr>
              <w:spacing w:line="276" w:lineRule="auto"/>
              <w:jc w:val="center"/>
              <w:rPr>
                <w:rFonts w:asciiTheme="majorHAnsi" w:hAnsiTheme="majorHAnsi" w:cstheme="majorHAnsi"/>
                <w:sz w:val="20"/>
                <w:szCs w:val="20"/>
              </w:rPr>
            </w:pPr>
            <w:r w:rsidRPr="001A20A9">
              <w:rPr>
                <w:rFonts w:asciiTheme="majorHAnsi" w:hAnsiTheme="majorHAnsi" w:cstheme="majorHAnsi"/>
                <w:sz w:val="20"/>
                <w:szCs w:val="20"/>
              </w:rPr>
              <w:t>Dywersyfikacja struktury gospodarczej Obszaru Funkcjonalnego przy wykorzystaniu unikatowego potencjału zasobów lokalnych</w:t>
            </w:r>
            <w:r w:rsidR="00E81AEF">
              <w:rPr>
                <w:rFonts w:asciiTheme="majorHAnsi" w:hAnsiTheme="majorHAnsi" w:cstheme="majorHAnsi"/>
                <w:sz w:val="20"/>
                <w:szCs w:val="20"/>
              </w:rPr>
              <w:t xml:space="preserve"> - </w:t>
            </w:r>
            <w:r w:rsidRPr="001A20A9">
              <w:rPr>
                <w:rFonts w:asciiTheme="majorHAnsi" w:hAnsiTheme="majorHAnsi" w:cstheme="majorHAnsi"/>
                <w:sz w:val="20"/>
                <w:szCs w:val="20"/>
              </w:rPr>
              <w:t>dziedzictwa przyrody i kultury</w:t>
            </w:r>
          </w:p>
        </w:tc>
      </w:tr>
    </w:tbl>
    <w:p w14:paraId="2A3B8314" w14:textId="77777777" w:rsidR="0026144A" w:rsidRDefault="0026144A" w:rsidP="00F61F12">
      <w:pPr>
        <w:spacing w:after="0" w:line="276" w:lineRule="auto"/>
        <w:rPr>
          <w:rFonts w:asciiTheme="majorHAnsi" w:hAnsiTheme="majorHAnsi" w:cstheme="majorHAnsi"/>
        </w:rPr>
      </w:pPr>
    </w:p>
    <w:tbl>
      <w:tblPr>
        <w:tblStyle w:val="Tabela-Siatka"/>
        <w:tblW w:w="5000" w:type="pct"/>
        <w:jc w:val="center"/>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CellMar>
          <w:top w:w="57" w:type="dxa"/>
          <w:bottom w:w="57" w:type="dxa"/>
        </w:tblCellMar>
        <w:tblLook w:val="04A0" w:firstRow="1" w:lastRow="0" w:firstColumn="1" w:lastColumn="0" w:noHBand="0" w:noVBand="1"/>
      </w:tblPr>
      <w:tblGrid>
        <w:gridCol w:w="9024"/>
      </w:tblGrid>
      <w:tr w:rsidR="00B93E0F" w:rsidRPr="00E7715B" w14:paraId="1BF2F617" w14:textId="77777777" w:rsidTr="004A6B2F">
        <w:trPr>
          <w:trHeight w:val="20"/>
          <w:jc w:val="center"/>
        </w:trPr>
        <w:tc>
          <w:tcPr>
            <w:tcW w:w="5000" w:type="pct"/>
            <w:shd w:val="clear" w:color="auto" w:fill="DFF1CB"/>
            <w:vAlign w:val="center"/>
          </w:tcPr>
          <w:p w14:paraId="48205894" w14:textId="77777777" w:rsidR="00B93E0F" w:rsidRPr="00E7715B" w:rsidRDefault="00B93E0F" w:rsidP="00E7715B">
            <w:pPr>
              <w:spacing w:line="276" w:lineRule="auto"/>
              <w:jc w:val="center"/>
              <w:rPr>
                <w:rFonts w:asciiTheme="majorHAnsi" w:hAnsiTheme="majorHAnsi" w:cstheme="majorHAnsi"/>
                <w:b/>
                <w:sz w:val="20"/>
                <w:szCs w:val="20"/>
              </w:rPr>
            </w:pPr>
            <w:r w:rsidRPr="00E7715B">
              <w:rPr>
                <w:rFonts w:asciiTheme="majorHAnsi" w:hAnsiTheme="majorHAnsi" w:cstheme="majorHAnsi"/>
                <w:b/>
                <w:sz w:val="20"/>
                <w:szCs w:val="20"/>
              </w:rPr>
              <w:t>Cel operacyjny 3.1</w:t>
            </w:r>
          </w:p>
        </w:tc>
      </w:tr>
      <w:tr w:rsidR="00B93E0F" w:rsidRPr="00E7715B" w14:paraId="350B2476" w14:textId="77777777" w:rsidTr="004A6B2F">
        <w:trPr>
          <w:trHeight w:val="20"/>
          <w:jc w:val="center"/>
        </w:trPr>
        <w:tc>
          <w:tcPr>
            <w:tcW w:w="5000" w:type="pct"/>
            <w:tcBorders>
              <w:bottom w:val="single" w:sz="24" w:space="0" w:color="FFFFFF" w:themeColor="background1"/>
            </w:tcBorders>
            <w:shd w:val="clear" w:color="auto" w:fill="DFF1CB"/>
            <w:vAlign w:val="center"/>
          </w:tcPr>
          <w:p w14:paraId="52D79F67" w14:textId="77777777" w:rsidR="00B93E0F" w:rsidRPr="00E7715B" w:rsidRDefault="00FC7062" w:rsidP="00E7715B">
            <w:pPr>
              <w:spacing w:line="276" w:lineRule="auto"/>
              <w:jc w:val="center"/>
              <w:rPr>
                <w:rFonts w:asciiTheme="majorHAnsi" w:hAnsiTheme="majorHAnsi" w:cstheme="majorHAnsi"/>
                <w:b/>
                <w:sz w:val="20"/>
                <w:szCs w:val="20"/>
              </w:rPr>
            </w:pPr>
            <w:r w:rsidRPr="00E7715B">
              <w:rPr>
                <w:rFonts w:asciiTheme="majorHAnsi" w:hAnsiTheme="majorHAnsi" w:cstheme="majorHAnsi"/>
                <w:b/>
                <w:sz w:val="20"/>
                <w:szCs w:val="20"/>
              </w:rPr>
              <w:t>Produkty turystyczne</w:t>
            </w:r>
          </w:p>
        </w:tc>
      </w:tr>
      <w:tr w:rsidR="00B93E0F" w:rsidRPr="00B93E0F" w14:paraId="7C5E81D3" w14:textId="77777777" w:rsidTr="004A6B2F">
        <w:trPr>
          <w:trHeight w:val="20"/>
          <w:jc w:val="center"/>
        </w:trPr>
        <w:tc>
          <w:tcPr>
            <w:tcW w:w="5000" w:type="pct"/>
            <w:tcBorders>
              <w:top w:val="single" w:sz="24" w:space="0" w:color="FFFFFF" w:themeColor="background1"/>
              <w:left w:val="single" w:sz="2" w:space="0" w:color="92D050"/>
              <w:bottom w:val="single" w:sz="2" w:space="0" w:color="92D050"/>
              <w:right w:val="single" w:sz="2" w:space="0" w:color="92D050"/>
            </w:tcBorders>
            <w:shd w:val="clear" w:color="auto" w:fill="FFFFFF" w:themeFill="background1"/>
            <w:vAlign w:val="center"/>
          </w:tcPr>
          <w:p w14:paraId="078287E1" w14:textId="47DD7B55" w:rsidR="00B93E0F" w:rsidRPr="00B93E0F" w:rsidRDefault="00821B6E" w:rsidP="00FC7062">
            <w:pPr>
              <w:spacing w:line="276" w:lineRule="auto"/>
              <w:jc w:val="both"/>
              <w:rPr>
                <w:rFonts w:asciiTheme="majorHAnsi" w:hAnsiTheme="majorHAnsi" w:cstheme="majorHAnsi"/>
                <w:sz w:val="20"/>
                <w:szCs w:val="20"/>
              </w:rPr>
            </w:pPr>
            <w:r>
              <w:rPr>
                <w:rFonts w:asciiTheme="majorHAnsi" w:hAnsiTheme="majorHAnsi" w:cstheme="majorHAnsi"/>
                <w:sz w:val="20"/>
                <w:szCs w:val="20"/>
              </w:rPr>
              <w:t>Wzrastając</w:t>
            </w:r>
            <w:r w:rsidR="00FC7062">
              <w:rPr>
                <w:rFonts w:asciiTheme="majorHAnsi" w:hAnsiTheme="majorHAnsi" w:cstheme="majorHAnsi"/>
                <w:sz w:val="20"/>
                <w:szCs w:val="20"/>
              </w:rPr>
              <w:t xml:space="preserve">a moda na zdrowy styl życia i aktywny wypoczynek </w:t>
            </w:r>
            <w:r w:rsidR="00B93E0F" w:rsidRPr="00B93E0F">
              <w:rPr>
                <w:rFonts w:asciiTheme="majorHAnsi" w:hAnsiTheme="majorHAnsi" w:cstheme="majorHAnsi"/>
                <w:sz w:val="20"/>
                <w:szCs w:val="20"/>
              </w:rPr>
              <w:t xml:space="preserve">staje się czynnikiem sprzyjającym rozwojowi turystyki. Stwarza to szansę na utworzenie nowych </w:t>
            </w:r>
            <w:r w:rsidR="00FC7062">
              <w:rPr>
                <w:rFonts w:asciiTheme="majorHAnsi" w:hAnsiTheme="majorHAnsi" w:cstheme="majorHAnsi"/>
                <w:sz w:val="20"/>
                <w:szCs w:val="20"/>
              </w:rPr>
              <w:t>produktów turystycznych w Obszarze.</w:t>
            </w:r>
            <w:r w:rsidR="00B93E0F" w:rsidRPr="00B93E0F">
              <w:rPr>
                <w:rFonts w:asciiTheme="majorHAnsi" w:hAnsiTheme="majorHAnsi" w:cstheme="majorHAnsi"/>
                <w:sz w:val="20"/>
                <w:szCs w:val="20"/>
              </w:rPr>
              <w:t xml:space="preserve"> Dla </w:t>
            </w:r>
            <w:r w:rsidR="00FC7062">
              <w:rPr>
                <w:rFonts w:asciiTheme="majorHAnsi" w:hAnsiTheme="majorHAnsi" w:cstheme="majorHAnsi"/>
                <w:sz w:val="20"/>
                <w:szCs w:val="20"/>
              </w:rPr>
              <w:t xml:space="preserve">OF </w:t>
            </w:r>
            <w:r w:rsidR="00B93E0F" w:rsidRPr="00B93E0F">
              <w:rPr>
                <w:rFonts w:asciiTheme="majorHAnsi" w:hAnsiTheme="majorHAnsi" w:cstheme="majorHAnsi"/>
                <w:sz w:val="20"/>
                <w:szCs w:val="20"/>
              </w:rPr>
              <w:t>inwestycje w</w:t>
            </w:r>
            <w:r w:rsidR="004A6B2F">
              <w:rPr>
                <w:rFonts w:asciiTheme="majorHAnsi" w:hAnsiTheme="majorHAnsi" w:cstheme="majorHAnsi"/>
                <w:sz w:val="20"/>
                <w:szCs w:val="20"/>
              </w:rPr>
              <w:t> </w:t>
            </w:r>
            <w:r w:rsidR="00B93E0F" w:rsidRPr="00B93E0F">
              <w:rPr>
                <w:rFonts w:asciiTheme="majorHAnsi" w:hAnsiTheme="majorHAnsi" w:cstheme="majorHAnsi"/>
                <w:sz w:val="20"/>
                <w:szCs w:val="20"/>
              </w:rPr>
              <w:t xml:space="preserve">infrastrukturę turystyki przyczynią się do podniesienia atrakcyjności inwestycyjnej obszaru. </w:t>
            </w:r>
          </w:p>
          <w:p w14:paraId="35A38161" w14:textId="77777777" w:rsidR="004437B7" w:rsidRDefault="004437B7" w:rsidP="00EB300C">
            <w:pPr>
              <w:spacing w:line="276" w:lineRule="auto"/>
              <w:jc w:val="both"/>
              <w:rPr>
                <w:rFonts w:asciiTheme="majorHAnsi" w:hAnsiTheme="majorHAnsi" w:cstheme="majorHAnsi"/>
                <w:sz w:val="20"/>
                <w:szCs w:val="20"/>
              </w:rPr>
            </w:pPr>
          </w:p>
          <w:p w14:paraId="5CA73A62" w14:textId="72DD1300" w:rsidR="00B93E0F" w:rsidRPr="00037FAA" w:rsidRDefault="00B93E0F" w:rsidP="00EB300C">
            <w:pPr>
              <w:spacing w:line="276" w:lineRule="auto"/>
              <w:jc w:val="both"/>
              <w:rPr>
                <w:rFonts w:asciiTheme="majorHAnsi" w:hAnsiTheme="majorHAnsi" w:cstheme="majorHAnsi"/>
                <w:sz w:val="20"/>
                <w:szCs w:val="20"/>
              </w:rPr>
            </w:pPr>
            <w:r w:rsidRPr="00B93E0F">
              <w:rPr>
                <w:rFonts w:asciiTheme="majorHAnsi" w:hAnsiTheme="majorHAnsi" w:cstheme="majorHAnsi"/>
                <w:sz w:val="20"/>
                <w:szCs w:val="20"/>
              </w:rPr>
              <w:t xml:space="preserve">Kluczowym projektem z tego zakresu jest </w:t>
            </w:r>
            <w:r w:rsidR="00540043">
              <w:rPr>
                <w:rFonts w:asciiTheme="majorHAnsi" w:hAnsiTheme="majorHAnsi" w:cstheme="majorHAnsi"/>
                <w:sz w:val="20"/>
                <w:szCs w:val="20"/>
              </w:rPr>
              <w:t xml:space="preserve">budowa sieci ścieżek rowerowych </w:t>
            </w:r>
            <w:r w:rsidR="00EE5F49">
              <w:rPr>
                <w:rFonts w:asciiTheme="majorHAnsi" w:hAnsiTheme="majorHAnsi" w:cstheme="majorHAnsi"/>
                <w:sz w:val="20"/>
                <w:szCs w:val="20"/>
              </w:rPr>
              <w:t xml:space="preserve">Via </w:t>
            </w:r>
            <w:proofErr w:type="spellStart"/>
            <w:r w:rsidR="00EE5F49">
              <w:rPr>
                <w:rFonts w:asciiTheme="majorHAnsi" w:hAnsiTheme="majorHAnsi" w:cstheme="majorHAnsi"/>
                <w:sz w:val="20"/>
                <w:szCs w:val="20"/>
              </w:rPr>
              <w:t>M</w:t>
            </w:r>
            <w:r w:rsidR="00540043">
              <w:rPr>
                <w:rFonts w:asciiTheme="majorHAnsi" w:hAnsiTheme="majorHAnsi" w:cstheme="majorHAnsi"/>
                <w:sz w:val="20"/>
                <w:szCs w:val="20"/>
              </w:rPr>
              <w:t>asuria</w:t>
            </w:r>
            <w:proofErr w:type="spellEnd"/>
            <w:r w:rsidR="00540043">
              <w:rPr>
                <w:rFonts w:asciiTheme="majorHAnsi" w:hAnsiTheme="majorHAnsi" w:cstheme="majorHAnsi"/>
                <w:sz w:val="20"/>
                <w:szCs w:val="20"/>
              </w:rPr>
              <w:t xml:space="preserve"> </w:t>
            </w:r>
            <w:r w:rsidR="00EB300C">
              <w:rPr>
                <w:rFonts w:asciiTheme="majorHAnsi" w:hAnsiTheme="majorHAnsi" w:cstheme="majorHAnsi"/>
                <w:sz w:val="20"/>
                <w:szCs w:val="20"/>
              </w:rPr>
              <w:t>połączonych z</w:t>
            </w:r>
            <w:r w:rsidR="004A6B2F">
              <w:rPr>
                <w:rFonts w:asciiTheme="majorHAnsi" w:hAnsiTheme="majorHAnsi" w:cstheme="majorHAnsi"/>
                <w:sz w:val="20"/>
                <w:szCs w:val="20"/>
              </w:rPr>
              <w:t> </w:t>
            </w:r>
            <w:r w:rsidR="00EB300C">
              <w:rPr>
                <w:rFonts w:asciiTheme="majorHAnsi" w:hAnsiTheme="majorHAnsi" w:cstheme="majorHAnsi"/>
                <w:sz w:val="20"/>
                <w:szCs w:val="20"/>
              </w:rPr>
              <w:t xml:space="preserve">korytarzem transportowym Via </w:t>
            </w:r>
            <w:proofErr w:type="spellStart"/>
            <w:r w:rsidR="00EB300C">
              <w:rPr>
                <w:rFonts w:asciiTheme="majorHAnsi" w:hAnsiTheme="majorHAnsi" w:cstheme="majorHAnsi"/>
                <w:sz w:val="20"/>
                <w:szCs w:val="20"/>
              </w:rPr>
              <w:t>Masuria</w:t>
            </w:r>
            <w:proofErr w:type="spellEnd"/>
            <w:r w:rsidR="00EB300C">
              <w:rPr>
                <w:rFonts w:asciiTheme="majorHAnsi" w:hAnsiTheme="majorHAnsi" w:cstheme="majorHAnsi"/>
                <w:sz w:val="20"/>
                <w:szCs w:val="20"/>
              </w:rPr>
              <w:t xml:space="preserve"> oraz siecią dróg powiatowych na terenie OF. </w:t>
            </w:r>
            <w:r w:rsidRPr="00B93E0F">
              <w:rPr>
                <w:rFonts w:asciiTheme="majorHAnsi" w:hAnsiTheme="majorHAnsi" w:cstheme="majorHAnsi"/>
                <w:sz w:val="20"/>
                <w:szCs w:val="20"/>
              </w:rPr>
              <w:t xml:space="preserve">Ponadto przewidziano do realizacji </w:t>
            </w:r>
            <w:r w:rsidRPr="00037FAA">
              <w:rPr>
                <w:rFonts w:asciiTheme="majorHAnsi" w:hAnsiTheme="majorHAnsi" w:cstheme="majorHAnsi"/>
                <w:sz w:val="20"/>
                <w:szCs w:val="20"/>
              </w:rPr>
              <w:t xml:space="preserve">następujące inwestycje mające przyczynić się do poprawy jakości i atrakcyjności szlaków rowerowych i terenów do nich przyległych: </w:t>
            </w:r>
          </w:p>
          <w:p w14:paraId="16779AC5" w14:textId="77777777" w:rsidR="00B93E0F" w:rsidRPr="00037FAA" w:rsidRDefault="00B93E0F" w:rsidP="00624F1F">
            <w:pPr>
              <w:pStyle w:val="Akapitzlist"/>
              <w:numPr>
                <w:ilvl w:val="0"/>
                <w:numId w:val="20"/>
              </w:numPr>
              <w:spacing w:line="276" w:lineRule="auto"/>
              <w:rPr>
                <w:rFonts w:asciiTheme="majorHAnsi" w:hAnsiTheme="majorHAnsi" w:cstheme="majorHAnsi"/>
                <w:sz w:val="20"/>
                <w:szCs w:val="20"/>
              </w:rPr>
            </w:pPr>
            <w:r w:rsidRPr="00037FAA">
              <w:rPr>
                <w:rFonts w:asciiTheme="majorHAnsi" w:hAnsiTheme="majorHAnsi" w:cstheme="majorHAnsi"/>
                <w:sz w:val="20"/>
                <w:szCs w:val="20"/>
              </w:rPr>
              <w:t>Oznakowanie i integracja systemów tras rowerowych</w:t>
            </w:r>
          </w:p>
          <w:p w14:paraId="057930E4" w14:textId="77777777" w:rsidR="00B93E0F" w:rsidRPr="00037FAA" w:rsidRDefault="00B93E0F" w:rsidP="00624F1F">
            <w:pPr>
              <w:pStyle w:val="Akapitzlist"/>
              <w:numPr>
                <w:ilvl w:val="0"/>
                <w:numId w:val="20"/>
              </w:numPr>
              <w:spacing w:line="276" w:lineRule="auto"/>
              <w:rPr>
                <w:rFonts w:asciiTheme="majorHAnsi" w:hAnsiTheme="majorHAnsi" w:cstheme="majorHAnsi"/>
                <w:sz w:val="20"/>
                <w:szCs w:val="20"/>
              </w:rPr>
            </w:pPr>
            <w:r w:rsidRPr="00037FAA">
              <w:rPr>
                <w:rFonts w:asciiTheme="majorHAnsi" w:hAnsiTheme="majorHAnsi" w:cstheme="majorHAnsi"/>
                <w:sz w:val="20"/>
                <w:szCs w:val="20"/>
              </w:rPr>
              <w:t xml:space="preserve">Zagospodarowanie obiektów </w:t>
            </w:r>
            <w:proofErr w:type="spellStart"/>
            <w:r w:rsidRPr="00037FAA">
              <w:rPr>
                <w:rFonts w:asciiTheme="majorHAnsi" w:hAnsiTheme="majorHAnsi" w:cstheme="majorHAnsi"/>
                <w:sz w:val="20"/>
                <w:szCs w:val="20"/>
              </w:rPr>
              <w:t>pokolejowych</w:t>
            </w:r>
            <w:proofErr w:type="spellEnd"/>
            <w:r w:rsidRPr="00037FAA">
              <w:rPr>
                <w:rFonts w:asciiTheme="majorHAnsi" w:hAnsiTheme="majorHAnsi" w:cstheme="majorHAnsi"/>
                <w:sz w:val="20"/>
                <w:szCs w:val="20"/>
              </w:rPr>
              <w:t xml:space="preserve"> na cele turystyczne</w:t>
            </w:r>
          </w:p>
          <w:p w14:paraId="15554C95" w14:textId="77777777" w:rsidR="00EE5F49" w:rsidRPr="00037FAA" w:rsidRDefault="00EE5F49" w:rsidP="00FC7062">
            <w:pPr>
              <w:spacing w:line="276" w:lineRule="auto"/>
              <w:rPr>
                <w:rFonts w:asciiTheme="majorHAnsi" w:hAnsiTheme="majorHAnsi" w:cstheme="majorHAnsi"/>
                <w:sz w:val="20"/>
                <w:szCs w:val="20"/>
              </w:rPr>
            </w:pPr>
          </w:p>
          <w:p w14:paraId="0467BAFC" w14:textId="77777777" w:rsidR="00B93E0F" w:rsidRPr="00037FAA" w:rsidRDefault="00B93E0F" w:rsidP="004437B7">
            <w:pPr>
              <w:spacing w:line="276" w:lineRule="auto"/>
              <w:jc w:val="both"/>
              <w:rPr>
                <w:rFonts w:asciiTheme="majorHAnsi" w:hAnsiTheme="majorHAnsi" w:cstheme="majorHAnsi"/>
                <w:sz w:val="20"/>
                <w:szCs w:val="20"/>
              </w:rPr>
            </w:pPr>
            <w:r w:rsidRPr="00037FAA">
              <w:rPr>
                <w:rFonts w:asciiTheme="majorHAnsi" w:hAnsiTheme="majorHAnsi" w:cstheme="majorHAnsi"/>
                <w:sz w:val="20"/>
                <w:szCs w:val="20"/>
              </w:rPr>
              <w:t xml:space="preserve">Realizacja celu strategicznego polega na tworzeniu tras rowerowych obejmujących cały obszar Subregionu, tworząc spójny system, w dodatku połączony z ościennymi powiatami (w tym z województwa </w:t>
            </w:r>
            <w:r w:rsidR="001F271F" w:rsidRPr="00037FAA">
              <w:rPr>
                <w:rFonts w:asciiTheme="majorHAnsi" w:hAnsiTheme="majorHAnsi" w:cstheme="majorHAnsi"/>
                <w:sz w:val="20"/>
                <w:szCs w:val="20"/>
              </w:rPr>
              <w:t>mazowieckiego</w:t>
            </w:r>
            <w:r w:rsidRPr="00037FAA">
              <w:rPr>
                <w:rFonts w:asciiTheme="majorHAnsi" w:hAnsiTheme="majorHAnsi" w:cstheme="majorHAnsi"/>
                <w:sz w:val="20"/>
                <w:szCs w:val="20"/>
              </w:rPr>
              <w:t xml:space="preserve">). Jednocześnie w ramach realizacji projektu zintegrowanego, zarówno mieszkańcy jak i turyści uzyskają znaczący produkt turystyczny o charakterze </w:t>
            </w:r>
            <w:proofErr w:type="spellStart"/>
            <w:r w:rsidRPr="00037FAA">
              <w:rPr>
                <w:rFonts w:asciiTheme="majorHAnsi" w:hAnsiTheme="majorHAnsi" w:cstheme="majorHAnsi"/>
                <w:sz w:val="20"/>
                <w:szCs w:val="20"/>
              </w:rPr>
              <w:t>Subregionalnym</w:t>
            </w:r>
            <w:proofErr w:type="spellEnd"/>
            <w:r w:rsidRPr="00037FAA">
              <w:rPr>
                <w:rFonts w:asciiTheme="majorHAnsi" w:hAnsiTheme="majorHAnsi" w:cstheme="majorHAnsi"/>
                <w:sz w:val="20"/>
                <w:szCs w:val="20"/>
              </w:rPr>
              <w:t>.</w:t>
            </w:r>
          </w:p>
          <w:p w14:paraId="1A7D1AA2" w14:textId="77777777" w:rsidR="00B93E0F" w:rsidRDefault="00B93E0F" w:rsidP="00FC7062">
            <w:pPr>
              <w:spacing w:line="276" w:lineRule="auto"/>
              <w:rPr>
                <w:rFonts w:asciiTheme="majorHAnsi" w:hAnsiTheme="majorHAnsi" w:cstheme="majorHAnsi"/>
                <w:sz w:val="20"/>
                <w:szCs w:val="20"/>
              </w:rPr>
            </w:pPr>
          </w:p>
          <w:p w14:paraId="4C737E76" w14:textId="77777777" w:rsidR="001F271F" w:rsidRDefault="001F271F" w:rsidP="001F271F">
            <w:pPr>
              <w:spacing w:line="276" w:lineRule="auto"/>
              <w:rPr>
                <w:rFonts w:asciiTheme="majorHAnsi" w:hAnsiTheme="majorHAnsi" w:cstheme="majorHAnsi"/>
                <w:sz w:val="20"/>
                <w:szCs w:val="20"/>
              </w:rPr>
            </w:pPr>
            <w:r w:rsidRPr="00B93E0F">
              <w:rPr>
                <w:rFonts w:asciiTheme="majorHAnsi" w:hAnsiTheme="majorHAnsi" w:cstheme="majorHAnsi"/>
                <w:sz w:val="20"/>
                <w:szCs w:val="20"/>
              </w:rPr>
              <w:t xml:space="preserve">Ścieżki rowerowe są również elementem realizowania ważnych z punktu widzenia jakości życia tzw. strategii niskoemisyjnych, stymulujących zastępowanie środków transportu (z samochodów na rowery). </w:t>
            </w:r>
          </w:p>
          <w:p w14:paraId="05C744E5" w14:textId="77777777" w:rsidR="001F271F" w:rsidRDefault="001F271F" w:rsidP="00FC7062">
            <w:pPr>
              <w:spacing w:line="276" w:lineRule="auto"/>
              <w:rPr>
                <w:rFonts w:asciiTheme="majorHAnsi" w:hAnsiTheme="majorHAnsi" w:cstheme="majorHAnsi"/>
                <w:sz w:val="20"/>
                <w:szCs w:val="20"/>
              </w:rPr>
            </w:pPr>
          </w:p>
          <w:p w14:paraId="48AAB85E" w14:textId="5AFFE161" w:rsidR="00FC2927" w:rsidRDefault="004A1BA6" w:rsidP="00364349">
            <w:pPr>
              <w:spacing w:line="276" w:lineRule="auto"/>
              <w:jc w:val="both"/>
              <w:rPr>
                <w:rFonts w:asciiTheme="majorHAnsi" w:hAnsiTheme="majorHAnsi" w:cstheme="majorHAnsi"/>
                <w:sz w:val="20"/>
                <w:szCs w:val="20"/>
              </w:rPr>
            </w:pPr>
            <w:r>
              <w:rPr>
                <w:rFonts w:asciiTheme="majorHAnsi" w:hAnsiTheme="majorHAnsi" w:cstheme="majorHAnsi"/>
                <w:sz w:val="20"/>
                <w:szCs w:val="20"/>
              </w:rPr>
              <w:t xml:space="preserve">Turystyka medyczna jest istotnym elementem rynku </w:t>
            </w:r>
            <w:r w:rsidR="00364349">
              <w:rPr>
                <w:rFonts w:asciiTheme="majorHAnsi" w:hAnsiTheme="majorHAnsi" w:cstheme="majorHAnsi"/>
                <w:sz w:val="20"/>
                <w:szCs w:val="20"/>
              </w:rPr>
              <w:t>turystycznego</w:t>
            </w:r>
            <w:r>
              <w:rPr>
                <w:rFonts w:asciiTheme="majorHAnsi" w:hAnsiTheme="majorHAnsi" w:cstheme="majorHAnsi"/>
                <w:sz w:val="20"/>
                <w:szCs w:val="20"/>
              </w:rPr>
              <w:t>, który rokroczni</w:t>
            </w:r>
            <w:r w:rsidR="00364349">
              <w:rPr>
                <w:rFonts w:asciiTheme="majorHAnsi" w:hAnsiTheme="majorHAnsi" w:cstheme="majorHAnsi"/>
                <w:sz w:val="20"/>
                <w:szCs w:val="20"/>
              </w:rPr>
              <w:t>e</w:t>
            </w:r>
            <w:r>
              <w:rPr>
                <w:rFonts w:asciiTheme="majorHAnsi" w:hAnsiTheme="majorHAnsi" w:cstheme="majorHAnsi"/>
                <w:sz w:val="20"/>
                <w:szCs w:val="20"/>
              </w:rPr>
              <w:t xml:space="preserve"> wzrasta. Z uwagi na </w:t>
            </w:r>
            <w:r w:rsidR="00FC2927">
              <w:rPr>
                <w:rFonts w:asciiTheme="majorHAnsi" w:hAnsiTheme="majorHAnsi" w:cstheme="majorHAnsi"/>
                <w:sz w:val="20"/>
                <w:szCs w:val="20"/>
              </w:rPr>
              <w:t>lotnisko regionalne na terenie OF istotnym produktem turystycznym jest r</w:t>
            </w:r>
            <w:r w:rsidR="00D30568">
              <w:rPr>
                <w:rFonts w:asciiTheme="majorHAnsi" w:hAnsiTheme="majorHAnsi" w:cstheme="majorHAnsi"/>
                <w:sz w:val="20"/>
                <w:szCs w:val="20"/>
              </w:rPr>
              <w:t xml:space="preserve">ozwój </w:t>
            </w:r>
            <w:r w:rsidR="00FC2927">
              <w:rPr>
                <w:rFonts w:asciiTheme="majorHAnsi" w:hAnsiTheme="majorHAnsi" w:cstheme="majorHAnsi"/>
                <w:sz w:val="20"/>
                <w:szCs w:val="20"/>
              </w:rPr>
              <w:t>turystyki medycz</w:t>
            </w:r>
            <w:r w:rsidR="00D30568">
              <w:rPr>
                <w:rFonts w:asciiTheme="majorHAnsi" w:hAnsiTheme="majorHAnsi" w:cstheme="majorHAnsi"/>
                <w:sz w:val="20"/>
                <w:szCs w:val="20"/>
              </w:rPr>
              <w:t>n</w:t>
            </w:r>
            <w:r w:rsidR="00FC2927">
              <w:rPr>
                <w:rFonts w:asciiTheme="majorHAnsi" w:hAnsiTheme="majorHAnsi" w:cstheme="majorHAnsi"/>
                <w:sz w:val="20"/>
                <w:szCs w:val="20"/>
              </w:rPr>
              <w:t>ej i</w:t>
            </w:r>
            <w:r w:rsidR="004A6B2F">
              <w:rPr>
                <w:rFonts w:asciiTheme="majorHAnsi" w:hAnsiTheme="majorHAnsi" w:cstheme="majorHAnsi"/>
                <w:sz w:val="20"/>
                <w:szCs w:val="20"/>
              </w:rPr>
              <w:t> </w:t>
            </w:r>
            <w:r w:rsidR="00FC2927">
              <w:rPr>
                <w:rFonts w:asciiTheme="majorHAnsi" w:hAnsiTheme="majorHAnsi" w:cstheme="majorHAnsi"/>
                <w:sz w:val="20"/>
                <w:szCs w:val="20"/>
              </w:rPr>
              <w:t>sanatoryjnej na terenie powiatów P</w:t>
            </w:r>
            <w:r w:rsidR="00325ACD">
              <w:rPr>
                <w:rFonts w:asciiTheme="majorHAnsi" w:hAnsiTheme="majorHAnsi" w:cstheme="majorHAnsi"/>
                <w:sz w:val="20"/>
                <w:szCs w:val="20"/>
              </w:rPr>
              <w:t>M</w:t>
            </w:r>
            <w:r w:rsidR="00FC2927">
              <w:rPr>
                <w:rFonts w:asciiTheme="majorHAnsi" w:hAnsiTheme="majorHAnsi" w:cstheme="majorHAnsi"/>
                <w:sz w:val="20"/>
                <w:szCs w:val="20"/>
              </w:rPr>
              <w:t xml:space="preserve">. </w:t>
            </w:r>
            <w:r w:rsidR="00D30568">
              <w:rPr>
                <w:rFonts w:asciiTheme="majorHAnsi" w:hAnsiTheme="majorHAnsi" w:cstheme="majorHAnsi"/>
                <w:sz w:val="20"/>
                <w:szCs w:val="20"/>
              </w:rPr>
              <w:t xml:space="preserve">Współpraca szpitali powiatowych w połączeniu z dostępem do atrakcyjnych miejsc pobytu </w:t>
            </w:r>
            <w:r w:rsidR="009B2F2C">
              <w:rPr>
                <w:rFonts w:asciiTheme="majorHAnsi" w:hAnsiTheme="majorHAnsi" w:cstheme="majorHAnsi"/>
                <w:sz w:val="20"/>
                <w:szCs w:val="20"/>
              </w:rPr>
              <w:t xml:space="preserve">nastawionych na indywidualnych klientów, a nie duże grupy </w:t>
            </w:r>
            <w:r w:rsidR="0024587B">
              <w:rPr>
                <w:rFonts w:asciiTheme="majorHAnsi" w:hAnsiTheme="majorHAnsi" w:cstheme="majorHAnsi"/>
                <w:sz w:val="20"/>
                <w:szCs w:val="20"/>
              </w:rPr>
              <w:t xml:space="preserve">stwarza </w:t>
            </w:r>
            <w:r w:rsidR="00E01359">
              <w:rPr>
                <w:rFonts w:asciiTheme="majorHAnsi" w:hAnsiTheme="majorHAnsi" w:cstheme="majorHAnsi"/>
                <w:sz w:val="20"/>
                <w:szCs w:val="20"/>
              </w:rPr>
              <w:t>warunki</w:t>
            </w:r>
            <w:r w:rsidR="00E01359">
              <w:rPr>
                <w:rFonts w:asciiTheme="majorHAnsi" w:hAnsiTheme="majorHAnsi" w:cstheme="majorHAnsi"/>
                <w:sz w:val="20"/>
                <w:szCs w:val="20"/>
              </w:rPr>
              <w:br/>
            </w:r>
            <w:r w:rsidR="0024587B">
              <w:rPr>
                <w:rFonts w:asciiTheme="majorHAnsi" w:hAnsiTheme="majorHAnsi" w:cstheme="majorHAnsi"/>
                <w:sz w:val="20"/>
                <w:szCs w:val="20"/>
              </w:rPr>
              <w:t xml:space="preserve"> do rozwoju tu</w:t>
            </w:r>
            <w:r w:rsidR="00764724">
              <w:rPr>
                <w:rFonts w:asciiTheme="majorHAnsi" w:hAnsiTheme="majorHAnsi" w:cstheme="majorHAnsi"/>
                <w:sz w:val="20"/>
                <w:szCs w:val="20"/>
              </w:rPr>
              <w:t>ry</w:t>
            </w:r>
            <w:r w:rsidR="0024587B">
              <w:rPr>
                <w:rFonts w:asciiTheme="majorHAnsi" w:hAnsiTheme="majorHAnsi" w:cstheme="majorHAnsi"/>
                <w:sz w:val="20"/>
                <w:szCs w:val="20"/>
              </w:rPr>
              <w:t>styki med</w:t>
            </w:r>
            <w:r w:rsidR="00764724">
              <w:rPr>
                <w:rFonts w:asciiTheme="majorHAnsi" w:hAnsiTheme="majorHAnsi" w:cstheme="majorHAnsi"/>
                <w:sz w:val="20"/>
                <w:szCs w:val="20"/>
              </w:rPr>
              <w:t>y</w:t>
            </w:r>
            <w:r w:rsidR="0024587B">
              <w:rPr>
                <w:rFonts w:asciiTheme="majorHAnsi" w:hAnsiTheme="majorHAnsi" w:cstheme="majorHAnsi"/>
                <w:sz w:val="20"/>
                <w:szCs w:val="20"/>
              </w:rPr>
              <w:t xml:space="preserve">cznej na terenie OF. </w:t>
            </w:r>
          </w:p>
          <w:p w14:paraId="586FCA4F" w14:textId="77777777" w:rsidR="004A1BA6" w:rsidRDefault="004A1BA6" w:rsidP="00FC7062">
            <w:pPr>
              <w:spacing w:line="276" w:lineRule="auto"/>
              <w:rPr>
                <w:rFonts w:asciiTheme="majorHAnsi" w:hAnsiTheme="majorHAnsi" w:cstheme="majorHAnsi"/>
                <w:sz w:val="20"/>
                <w:szCs w:val="20"/>
              </w:rPr>
            </w:pPr>
          </w:p>
          <w:p w14:paraId="53B12292" w14:textId="77777777" w:rsidR="003F7C47" w:rsidRDefault="001F271F" w:rsidP="003F7C47">
            <w:pPr>
              <w:spacing w:line="276" w:lineRule="auto"/>
              <w:jc w:val="both"/>
              <w:rPr>
                <w:rFonts w:asciiTheme="majorHAnsi" w:hAnsiTheme="majorHAnsi" w:cstheme="majorHAnsi"/>
                <w:sz w:val="20"/>
                <w:szCs w:val="20"/>
              </w:rPr>
            </w:pPr>
            <w:r>
              <w:rPr>
                <w:rFonts w:asciiTheme="majorHAnsi" w:hAnsiTheme="majorHAnsi" w:cstheme="majorHAnsi"/>
                <w:sz w:val="20"/>
                <w:szCs w:val="20"/>
              </w:rPr>
              <w:t>Kolejnym produktem turystycznym jest turystyka rodzinna i senioralna</w:t>
            </w:r>
            <w:r w:rsidR="00764724">
              <w:rPr>
                <w:rFonts w:asciiTheme="majorHAnsi" w:hAnsiTheme="majorHAnsi" w:cstheme="majorHAnsi"/>
                <w:sz w:val="20"/>
                <w:szCs w:val="20"/>
              </w:rPr>
              <w:t xml:space="preserve">. Na Obszarze </w:t>
            </w:r>
            <w:r w:rsidR="003F7C47" w:rsidRPr="003F7C47">
              <w:rPr>
                <w:rFonts w:asciiTheme="majorHAnsi" w:hAnsiTheme="majorHAnsi" w:cstheme="majorHAnsi"/>
                <w:sz w:val="20"/>
                <w:szCs w:val="20"/>
              </w:rPr>
              <w:t>wskaźnik ogólnej liczby miejsc noclegowych dla obszaru Południowe Mazury jest wyższy niż w Polsce natomiast mniej jest miejsc noclegowych całorocznych. Na badanym obszarze niższa niż w Polsce jest także liczba udzielanych noclegów.</w:t>
            </w:r>
          </w:p>
          <w:p w14:paraId="4D882E21" w14:textId="77777777" w:rsidR="001F271F" w:rsidRPr="00B93E0F" w:rsidRDefault="00724DD7" w:rsidP="00E7715B">
            <w:pPr>
              <w:spacing w:line="276" w:lineRule="auto"/>
              <w:jc w:val="both"/>
              <w:rPr>
                <w:rFonts w:asciiTheme="majorHAnsi" w:hAnsiTheme="majorHAnsi" w:cstheme="majorHAnsi"/>
                <w:sz w:val="20"/>
                <w:szCs w:val="20"/>
              </w:rPr>
            </w:pPr>
            <w:r>
              <w:rPr>
                <w:rFonts w:asciiTheme="majorHAnsi" w:hAnsiTheme="majorHAnsi" w:cstheme="majorHAnsi"/>
                <w:sz w:val="20"/>
                <w:szCs w:val="20"/>
              </w:rPr>
              <w:t>W przeważającej</w:t>
            </w:r>
            <w:r w:rsidR="00764724">
              <w:rPr>
                <w:rFonts w:asciiTheme="majorHAnsi" w:hAnsiTheme="majorHAnsi" w:cstheme="majorHAnsi"/>
                <w:sz w:val="20"/>
                <w:szCs w:val="20"/>
              </w:rPr>
              <w:t xml:space="preserve"> </w:t>
            </w:r>
            <w:r>
              <w:rPr>
                <w:rFonts w:asciiTheme="majorHAnsi" w:hAnsiTheme="majorHAnsi" w:cstheme="majorHAnsi"/>
                <w:sz w:val="20"/>
                <w:szCs w:val="20"/>
              </w:rPr>
              <w:t xml:space="preserve">większości są to małe obiekty noclegowe, gospodarstwa agroturystyczne a nie </w:t>
            </w:r>
            <w:r w:rsidR="002F43EB">
              <w:rPr>
                <w:rFonts w:asciiTheme="majorHAnsi" w:hAnsiTheme="majorHAnsi" w:cstheme="majorHAnsi"/>
                <w:sz w:val="20"/>
                <w:szCs w:val="20"/>
              </w:rPr>
              <w:t>duże hotele nastawione na klientów grupowych. Z uwagi na położenie w atrakcyjnych przyrodniczo obszarach rekomenduje</w:t>
            </w:r>
            <w:r w:rsidR="00E7715B">
              <w:rPr>
                <w:rFonts w:asciiTheme="majorHAnsi" w:hAnsiTheme="majorHAnsi" w:cstheme="majorHAnsi"/>
                <w:sz w:val="20"/>
                <w:szCs w:val="20"/>
              </w:rPr>
              <w:t>my</w:t>
            </w:r>
            <w:r w:rsidR="002F43EB">
              <w:rPr>
                <w:rFonts w:asciiTheme="majorHAnsi" w:hAnsiTheme="majorHAnsi" w:cstheme="majorHAnsi"/>
                <w:sz w:val="20"/>
                <w:szCs w:val="20"/>
              </w:rPr>
              <w:t xml:space="preserve"> ukierunkowanie oferty na rodzinny i seniorów, którzy oczekują </w:t>
            </w:r>
            <w:r w:rsidR="00E7715B">
              <w:rPr>
                <w:rFonts w:asciiTheme="majorHAnsi" w:hAnsiTheme="majorHAnsi" w:cstheme="majorHAnsi"/>
                <w:sz w:val="20"/>
                <w:szCs w:val="20"/>
              </w:rPr>
              <w:t xml:space="preserve">oferty indywidualnej połączonej z aktywnymi </w:t>
            </w:r>
            <w:r w:rsidR="00E94D93">
              <w:rPr>
                <w:rFonts w:asciiTheme="majorHAnsi" w:hAnsiTheme="majorHAnsi" w:cstheme="majorHAnsi"/>
                <w:sz w:val="20"/>
                <w:szCs w:val="20"/>
              </w:rPr>
              <w:t>formami</w:t>
            </w:r>
            <w:r w:rsidR="00E7715B">
              <w:rPr>
                <w:rFonts w:asciiTheme="majorHAnsi" w:hAnsiTheme="majorHAnsi" w:cstheme="majorHAnsi"/>
                <w:sz w:val="20"/>
                <w:szCs w:val="20"/>
              </w:rPr>
              <w:t xml:space="preserve"> spędzania czasu. </w:t>
            </w:r>
          </w:p>
        </w:tc>
      </w:tr>
    </w:tbl>
    <w:p w14:paraId="50A773B0" w14:textId="77777777" w:rsidR="00B93E0F" w:rsidRDefault="00B93E0F" w:rsidP="00F61F12">
      <w:pPr>
        <w:spacing w:after="0" w:line="276" w:lineRule="auto"/>
        <w:rPr>
          <w:rFonts w:asciiTheme="majorHAnsi" w:hAnsiTheme="majorHAnsi" w:cstheme="majorHAnsi"/>
        </w:rPr>
      </w:pPr>
    </w:p>
    <w:tbl>
      <w:tblPr>
        <w:tblStyle w:val="Tabela-Siatka"/>
        <w:tblW w:w="5000" w:type="pct"/>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ook w:val="04A0" w:firstRow="1" w:lastRow="0" w:firstColumn="1" w:lastColumn="0" w:noHBand="0" w:noVBand="1"/>
      </w:tblPr>
      <w:tblGrid>
        <w:gridCol w:w="9010"/>
      </w:tblGrid>
      <w:tr w:rsidR="0083139E" w:rsidRPr="001A20A9" w14:paraId="0B35247C" w14:textId="77777777" w:rsidTr="004A6B2F">
        <w:trPr>
          <w:trHeight w:val="20"/>
        </w:trPr>
        <w:tc>
          <w:tcPr>
            <w:tcW w:w="5000" w:type="pct"/>
            <w:shd w:val="clear" w:color="auto" w:fill="DFF1CB"/>
            <w:vAlign w:val="center"/>
          </w:tcPr>
          <w:p w14:paraId="430E007A" w14:textId="77777777" w:rsidR="0083139E" w:rsidRPr="003C27AF" w:rsidRDefault="0083139E" w:rsidP="00FC7062">
            <w:pPr>
              <w:spacing w:line="276" w:lineRule="auto"/>
              <w:jc w:val="center"/>
              <w:rPr>
                <w:rFonts w:asciiTheme="majorHAnsi" w:hAnsiTheme="majorHAnsi" w:cstheme="majorHAnsi"/>
                <w:b/>
                <w:sz w:val="20"/>
                <w:szCs w:val="20"/>
              </w:rPr>
            </w:pPr>
            <w:r>
              <w:rPr>
                <w:rFonts w:asciiTheme="majorHAnsi" w:hAnsiTheme="majorHAnsi" w:cstheme="majorHAnsi"/>
                <w:b/>
                <w:sz w:val="20"/>
                <w:szCs w:val="20"/>
              </w:rPr>
              <w:t>Cel operacyjny 3.</w:t>
            </w:r>
            <w:r w:rsidR="00E7715B">
              <w:rPr>
                <w:rFonts w:asciiTheme="majorHAnsi" w:hAnsiTheme="majorHAnsi" w:cstheme="majorHAnsi"/>
                <w:b/>
                <w:sz w:val="20"/>
                <w:szCs w:val="20"/>
              </w:rPr>
              <w:t>2</w:t>
            </w:r>
          </w:p>
        </w:tc>
      </w:tr>
      <w:tr w:rsidR="0083139E" w:rsidRPr="00E7715B" w14:paraId="00E276AE" w14:textId="77777777" w:rsidTr="004A6B2F">
        <w:trPr>
          <w:trHeight w:val="20"/>
        </w:trPr>
        <w:tc>
          <w:tcPr>
            <w:tcW w:w="5000" w:type="pct"/>
            <w:tcBorders>
              <w:bottom w:val="single" w:sz="24" w:space="0" w:color="FFFFFF" w:themeColor="background1"/>
            </w:tcBorders>
            <w:shd w:val="clear" w:color="auto" w:fill="DFF1CB"/>
            <w:vAlign w:val="center"/>
          </w:tcPr>
          <w:p w14:paraId="10C56C8F" w14:textId="77777777" w:rsidR="0083139E" w:rsidRPr="00E7715B" w:rsidRDefault="0083139E" w:rsidP="00FC7062">
            <w:pPr>
              <w:spacing w:line="276" w:lineRule="auto"/>
              <w:jc w:val="center"/>
              <w:rPr>
                <w:rFonts w:asciiTheme="majorHAnsi" w:hAnsiTheme="majorHAnsi" w:cstheme="majorHAnsi"/>
                <w:b/>
                <w:sz w:val="20"/>
                <w:szCs w:val="20"/>
              </w:rPr>
            </w:pPr>
            <w:r w:rsidRPr="00E7715B">
              <w:rPr>
                <w:rFonts w:asciiTheme="majorHAnsi" w:hAnsiTheme="majorHAnsi" w:cstheme="majorHAnsi"/>
                <w:b/>
                <w:sz w:val="20"/>
                <w:szCs w:val="20"/>
              </w:rPr>
              <w:t>Wspieranie rozwoju gospodarczego i wzmacnianie rynku pracy</w:t>
            </w:r>
          </w:p>
        </w:tc>
      </w:tr>
      <w:tr w:rsidR="0083139E" w:rsidRPr="001F2225" w14:paraId="268DC59D" w14:textId="77777777" w:rsidTr="004A6B2F">
        <w:trPr>
          <w:trHeight w:val="20"/>
        </w:trPr>
        <w:tc>
          <w:tcPr>
            <w:tcW w:w="5000" w:type="pct"/>
            <w:tcBorders>
              <w:left w:val="single" w:sz="4" w:space="0" w:color="92D050"/>
              <w:bottom w:val="single" w:sz="4" w:space="0" w:color="92D050"/>
              <w:right w:val="single" w:sz="4" w:space="0" w:color="92D050"/>
            </w:tcBorders>
            <w:shd w:val="clear" w:color="auto" w:fill="FFFFFF" w:themeFill="background1"/>
            <w:vAlign w:val="center"/>
          </w:tcPr>
          <w:p w14:paraId="0AEFA4B1" w14:textId="77777777" w:rsidR="0083139E" w:rsidRPr="001F2225" w:rsidRDefault="0083139E" w:rsidP="00FC7062">
            <w:pPr>
              <w:spacing w:line="276" w:lineRule="auto"/>
              <w:jc w:val="both"/>
              <w:rPr>
                <w:rFonts w:asciiTheme="majorHAnsi" w:hAnsiTheme="majorHAnsi" w:cstheme="majorHAnsi"/>
                <w:sz w:val="20"/>
                <w:szCs w:val="20"/>
              </w:rPr>
            </w:pPr>
            <w:r w:rsidRPr="001F2225">
              <w:rPr>
                <w:rFonts w:asciiTheme="majorHAnsi" w:hAnsiTheme="majorHAnsi" w:cstheme="majorHAnsi"/>
                <w:sz w:val="20"/>
                <w:szCs w:val="20"/>
              </w:rPr>
              <w:t xml:space="preserve">Rozwój OF będzie możliwy poprzez tworzenie miejsc i warunków umożliwiających rozwój przedsiębiorczości. Istotnym działaniem będzie tworzenie warunków dla lokalizacji inwestycji i tworzenia nowych miejsc pracy. Poprawa dostępności transportowej musi być powiązana z działaniami gmin wchodzących w OF w zakresie tworzenia lokalnej infrastruktury oraz miejscowych planów zagospodarowania. </w:t>
            </w:r>
          </w:p>
        </w:tc>
      </w:tr>
    </w:tbl>
    <w:p w14:paraId="27E2D691" w14:textId="77777777" w:rsidR="0083139E" w:rsidRDefault="0083139E" w:rsidP="00F61F12">
      <w:pPr>
        <w:spacing w:after="0" w:line="276" w:lineRule="auto"/>
        <w:rPr>
          <w:rFonts w:asciiTheme="majorHAnsi" w:hAnsiTheme="majorHAnsi" w:cstheme="majorHAnsi"/>
        </w:rPr>
      </w:pPr>
    </w:p>
    <w:tbl>
      <w:tblPr>
        <w:tblStyle w:val="Tabela-Siatka"/>
        <w:tblW w:w="5000" w:type="pct"/>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ook w:val="04A0" w:firstRow="1" w:lastRow="0" w:firstColumn="1" w:lastColumn="0" w:noHBand="0" w:noVBand="1"/>
      </w:tblPr>
      <w:tblGrid>
        <w:gridCol w:w="9010"/>
      </w:tblGrid>
      <w:tr w:rsidR="0083139E" w:rsidRPr="001A20A9" w14:paraId="0675109B" w14:textId="77777777" w:rsidTr="004A6B2F">
        <w:trPr>
          <w:trHeight w:val="20"/>
        </w:trPr>
        <w:tc>
          <w:tcPr>
            <w:tcW w:w="5000" w:type="pct"/>
            <w:shd w:val="clear" w:color="auto" w:fill="DFF1CB"/>
            <w:vAlign w:val="center"/>
          </w:tcPr>
          <w:p w14:paraId="444E2F30" w14:textId="77777777" w:rsidR="0083139E" w:rsidRPr="003C27AF" w:rsidRDefault="0083139E" w:rsidP="00FC7062">
            <w:pPr>
              <w:spacing w:line="276" w:lineRule="auto"/>
              <w:jc w:val="center"/>
              <w:rPr>
                <w:rFonts w:asciiTheme="majorHAnsi" w:hAnsiTheme="majorHAnsi" w:cstheme="majorHAnsi"/>
                <w:b/>
                <w:sz w:val="20"/>
                <w:szCs w:val="20"/>
              </w:rPr>
            </w:pPr>
            <w:r>
              <w:rPr>
                <w:rFonts w:asciiTheme="majorHAnsi" w:hAnsiTheme="majorHAnsi" w:cstheme="majorHAnsi"/>
                <w:b/>
                <w:sz w:val="20"/>
                <w:szCs w:val="20"/>
              </w:rPr>
              <w:t>Cel operacyjny 3</w:t>
            </w:r>
            <w:r w:rsidR="00E7715B">
              <w:rPr>
                <w:rFonts w:asciiTheme="majorHAnsi" w:hAnsiTheme="majorHAnsi" w:cstheme="majorHAnsi"/>
                <w:b/>
                <w:sz w:val="20"/>
                <w:szCs w:val="20"/>
              </w:rPr>
              <w:t>.3</w:t>
            </w:r>
          </w:p>
        </w:tc>
      </w:tr>
      <w:tr w:rsidR="0083139E" w:rsidRPr="00E7715B" w14:paraId="3BEBB083" w14:textId="77777777" w:rsidTr="004A6B2F">
        <w:trPr>
          <w:trHeight w:val="20"/>
        </w:trPr>
        <w:tc>
          <w:tcPr>
            <w:tcW w:w="5000" w:type="pct"/>
            <w:tcBorders>
              <w:bottom w:val="single" w:sz="24" w:space="0" w:color="FFFFFF" w:themeColor="background1"/>
            </w:tcBorders>
            <w:shd w:val="clear" w:color="auto" w:fill="DFF1CB"/>
            <w:vAlign w:val="center"/>
          </w:tcPr>
          <w:p w14:paraId="540AC31A" w14:textId="77777777" w:rsidR="0083139E" w:rsidRPr="00E7715B" w:rsidRDefault="0083139E" w:rsidP="00FC7062">
            <w:pPr>
              <w:spacing w:line="276" w:lineRule="auto"/>
              <w:jc w:val="center"/>
              <w:rPr>
                <w:rFonts w:asciiTheme="majorHAnsi" w:hAnsiTheme="majorHAnsi" w:cstheme="majorHAnsi"/>
                <w:b/>
                <w:sz w:val="20"/>
                <w:szCs w:val="20"/>
              </w:rPr>
            </w:pPr>
            <w:r w:rsidRPr="00E7715B">
              <w:rPr>
                <w:rFonts w:asciiTheme="majorHAnsi" w:hAnsiTheme="majorHAnsi" w:cstheme="majorHAnsi"/>
                <w:b/>
                <w:sz w:val="20"/>
                <w:szCs w:val="20"/>
              </w:rPr>
              <w:t>Promocja gospodarcza OF</w:t>
            </w:r>
          </w:p>
        </w:tc>
      </w:tr>
      <w:tr w:rsidR="0083139E" w:rsidRPr="001A20A9" w14:paraId="763BBB6E" w14:textId="77777777" w:rsidTr="004A6B2F">
        <w:trPr>
          <w:trHeight w:val="20"/>
        </w:trPr>
        <w:tc>
          <w:tcPr>
            <w:tcW w:w="5000" w:type="pct"/>
            <w:tcBorders>
              <w:left w:val="single" w:sz="4" w:space="0" w:color="92D050"/>
              <w:bottom w:val="single" w:sz="4" w:space="0" w:color="92D050"/>
              <w:right w:val="single" w:sz="4" w:space="0" w:color="92D050"/>
            </w:tcBorders>
            <w:shd w:val="clear" w:color="auto" w:fill="FFFFFF" w:themeFill="background1"/>
            <w:vAlign w:val="center"/>
          </w:tcPr>
          <w:p w14:paraId="5BDF52ED" w14:textId="77777777" w:rsidR="0083139E" w:rsidRDefault="0083139E" w:rsidP="00FC7062">
            <w:pPr>
              <w:spacing w:line="276" w:lineRule="auto"/>
              <w:jc w:val="both"/>
              <w:rPr>
                <w:rFonts w:asciiTheme="majorHAnsi" w:hAnsiTheme="majorHAnsi" w:cstheme="majorHAnsi"/>
                <w:sz w:val="20"/>
                <w:szCs w:val="20"/>
              </w:rPr>
            </w:pPr>
            <w:r w:rsidRPr="001F2225">
              <w:rPr>
                <w:rFonts w:asciiTheme="majorHAnsi" w:hAnsiTheme="majorHAnsi" w:cstheme="majorHAnsi"/>
                <w:sz w:val="20"/>
                <w:szCs w:val="20"/>
              </w:rPr>
              <w:t xml:space="preserve">Współpraca samorządów w ramach OF pozwala na wzmocnienie zasobów, które mogą być wykorzystywane w ramach działań promocji gospodarczej. Aktywność OF może być bardziej efektywna dzięki koncentracji środków przekazywanych przez poszczególnych partnerów - które są następnie dedykowane działaniom promocyjnym ścisłe powiązanym z prowadzonymi równolegle projektami zwiększenia atrakcyjności inwestycyjnej. </w:t>
            </w:r>
          </w:p>
          <w:p w14:paraId="217D36ED" w14:textId="77777777" w:rsidR="0083139E" w:rsidRPr="001F2225" w:rsidRDefault="0083139E" w:rsidP="00FC7062">
            <w:pPr>
              <w:spacing w:line="276" w:lineRule="auto"/>
              <w:jc w:val="both"/>
              <w:rPr>
                <w:rFonts w:asciiTheme="majorHAnsi" w:hAnsiTheme="majorHAnsi" w:cstheme="majorHAnsi"/>
                <w:sz w:val="20"/>
                <w:szCs w:val="20"/>
              </w:rPr>
            </w:pPr>
          </w:p>
          <w:p w14:paraId="5BB0D9FE" w14:textId="77777777" w:rsidR="0083139E" w:rsidRDefault="0083139E" w:rsidP="00FC7062">
            <w:pPr>
              <w:spacing w:line="276" w:lineRule="auto"/>
              <w:jc w:val="both"/>
              <w:rPr>
                <w:rFonts w:asciiTheme="majorHAnsi" w:hAnsiTheme="majorHAnsi" w:cstheme="majorHAnsi"/>
                <w:sz w:val="20"/>
                <w:szCs w:val="20"/>
              </w:rPr>
            </w:pPr>
            <w:r w:rsidRPr="001F2225">
              <w:rPr>
                <w:rFonts w:asciiTheme="majorHAnsi" w:hAnsiTheme="majorHAnsi" w:cstheme="majorHAnsi"/>
                <w:sz w:val="20"/>
                <w:szCs w:val="20"/>
              </w:rPr>
              <w:t xml:space="preserve">Równocześnie </w:t>
            </w:r>
            <w:r>
              <w:rPr>
                <w:rFonts w:asciiTheme="majorHAnsi" w:hAnsiTheme="majorHAnsi" w:cstheme="majorHAnsi"/>
                <w:sz w:val="20"/>
                <w:szCs w:val="20"/>
              </w:rPr>
              <w:t>OF</w:t>
            </w:r>
            <w:r w:rsidRPr="001F2225">
              <w:rPr>
                <w:rFonts w:asciiTheme="majorHAnsi" w:hAnsiTheme="majorHAnsi" w:cstheme="majorHAnsi"/>
                <w:sz w:val="20"/>
                <w:szCs w:val="20"/>
              </w:rPr>
              <w:t xml:space="preserve"> ma szansę kreować markę przestrzeni przyjaznej dla biznesu oraz zapewniającej efektywne warunki współpracy administracji, biznesu i sektora nauki.</w:t>
            </w:r>
          </w:p>
          <w:p w14:paraId="2AA7D272" w14:textId="77777777" w:rsidR="0083139E" w:rsidRDefault="0083139E" w:rsidP="00FC7062">
            <w:pPr>
              <w:spacing w:line="276" w:lineRule="auto"/>
              <w:jc w:val="both"/>
              <w:rPr>
                <w:rFonts w:asciiTheme="majorHAnsi" w:hAnsiTheme="majorHAnsi" w:cstheme="majorHAnsi"/>
                <w:sz w:val="20"/>
                <w:szCs w:val="20"/>
              </w:rPr>
            </w:pPr>
          </w:p>
          <w:p w14:paraId="03412BD8" w14:textId="5C33BE91" w:rsidR="0083139E" w:rsidRPr="001A20A9" w:rsidRDefault="000F63C6" w:rsidP="00FC7062">
            <w:pPr>
              <w:spacing w:line="276" w:lineRule="auto"/>
              <w:jc w:val="both"/>
              <w:rPr>
                <w:rFonts w:asciiTheme="majorHAnsi" w:hAnsiTheme="majorHAnsi" w:cstheme="majorHAnsi"/>
                <w:sz w:val="20"/>
                <w:szCs w:val="20"/>
              </w:rPr>
            </w:pPr>
            <w:r>
              <w:rPr>
                <w:rFonts w:asciiTheme="majorHAnsi" w:hAnsiTheme="majorHAnsi" w:cstheme="majorHAnsi"/>
                <w:sz w:val="20"/>
                <w:szCs w:val="20"/>
              </w:rPr>
              <w:t>Sąsiedztwo</w:t>
            </w:r>
            <w:r w:rsidR="0083139E">
              <w:rPr>
                <w:rFonts w:asciiTheme="majorHAnsi" w:hAnsiTheme="majorHAnsi" w:cstheme="majorHAnsi"/>
                <w:sz w:val="20"/>
                <w:szCs w:val="20"/>
              </w:rPr>
              <w:t xml:space="preserve"> z </w:t>
            </w:r>
            <w:r>
              <w:rPr>
                <w:rFonts w:asciiTheme="majorHAnsi" w:hAnsiTheme="majorHAnsi" w:cstheme="majorHAnsi"/>
                <w:sz w:val="20"/>
                <w:szCs w:val="20"/>
              </w:rPr>
              <w:t>w</w:t>
            </w:r>
            <w:r w:rsidR="0083139E">
              <w:rPr>
                <w:rFonts w:asciiTheme="majorHAnsi" w:hAnsiTheme="majorHAnsi" w:cstheme="majorHAnsi"/>
                <w:sz w:val="20"/>
                <w:szCs w:val="20"/>
              </w:rPr>
              <w:t xml:space="preserve">ojewództwem </w:t>
            </w:r>
            <w:r>
              <w:rPr>
                <w:rFonts w:asciiTheme="majorHAnsi" w:hAnsiTheme="majorHAnsi" w:cstheme="majorHAnsi"/>
                <w:sz w:val="20"/>
                <w:szCs w:val="20"/>
              </w:rPr>
              <w:t>m</w:t>
            </w:r>
            <w:r w:rsidR="0083139E">
              <w:rPr>
                <w:rFonts w:asciiTheme="majorHAnsi" w:hAnsiTheme="majorHAnsi" w:cstheme="majorHAnsi"/>
                <w:sz w:val="20"/>
                <w:szCs w:val="20"/>
              </w:rPr>
              <w:t xml:space="preserve">azowieckim, w wyniku stworzonych warunków do rozwoju przedsiębiorczości, dzięki promocji gospodarczej pozwoli na napływ biznesu z Mazowsza. </w:t>
            </w:r>
          </w:p>
        </w:tc>
      </w:tr>
    </w:tbl>
    <w:p w14:paraId="6C92737B" w14:textId="410DCD43" w:rsidR="00F76286" w:rsidRDefault="00F76286" w:rsidP="00FC7062">
      <w:pPr>
        <w:spacing w:line="276" w:lineRule="auto"/>
        <w:rPr>
          <w:rFonts w:asciiTheme="majorHAnsi" w:hAnsiTheme="majorHAnsi" w:cstheme="majorHAnsi"/>
        </w:rPr>
      </w:pPr>
    </w:p>
    <w:p w14:paraId="498862B9" w14:textId="77777777" w:rsidR="00F76286" w:rsidRDefault="00F76286">
      <w:pPr>
        <w:rPr>
          <w:rFonts w:asciiTheme="majorHAnsi" w:hAnsiTheme="majorHAnsi" w:cstheme="majorHAnsi"/>
        </w:rPr>
      </w:pPr>
      <w:r>
        <w:rPr>
          <w:rFonts w:asciiTheme="majorHAnsi" w:hAnsiTheme="majorHAnsi" w:cstheme="majorHAnsi"/>
        </w:rPr>
        <w:br w:type="page"/>
      </w:r>
    </w:p>
    <w:tbl>
      <w:tblPr>
        <w:tblStyle w:val="Tabela-Siatka"/>
        <w:tblW w:w="5000" w:type="pct"/>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ook w:val="04A0" w:firstRow="1" w:lastRow="0" w:firstColumn="1" w:lastColumn="0" w:noHBand="0" w:noVBand="1"/>
      </w:tblPr>
      <w:tblGrid>
        <w:gridCol w:w="9010"/>
      </w:tblGrid>
      <w:tr w:rsidR="00802828" w:rsidRPr="001A20A9" w14:paraId="292E5ACC" w14:textId="77777777" w:rsidTr="004A6B2F">
        <w:trPr>
          <w:trHeight w:val="20"/>
          <w:tblHeader/>
        </w:trPr>
        <w:tc>
          <w:tcPr>
            <w:tcW w:w="5000" w:type="pct"/>
            <w:shd w:val="clear" w:color="auto" w:fill="A6A6A6" w:themeFill="background1" w:themeFillShade="A6"/>
            <w:vAlign w:val="center"/>
          </w:tcPr>
          <w:p w14:paraId="494E735B" w14:textId="77777777" w:rsidR="00802828" w:rsidRPr="001A20A9" w:rsidRDefault="00802828" w:rsidP="00FC7062">
            <w:pPr>
              <w:spacing w:line="276" w:lineRule="auto"/>
              <w:jc w:val="center"/>
              <w:rPr>
                <w:rFonts w:asciiTheme="majorHAnsi" w:hAnsiTheme="majorHAnsi" w:cstheme="majorHAnsi"/>
                <w:b/>
                <w:sz w:val="20"/>
                <w:szCs w:val="20"/>
              </w:rPr>
            </w:pPr>
            <w:r w:rsidRPr="001A20A9">
              <w:rPr>
                <w:rFonts w:asciiTheme="majorHAnsi" w:hAnsiTheme="majorHAnsi" w:cstheme="majorHAnsi"/>
                <w:b/>
                <w:sz w:val="20"/>
                <w:szCs w:val="20"/>
              </w:rPr>
              <w:t xml:space="preserve">Cel strategiczny 4. </w:t>
            </w:r>
          </w:p>
          <w:p w14:paraId="61AC470B" w14:textId="41B0C5ED" w:rsidR="00802828" w:rsidRPr="001A20A9" w:rsidRDefault="00802828" w:rsidP="00FC7062">
            <w:pPr>
              <w:spacing w:line="276" w:lineRule="auto"/>
              <w:jc w:val="center"/>
              <w:rPr>
                <w:rFonts w:asciiTheme="majorHAnsi" w:hAnsiTheme="majorHAnsi" w:cstheme="majorHAnsi"/>
                <w:sz w:val="20"/>
                <w:szCs w:val="20"/>
              </w:rPr>
            </w:pPr>
            <w:r w:rsidRPr="001A20A9">
              <w:rPr>
                <w:rFonts w:asciiTheme="majorHAnsi" w:hAnsiTheme="majorHAnsi" w:cstheme="majorHAnsi"/>
                <w:sz w:val="20"/>
                <w:szCs w:val="20"/>
              </w:rPr>
              <w:t xml:space="preserve">Budowa zintegrowanego systemu wyspecjalizowanych usług publicznych w obszarach zabezpieczenia społecznego, </w:t>
            </w:r>
            <w:r w:rsidR="00FF2A3B">
              <w:rPr>
                <w:rFonts w:asciiTheme="majorHAnsi" w:hAnsiTheme="majorHAnsi" w:cstheme="majorHAnsi"/>
                <w:sz w:val="20"/>
                <w:szCs w:val="20"/>
              </w:rPr>
              <w:t xml:space="preserve">edukacji, </w:t>
            </w:r>
            <w:r w:rsidRPr="001A20A9">
              <w:rPr>
                <w:rFonts w:asciiTheme="majorHAnsi" w:hAnsiTheme="majorHAnsi" w:cstheme="majorHAnsi"/>
                <w:sz w:val="20"/>
                <w:szCs w:val="20"/>
              </w:rPr>
              <w:t>opieki senioralnej, ochrony zdrowia</w:t>
            </w:r>
          </w:p>
        </w:tc>
      </w:tr>
      <w:tr w:rsidR="00802828" w:rsidRPr="001A20A9" w14:paraId="436C9D1E" w14:textId="77777777" w:rsidTr="004A6B2F">
        <w:trPr>
          <w:trHeight w:val="20"/>
        </w:trPr>
        <w:tc>
          <w:tcPr>
            <w:tcW w:w="5000" w:type="pct"/>
            <w:tcBorders>
              <w:bottom w:val="single" w:sz="24" w:space="0" w:color="FFFFFF" w:themeColor="background1"/>
            </w:tcBorders>
            <w:shd w:val="clear" w:color="auto" w:fill="D9D9D9" w:themeFill="background1" w:themeFillShade="D9"/>
            <w:vAlign w:val="center"/>
          </w:tcPr>
          <w:p w14:paraId="725E09DD" w14:textId="77777777" w:rsidR="00802828" w:rsidRPr="001A20A9" w:rsidRDefault="00802828" w:rsidP="00FC7062">
            <w:pPr>
              <w:spacing w:line="276" w:lineRule="auto"/>
              <w:jc w:val="center"/>
              <w:rPr>
                <w:rFonts w:asciiTheme="majorHAnsi" w:hAnsiTheme="majorHAnsi" w:cstheme="majorHAnsi"/>
                <w:b/>
                <w:sz w:val="20"/>
                <w:szCs w:val="20"/>
              </w:rPr>
            </w:pPr>
            <w:r w:rsidRPr="001A20A9">
              <w:rPr>
                <w:rFonts w:asciiTheme="majorHAnsi" w:hAnsiTheme="majorHAnsi" w:cstheme="majorHAnsi"/>
                <w:b/>
                <w:sz w:val="20"/>
                <w:szCs w:val="20"/>
              </w:rPr>
              <w:t>Cel operacyjny 4.1</w:t>
            </w:r>
          </w:p>
          <w:p w14:paraId="1CAD679C" w14:textId="77777777" w:rsidR="00802828" w:rsidRPr="001A20A9" w:rsidRDefault="0073042A" w:rsidP="00FC7062">
            <w:pPr>
              <w:spacing w:line="276" w:lineRule="auto"/>
              <w:jc w:val="center"/>
              <w:rPr>
                <w:rFonts w:asciiTheme="majorHAnsi" w:hAnsiTheme="majorHAnsi" w:cstheme="majorHAnsi"/>
                <w:sz w:val="20"/>
                <w:szCs w:val="20"/>
              </w:rPr>
            </w:pPr>
            <w:r w:rsidRPr="0073042A">
              <w:rPr>
                <w:rFonts w:asciiTheme="majorHAnsi" w:hAnsiTheme="majorHAnsi" w:cstheme="majorHAnsi"/>
                <w:sz w:val="20"/>
                <w:szCs w:val="20"/>
              </w:rPr>
              <w:t xml:space="preserve">Rozwój </w:t>
            </w:r>
            <w:proofErr w:type="spellStart"/>
            <w:r w:rsidRPr="0073042A">
              <w:rPr>
                <w:rFonts w:asciiTheme="majorHAnsi" w:hAnsiTheme="majorHAnsi" w:cstheme="majorHAnsi"/>
                <w:sz w:val="20"/>
                <w:szCs w:val="20"/>
              </w:rPr>
              <w:t>subregionalnego</w:t>
            </w:r>
            <w:proofErr w:type="spellEnd"/>
            <w:r w:rsidRPr="0073042A">
              <w:rPr>
                <w:rFonts w:asciiTheme="majorHAnsi" w:hAnsiTheme="majorHAnsi" w:cstheme="majorHAnsi"/>
                <w:sz w:val="20"/>
                <w:szCs w:val="20"/>
              </w:rPr>
              <w:t xml:space="preserve"> systemu opieki zdrowotnej</w:t>
            </w:r>
          </w:p>
        </w:tc>
      </w:tr>
      <w:tr w:rsidR="00B64802" w:rsidRPr="001A20A9" w14:paraId="0FE490BE" w14:textId="77777777" w:rsidTr="004A6B2F">
        <w:trPr>
          <w:trHeight w:val="20"/>
        </w:trPr>
        <w:tc>
          <w:tcPr>
            <w:tcW w:w="5000" w:type="pct"/>
            <w:tcBorders>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8D472BF" w14:textId="6D5116D5" w:rsidR="0073042A" w:rsidRDefault="0073042A" w:rsidP="00FC7062">
            <w:pPr>
              <w:spacing w:line="276" w:lineRule="auto"/>
              <w:jc w:val="both"/>
              <w:rPr>
                <w:rFonts w:asciiTheme="majorHAnsi" w:hAnsiTheme="majorHAnsi" w:cstheme="majorHAnsi"/>
                <w:sz w:val="20"/>
                <w:szCs w:val="20"/>
              </w:rPr>
            </w:pPr>
            <w:r w:rsidRPr="0073042A">
              <w:rPr>
                <w:rFonts w:asciiTheme="majorHAnsi" w:hAnsiTheme="majorHAnsi" w:cstheme="majorHAnsi"/>
                <w:sz w:val="20"/>
                <w:szCs w:val="20"/>
              </w:rPr>
              <w:t xml:space="preserve">Głównym problemem </w:t>
            </w:r>
            <w:r>
              <w:rPr>
                <w:rFonts w:asciiTheme="majorHAnsi" w:hAnsiTheme="majorHAnsi" w:cstheme="majorHAnsi"/>
                <w:sz w:val="20"/>
                <w:szCs w:val="20"/>
              </w:rPr>
              <w:t xml:space="preserve">OF </w:t>
            </w:r>
            <w:r w:rsidRPr="0073042A">
              <w:rPr>
                <w:rFonts w:asciiTheme="majorHAnsi" w:hAnsiTheme="majorHAnsi" w:cstheme="majorHAnsi"/>
                <w:sz w:val="20"/>
                <w:szCs w:val="20"/>
              </w:rPr>
              <w:t>jest niedoinwestowanie i zły stan infrastruktury zdrowotnej szpitali. Jakość i</w:t>
            </w:r>
            <w:r w:rsidR="007B7167">
              <w:rPr>
                <w:rFonts w:asciiTheme="majorHAnsi" w:hAnsiTheme="majorHAnsi" w:cstheme="majorHAnsi"/>
                <w:sz w:val="20"/>
                <w:szCs w:val="20"/>
              </w:rPr>
              <w:t> </w:t>
            </w:r>
            <w:r w:rsidRPr="0073042A">
              <w:rPr>
                <w:rFonts w:asciiTheme="majorHAnsi" w:hAnsiTheme="majorHAnsi" w:cstheme="majorHAnsi"/>
                <w:sz w:val="20"/>
                <w:szCs w:val="20"/>
              </w:rPr>
              <w:t>dostępność infrastruktury lecznictwa zamkniętego w Subregionie pozostaje nadal niewystarczająca w</w:t>
            </w:r>
            <w:r w:rsidR="007B7167">
              <w:rPr>
                <w:rFonts w:asciiTheme="majorHAnsi" w:hAnsiTheme="majorHAnsi" w:cstheme="majorHAnsi"/>
                <w:sz w:val="20"/>
                <w:szCs w:val="20"/>
              </w:rPr>
              <w:t> </w:t>
            </w:r>
            <w:r w:rsidRPr="0073042A">
              <w:rPr>
                <w:rFonts w:asciiTheme="majorHAnsi" w:hAnsiTheme="majorHAnsi" w:cstheme="majorHAnsi"/>
                <w:sz w:val="20"/>
                <w:szCs w:val="20"/>
              </w:rPr>
              <w:t>stosunku do występujących potrzeb. Konieczna jest zarówno odnowa placówek, jak i lepsze wyposażenie</w:t>
            </w:r>
            <w:r w:rsidR="00E01359">
              <w:rPr>
                <w:rFonts w:asciiTheme="majorHAnsi" w:hAnsiTheme="majorHAnsi" w:cstheme="majorHAnsi"/>
                <w:sz w:val="20"/>
                <w:szCs w:val="20"/>
              </w:rPr>
              <w:br/>
            </w:r>
            <w:r w:rsidRPr="0073042A">
              <w:rPr>
                <w:rFonts w:asciiTheme="majorHAnsi" w:hAnsiTheme="majorHAnsi" w:cstheme="majorHAnsi"/>
                <w:sz w:val="20"/>
                <w:szCs w:val="20"/>
              </w:rPr>
              <w:t xml:space="preserve"> ich w aparaturę i urządzenia diagnostyczne oraz służące terapii, ochronie życia i zdrowia pacjentów</w:t>
            </w:r>
            <w:r w:rsidR="00C13C9D">
              <w:rPr>
                <w:rFonts w:asciiTheme="majorHAnsi" w:hAnsiTheme="majorHAnsi" w:cstheme="majorHAnsi"/>
                <w:sz w:val="20"/>
                <w:szCs w:val="20"/>
              </w:rPr>
              <w:t>.</w:t>
            </w:r>
          </w:p>
          <w:p w14:paraId="4942E3FA" w14:textId="77777777" w:rsidR="00C13C9D" w:rsidRDefault="00C13C9D" w:rsidP="00FC7062">
            <w:pPr>
              <w:spacing w:line="276" w:lineRule="auto"/>
              <w:jc w:val="both"/>
              <w:rPr>
                <w:rFonts w:asciiTheme="majorHAnsi" w:hAnsiTheme="majorHAnsi" w:cstheme="majorHAnsi"/>
                <w:sz w:val="20"/>
                <w:szCs w:val="20"/>
              </w:rPr>
            </w:pPr>
          </w:p>
          <w:p w14:paraId="2630B873" w14:textId="0038C296" w:rsidR="00C13C9D" w:rsidRDefault="00C13C9D" w:rsidP="00FC7062">
            <w:pPr>
              <w:spacing w:line="276" w:lineRule="auto"/>
              <w:jc w:val="both"/>
              <w:rPr>
                <w:rFonts w:asciiTheme="majorHAnsi" w:hAnsiTheme="majorHAnsi" w:cstheme="majorHAnsi"/>
                <w:sz w:val="20"/>
                <w:szCs w:val="20"/>
              </w:rPr>
            </w:pPr>
            <w:r w:rsidRPr="00C13C9D">
              <w:rPr>
                <w:rFonts w:asciiTheme="majorHAnsi" w:hAnsiTheme="majorHAnsi" w:cstheme="majorHAnsi"/>
                <w:sz w:val="20"/>
                <w:szCs w:val="20"/>
              </w:rPr>
              <w:t xml:space="preserve">Inwestycje w tym obszarze polegają na zakupie dodatkowego wyposażenia oraz pracach inwestycyjnych (budowalnych) podnoszących funkcjonalność </w:t>
            </w:r>
            <w:r>
              <w:rPr>
                <w:rFonts w:asciiTheme="majorHAnsi" w:hAnsiTheme="majorHAnsi" w:cstheme="majorHAnsi"/>
                <w:sz w:val="20"/>
                <w:szCs w:val="20"/>
              </w:rPr>
              <w:t>szpitali powiatowych na terenie OF.</w:t>
            </w:r>
          </w:p>
          <w:p w14:paraId="3620EA52" w14:textId="77777777" w:rsidR="00C13C9D" w:rsidRDefault="00C13C9D" w:rsidP="00FC7062">
            <w:pPr>
              <w:spacing w:line="276" w:lineRule="auto"/>
              <w:jc w:val="both"/>
              <w:rPr>
                <w:rFonts w:asciiTheme="majorHAnsi" w:hAnsiTheme="majorHAnsi" w:cstheme="majorHAnsi"/>
                <w:sz w:val="20"/>
                <w:szCs w:val="20"/>
              </w:rPr>
            </w:pPr>
          </w:p>
          <w:p w14:paraId="27CA1DC3" w14:textId="7F04C2B3" w:rsidR="00B64802" w:rsidRPr="00E81AEF" w:rsidRDefault="002102EA" w:rsidP="00FC7062">
            <w:pPr>
              <w:spacing w:line="276" w:lineRule="auto"/>
              <w:jc w:val="both"/>
              <w:rPr>
                <w:rFonts w:asciiTheme="majorHAnsi" w:hAnsiTheme="majorHAnsi" w:cstheme="majorHAnsi"/>
                <w:sz w:val="20"/>
                <w:szCs w:val="20"/>
              </w:rPr>
            </w:pPr>
            <w:r w:rsidRPr="002102EA">
              <w:rPr>
                <w:rFonts w:asciiTheme="majorHAnsi" w:hAnsiTheme="majorHAnsi" w:cstheme="majorHAnsi"/>
                <w:sz w:val="20"/>
                <w:szCs w:val="20"/>
              </w:rPr>
              <w:t>Zaletą wspólnego przygotowania programów wsparcia dla powiatowych placówek szpitalnych, jest podział specjalizacji leczniczych w tych ośrodkach. Przy zapewnieniu skutecznej komunikacji pomiędzy placówkami szpitalnymi, dotyczącymi świadczonych usług oraz spójnej oferty dla mieszkańców uzyska się efekt wzrostu efektywności służby zdrowia zarówno w wymiarze ekonomicznym (brak konieczności utrzymywania tych samych oddziałów szpitalnych), jak i medycznym</w:t>
            </w:r>
            <w:r w:rsidR="00E81AEF">
              <w:rPr>
                <w:rFonts w:asciiTheme="majorHAnsi" w:hAnsiTheme="majorHAnsi" w:cstheme="majorHAnsi"/>
                <w:sz w:val="20"/>
                <w:szCs w:val="20"/>
              </w:rPr>
              <w:t xml:space="preserve"> - </w:t>
            </w:r>
            <w:r w:rsidRPr="002102EA">
              <w:rPr>
                <w:rFonts w:asciiTheme="majorHAnsi" w:hAnsiTheme="majorHAnsi" w:cstheme="majorHAnsi"/>
                <w:sz w:val="20"/>
                <w:szCs w:val="20"/>
              </w:rPr>
              <w:t>zakup profesjonalnego sprzętu bez jego dublowania w</w:t>
            </w:r>
            <w:r w:rsidR="007B7167">
              <w:rPr>
                <w:rFonts w:asciiTheme="majorHAnsi" w:hAnsiTheme="majorHAnsi" w:cstheme="majorHAnsi"/>
                <w:sz w:val="20"/>
                <w:szCs w:val="20"/>
              </w:rPr>
              <w:t> </w:t>
            </w:r>
            <w:r w:rsidRPr="002102EA">
              <w:rPr>
                <w:rFonts w:asciiTheme="majorHAnsi" w:hAnsiTheme="majorHAnsi" w:cstheme="majorHAnsi"/>
                <w:sz w:val="20"/>
                <w:szCs w:val="20"/>
              </w:rPr>
              <w:t>dwóch placówkach medycznych.</w:t>
            </w:r>
          </w:p>
        </w:tc>
      </w:tr>
    </w:tbl>
    <w:p w14:paraId="4E9186C4" w14:textId="77777777" w:rsidR="00997D31" w:rsidRDefault="00997D31" w:rsidP="00F61F12">
      <w:pPr>
        <w:spacing w:after="0" w:line="276" w:lineRule="auto"/>
        <w:rPr>
          <w:rFonts w:asciiTheme="majorHAnsi" w:hAnsiTheme="majorHAnsi" w:cstheme="majorHAnsi"/>
        </w:rPr>
      </w:pPr>
    </w:p>
    <w:tbl>
      <w:tblPr>
        <w:tblStyle w:val="Tabela-Siatka"/>
        <w:tblW w:w="5000" w:type="pct"/>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ook w:val="04A0" w:firstRow="1" w:lastRow="0" w:firstColumn="1" w:lastColumn="0" w:noHBand="0" w:noVBand="1"/>
      </w:tblPr>
      <w:tblGrid>
        <w:gridCol w:w="9010"/>
      </w:tblGrid>
      <w:tr w:rsidR="00735952" w:rsidRPr="0073042A" w14:paraId="699F95E0" w14:textId="77777777" w:rsidTr="004A6B2F">
        <w:trPr>
          <w:trHeight w:val="20"/>
        </w:trPr>
        <w:tc>
          <w:tcPr>
            <w:tcW w:w="5000" w:type="pct"/>
            <w:tcBorders>
              <w:bottom w:val="single" w:sz="24" w:space="0" w:color="FFFFFF" w:themeColor="background1"/>
            </w:tcBorders>
            <w:shd w:val="clear" w:color="auto" w:fill="D9D9D9" w:themeFill="background1" w:themeFillShade="D9"/>
            <w:vAlign w:val="center"/>
          </w:tcPr>
          <w:p w14:paraId="3FEBDA74" w14:textId="77777777" w:rsidR="00735952" w:rsidRPr="0073042A" w:rsidRDefault="00735952" w:rsidP="00F90FC4">
            <w:pPr>
              <w:spacing w:line="276" w:lineRule="auto"/>
              <w:jc w:val="center"/>
              <w:rPr>
                <w:rFonts w:asciiTheme="majorHAnsi" w:hAnsiTheme="majorHAnsi" w:cstheme="majorHAnsi"/>
                <w:b/>
                <w:sz w:val="20"/>
              </w:rPr>
            </w:pPr>
            <w:r>
              <w:rPr>
                <w:rFonts w:asciiTheme="majorHAnsi" w:hAnsiTheme="majorHAnsi" w:cstheme="majorHAnsi"/>
                <w:b/>
                <w:sz w:val="20"/>
              </w:rPr>
              <w:t>Cel operacyjny 4.2</w:t>
            </w:r>
          </w:p>
          <w:p w14:paraId="56287865" w14:textId="77777777" w:rsidR="00735952" w:rsidRPr="0073042A" w:rsidRDefault="00735952" w:rsidP="00735952">
            <w:pPr>
              <w:spacing w:line="276" w:lineRule="auto"/>
              <w:jc w:val="center"/>
              <w:rPr>
                <w:rFonts w:asciiTheme="majorHAnsi" w:hAnsiTheme="majorHAnsi" w:cstheme="majorHAnsi"/>
                <w:sz w:val="20"/>
              </w:rPr>
            </w:pPr>
            <w:r w:rsidRPr="0073042A">
              <w:rPr>
                <w:rFonts w:asciiTheme="majorHAnsi" w:hAnsiTheme="majorHAnsi" w:cstheme="majorHAnsi"/>
                <w:sz w:val="20"/>
              </w:rPr>
              <w:t xml:space="preserve">Profesjonalne usługi </w:t>
            </w:r>
            <w:r>
              <w:rPr>
                <w:rFonts w:asciiTheme="majorHAnsi" w:hAnsiTheme="majorHAnsi" w:cstheme="majorHAnsi"/>
                <w:sz w:val="20"/>
              </w:rPr>
              <w:t>edukacyjne</w:t>
            </w:r>
          </w:p>
        </w:tc>
      </w:tr>
      <w:tr w:rsidR="00735952" w:rsidRPr="00735952" w14:paraId="5A58C236" w14:textId="77777777" w:rsidTr="004A6B2F">
        <w:trPr>
          <w:trHeight w:val="352"/>
        </w:trPr>
        <w:tc>
          <w:tcPr>
            <w:tcW w:w="5000" w:type="pct"/>
            <w:tcBorders>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A45B4C0" w14:textId="771EA29B" w:rsidR="00735952" w:rsidRDefault="00735952" w:rsidP="00735952">
            <w:pPr>
              <w:spacing w:line="276" w:lineRule="auto"/>
              <w:jc w:val="both"/>
              <w:rPr>
                <w:rFonts w:asciiTheme="majorHAnsi" w:hAnsiTheme="majorHAnsi" w:cstheme="majorHAnsi"/>
                <w:sz w:val="20"/>
              </w:rPr>
            </w:pPr>
            <w:r w:rsidRPr="00735952">
              <w:rPr>
                <w:rFonts w:asciiTheme="majorHAnsi" w:hAnsiTheme="majorHAnsi" w:cstheme="majorHAnsi"/>
                <w:sz w:val="20"/>
              </w:rPr>
              <w:t>Rozwój najbardziej poszukiwanych kwalifikacji wymaga istnienia kompleksowego systemu edukacyjnego, w</w:t>
            </w:r>
            <w:r w:rsidR="007B7167">
              <w:rPr>
                <w:rFonts w:asciiTheme="majorHAnsi" w:hAnsiTheme="majorHAnsi" w:cstheme="majorHAnsi"/>
                <w:sz w:val="20"/>
              </w:rPr>
              <w:t> </w:t>
            </w:r>
            <w:r w:rsidRPr="00735952">
              <w:rPr>
                <w:rFonts w:asciiTheme="majorHAnsi" w:hAnsiTheme="majorHAnsi" w:cstheme="majorHAnsi"/>
                <w:sz w:val="20"/>
              </w:rPr>
              <w:t xml:space="preserve">tym kształcenia ustawicznego, umożliwiającego podnoszenie posiadanych umiejętności oraz reorientację zawodową. Niezbędne są inwestycje zmierzające do powiązania edukacji ze sferą gospodarczą. Działania </w:t>
            </w:r>
            <w:r w:rsidR="00E01359">
              <w:rPr>
                <w:rFonts w:asciiTheme="majorHAnsi" w:hAnsiTheme="majorHAnsi" w:cstheme="majorHAnsi"/>
                <w:sz w:val="20"/>
              </w:rPr>
              <w:br/>
            </w:r>
            <w:r w:rsidRPr="00735952">
              <w:rPr>
                <w:rFonts w:asciiTheme="majorHAnsi" w:hAnsiTheme="majorHAnsi" w:cstheme="majorHAnsi"/>
                <w:sz w:val="20"/>
              </w:rPr>
              <w:t>te przyczynią się niewątpliwie do pozytywnych zmian na rynku pracy i zaowocują w przyszłości rozwojem gospodarczym regionu oraz wzmocnią jego atrakcyjność jako miejsca lokowania inwestycji</w:t>
            </w:r>
            <w:r>
              <w:rPr>
                <w:rFonts w:asciiTheme="majorHAnsi" w:hAnsiTheme="majorHAnsi" w:cstheme="majorHAnsi"/>
                <w:sz w:val="20"/>
              </w:rPr>
              <w:t>.</w:t>
            </w:r>
          </w:p>
          <w:p w14:paraId="4F3405B0" w14:textId="77777777" w:rsidR="00735952" w:rsidRPr="00735952" w:rsidRDefault="00735952" w:rsidP="00735952">
            <w:pPr>
              <w:spacing w:line="276" w:lineRule="auto"/>
              <w:jc w:val="both"/>
              <w:rPr>
                <w:rFonts w:asciiTheme="majorHAnsi" w:hAnsiTheme="majorHAnsi" w:cstheme="majorHAnsi"/>
                <w:sz w:val="20"/>
              </w:rPr>
            </w:pPr>
          </w:p>
          <w:p w14:paraId="19CB05E9" w14:textId="77777777" w:rsidR="00735952" w:rsidRPr="00735952" w:rsidRDefault="00735952" w:rsidP="00735952">
            <w:pPr>
              <w:spacing w:line="276" w:lineRule="auto"/>
              <w:jc w:val="both"/>
              <w:rPr>
                <w:rFonts w:asciiTheme="majorHAnsi" w:hAnsiTheme="majorHAnsi" w:cstheme="majorHAnsi"/>
                <w:sz w:val="20"/>
              </w:rPr>
            </w:pPr>
            <w:r w:rsidRPr="00735952">
              <w:rPr>
                <w:rFonts w:asciiTheme="majorHAnsi" w:hAnsiTheme="majorHAnsi" w:cstheme="majorHAnsi"/>
                <w:sz w:val="20"/>
              </w:rPr>
              <w:t xml:space="preserve">Cel ten będzie realizowany poprzez inwestycje związane z infrastrukturą edukacji w </w:t>
            </w:r>
            <w:r w:rsidR="00E73C00">
              <w:rPr>
                <w:rFonts w:asciiTheme="majorHAnsi" w:hAnsiTheme="majorHAnsi" w:cstheme="majorHAnsi"/>
                <w:sz w:val="20"/>
              </w:rPr>
              <w:t>OF</w:t>
            </w:r>
            <w:r w:rsidRPr="00735952">
              <w:rPr>
                <w:rFonts w:asciiTheme="majorHAnsi" w:hAnsiTheme="majorHAnsi" w:cstheme="majorHAnsi"/>
                <w:sz w:val="20"/>
              </w:rPr>
              <w:t xml:space="preserve">. Ich zintegrowany charakter polega na wytypowaniu w skali Subregionu potrzeb, które skupiają się w następujących obszarach: </w:t>
            </w:r>
          </w:p>
          <w:p w14:paraId="1CAE6E60" w14:textId="2596A6CC" w:rsidR="00735952" w:rsidRPr="00735952" w:rsidRDefault="00735952" w:rsidP="00DA2106">
            <w:pPr>
              <w:pStyle w:val="Akapitzlist"/>
              <w:numPr>
                <w:ilvl w:val="0"/>
                <w:numId w:val="21"/>
              </w:numPr>
              <w:spacing w:line="276" w:lineRule="auto"/>
              <w:jc w:val="both"/>
              <w:rPr>
                <w:rFonts w:asciiTheme="majorHAnsi" w:hAnsiTheme="majorHAnsi" w:cstheme="majorHAnsi"/>
                <w:sz w:val="20"/>
              </w:rPr>
            </w:pPr>
            <w:r w:rsidRPr="00735952">
              <w:rPr>
                <w:rFonts w:asciiTheme="majorHAnsi" w:hAnsiTheme="majorHAnsi" w:cstheme="majorHAnsi"/>
                <w:sz w:val="20"/>
              </w:rPr>
              <w:t xml:space="preserve">Przyszkolna </w:t>
            </w:r>
            <w:r w:rsidR="00DA2106" w:rsidRPr="00DA2106">
              <w:rPr>
                <w:rFonts w:asciiTheme="majorHAnsi" w:hAnsiTheme="majorHAnsi" w:cstheme="majorHAnsi"/>
                <w:sz w:val="20"/>
              </w:rPr>
              <w:t xml:space="preserve">infrastruktura </w:t>
            </w:r>
            <w:r w:rsidRPr="00735952">
              <w:rPr>
                <w:rFonts w:asciiTheme="majorHAnsi" w:hAnsiTheme="majorHAnsi" w:cstheme="majorHAnsi"/>
                <w:sz w:val="20"/>
              </w:rPr>
              <w:t xml:space="preserve">sportowa, </w:t>
            </w:r>
          </w:p>
          <w:p w14:paraId="6ACD0B39" w14:textId="77777777" w:rsidR="00735952" w:rsidRPr="00735952" w:rsidRDefault="00735952" w:rsidP="00624F1F">
            <w:pPr>
              <w:pStyle w:val="Akapitzlist"/>
              <w:numPr>
                <w:ilvl w:val="0"/>
                <w:numId w:val="21"/>
              </w:numPr>
              <w:spacing w:line="276" w:lineRule="auto"/>
              <w:jc w:val="both"/>
              <w:rPr>
                <w:rFonts w:asciiTheme="majorHAnsi" w:hAnsiTheme="majorHAnsi" w:cstheme="majorHAnsi"/>
                <w:sz w:val="20"/>
              </w:rPr>
            </w:pPr>
            <w:r w:rsidRPr="00735952">
              <w:rPr>
                <w:rFonts w:asciiTheme="majorHAnsi" w:hAnsiTheme="majorHAnsi" w:cstheme="majorHAnsi"/>
                <w:sz w:val="20"/>
              </w:rPr>
              <w:t xml:space="preserve">Wyposażenie szkolnych pracowni tematycznych, </w:t>
            </w:r>
          </w:p>
          <w:p w14:paraId="57348C4E" w14:textId="77777777" w:rsidR="00E73C00" w:rsidRDefault="00735952" w:rsidP="00624F1F">
            <w:pPr>
              <w:pStyle w:val="Akapitzlist"/>
              <w:numPr>
                <w:ilvl w:val="0"/>
                <w:numId w:val="21"/>
              </w:numPr>
              <w:spacing w:line="276" w:lineRule="auto"/>
              <w:jc w:val="both"/>
              <w:rPr>
                <w:rFonts w:asciiTheme="majorHAnsi" w:hAnsiTheme="majorHAnsi" w:cstheme="majorHAnsi"/>
                <w:sz w:val="20"/>
              </w:rPr>
            </w:pPr>
            <w:r w:rsidRPr="00735952">
              <w:rPr>
                <w:rFonts w:asciiTheme="majorHAnsi" w:hAnsiTheme="majorHAnsi" w:cstheme="majorHAnsi"/>
                <w:sz w:val="20"/>
              </w:rPr>
              <w:t>Wzmocnienie p</w:t>
            </w:r>
            <w:r w:rsidR="00E73C00">
              <w:rPr>
                <w:rFonts w:asciiTheme="majorHAnsi" w:hAnsiTheme="majorHAnsi" w:cstheme="majorHAnsi"/>
                <w:sz w:val="20"/>
              </w:rPr>
              <w:t>owiatowych ośrodków kształcenia</w:t>
            </w:r>
            <w:r w:rsidRPr="00735952">
              <w:rPr>
                <w:rFonts w:asciiTheme="majorHAnsi" w:hAnsiTheme="majorHAnsi" w:cstheme="majorHAnsi"/>
                <w:sz w:val="20"/>
              </w:rPr>
              <w:t>.</w:t>
            </w:r>
          </w:p>
          <w:p w14:paraId="1F89B89A" w14:textId="77777777" w:rsidR="00DA2106" w:rsidRDefault="00DA2106" w:rsidP="00DA2106">
            <w:pPr>
              <w:pStyle w:val="Akapitzlist"/>
              <w:spacing w:line="276" w:lineRule="auto"/>
              <w:jc w:val="both"/>
              <w:rPr>
                <w:rFonts w:asciiTheme="majorHAnsi" w:hAnsiTheme="majorHAnsi" w:cstheme="majorHAnsi"/>
                <w:sz w:val="20"/>
              </w:rPr>
            </w:pPr>
          </w:p>
          <w:p w14:paraId="528CF630" w14:textId="066BF83B" w:rsidR="002275F9" w:rsidRDefault="002275F9" w:rsidP="00E73C00">
            <w:pPr>
              <w:spacing w:line="276" w:lineRule="auto"/>
              <w:jc w:val="both"/>
              <w:rPr>
                <w:rFonts w:asciiTheme="majorHAnsi" w:hAnsiTheme="majorHAnsi" w:cstheme="majorHAnsi"/>
                <w:sz w:val="20"/>
              </w:rPr>
            </w:pPr>
            <w:r w:rsidRPr="002275F9">
              <w:rPr>
                <w:rFonts w:asciiTheme="majorHAnsi" w:hAnsiTheme="majorHAnsi" w:cstheme="majorHAnsi"/>
                <w:sz w:val="20"/>
              </w:rPr>
              <w:t xml:space="preserve">Samorządy </w:t>
            </w:r>
            <w:r>
              <w:rPr>
                <w:rFonts w:asciiTheme="majorHAnsi" w:hAnsiTheme="majorHAnsi" w:cstheme="majorHAnsi"/>
                <w:sz w:val="20"/>
              </w:rPr>
              <w:t>wchodzące w skład OF</w:t>
            </w:r>
            <w:r w:rsidRPr="002275F9">
              <w:rPr>
                <w:rFonts w:asciiTheme="majorHAnsi" w:hAnsiTheme="majorHAnsi" w:cstheme="majorHAnsi"/>
                <w:sz w:val="20"/>
              </w:rPr>
              <w:t xml:space="preserve"> będąc organami prowadzącymi dla jednostek oświatowych mają szerokie możliwości działania na rzecz dostosowania edukacji wszystkich szczebli do potrzeb gospodarki i rynku pracy. W szczególności chodzi o zbudowanie zintegrowanej na poziomie </w:t>
            </w:r>
            <w:r>
              <w:rPr>
                <w:rFonts w:asciiTheme="majorHAnsi" w:hAnsiTheme="majorHAnsi" w:cstheme="majorHAnsi"/>
                <w:sz w:val="20"/>
              </w:rPr>
              <w:t>OF</w:t>
            </w:r>
            <w:r w:rsidRPr="002275F9">
              <w:rPr>
                <w:rFonts w:asciiTheme="majorHAnsi" w:hAnsiTheme="majorHAnsi" w:cstheme="majorHAnsi"/>
                <w:sz w:val="20"/>
              </w:rPr>
              <w:t xml:space="preserve"> oferty, która będzie się wzajemnie uzupełniała.</w:t>
            </w:r>
            <w:r>
              <w:rPr>
                <w:rFonts w:asciiTheme="majorHAnsi" w:hAnsiTheme="majorHAnsi" w:cstheme="majorHAnsi"/>
                <w:sz w:val="20"/>
              </w:rPr>
              <w:t xml:space="preserve"> Obszar </w:t>
            </w:r>
            <w:r w:rsidRPr="002275F9">
              <w:rPr>
                <w:rFonts w:asciiTheme="majorHAnsi" w:hAnsiTheme="majorHAnsi" w:cstheme="majorHAnsi"/>
                <w:sz w:val="20"/>
              </w:rPr>
              <w:t xml:space="preserve">z punktu widzenia uwarunkowań przestrzennych i demograficznych jest optymalny </w:t>
            </w:r>
            <w:r w:rsidR="00E01359">
              <w:rPr>
                <w:rFonts w:asciiTheme="majorHAnsi" w:hAnsiTheme="majorHAnsi" w:cstheme="majorHAnsi"/>
                <w:sz w:val="20"/>
              </w:rPr>
              <w:br/>
            </w:r>
            <w:r w:rsidRPr="002275F9">
              <w:rPr>
                <w:rFonts w:asciiTheme="majorHAnsi" w:hAnsiTheme="majorHAnsi" w:cstheme="majorHAnsi"/>
                <w:sz w:val="20"/>
              </w:rPr>
              <w:t>dla prowadzenia systematycznego monitoringu popytu na pracę, którego wyniki mogą być skutecznie wykorzystane w rzeczywistej działalności edukacyjnej.</w:t>
            </w:r>
          </w:p>
          <w:p w14:paraId="04CD6589" w14:textId="77777777" w:rsidR="00170F32" w:rsidRDefault="00170F32" w:rsidP="00E73C00">
            <w:pPr>
              <w:spacing w:line="276" w:lineRule="auto"/>
              <w:jc w:val="both"/>
              <w:rPr>
                <w:rFonts w:asciiTheme="majorHAnsi" w:hAnsiTheme="majorHAnsi" w:cstheme="majorHAnsi"/>
                <w:sz w:val="20"/>
              </w:rPr>
            </w:pPr>
          </w:p>
          <w:p w14:paraId="56BCE0EE" w14:textId="2F4069CC" w:rsidR="00170F32" w:rsidRDefault="00170F32" w:rsidP="00E73C00">
            <w:pPr>
              <w:spacing w:line="276" w:lineRule="auto"/>
              <w:jc w:val="both"/>
              <w:rPr>
                <w:rFonts w:asciiTheme="majorHAnsi" w:hAnsiTheme="majorHAnsi" w:cstheme="majorHAnsi"/>
                <w:sz w:val="20"/>
              </w:rPr>
            </w:pPr>
            <w:r>
              <w:rPr>
                <w:rFonts w:asciiTheme="majorHAnsi" w:hAnsiTheme="majorHAnsi" w:cstheme="majorHAnsi"/>
                <w:sz w:val="20"/>
              </w:rPr>
              <w:t>Z</w:t>
            </w:r>
            <w:r w:rsidRPr="00170F32">
              <w:rPr>
                <w:rFonts w:asciiTheme="majorHAnsi" w:hAnsiTheme="majorHAnsi" w:cstheme="majorHAnsi"/>
                <w:sz w:val="20"/>
              </w:rPr>
              <w:t xml:space="preserve">akłada się, że szkoła powinna wspierać ucznia w potwierdzeniu trafności wybranego przez niego zawodu oraz w podjęciu decyzji o wyborze dalszej ścieżki edukacyjnej czy w możliwym przekwalifikowaniu się i odnalezieniu na rynku pracy. Stąd w celu zapewnienia podjęcia racjonalnych decyzji i skuteczniejszego dostosowania oferty edukacyjnej do potrzeb regionalnego rynku pracy </w:t>
            </w:r>
            <w:r w:rsidR="00751E3F">
              <w:rPr>
                <w:rFonts w:asciiTheme="majorHAnsi" w:hAnsiTheme="majorHAnsi" w:cstheme="majorHAnsi"/>
                <w:sz w:val="20"/>
              </w:rPr>
              <w:t>p</w:t>
            </w:r>
            <w:r w:rsidRPr="00170F32">
              <w:rPr>
                <w:rFonts w:asciiTheme="majorHAnsi" w:hAnsiTheme="majorHAnsi" w:cstheme="majorHAnsi"/>
                <w:sz w:val="20"/>
              </w:rPr>
              <w:t xml:space="preserve">odejmowane będą również działania mające na celu podniesienie efektywności systemu doradztwa zawodowego. Doradztwo zawodowe prowadzone na wysokim poziomie może motywować uczniów do dalszej nauki oraz zapobiec nieprzemyślanym decyzjom dotyczącym dalszej kariery, co ma znaczenie dla </w:t>
            </w:r>
            <w:r w:rsidR="00C77B0F">
              <w:rPr>
                <w:rFonts w:asciiTheme="majorHAnsi" w:hAnsiTheme="majorHAnsi" w:cstheme="majorHAnsi"/>
                <w:sz w:val="20"/>
              </w:rPr>
              <w:t xml:space="preserve">ograniczenia </w:t>
            </w:r>
            <w:r w:rsidRPr="00170F32">
              <w:rPr>
                <w:rFonts w:asciiTheme="majorHAnsi" w:hAnsiTheme="majorHAnsi" w:cstheme="majorHAnsi"/>
                <w:sz w:val="20"/>
              </w:rPr>
              <w:t>wysokiego bezrobocia wśród młodych ludzi.</w:t>
            </w:r>
          </w:p>
          <w:p w14:paraId="270DF217" w14:textId="77777777" w:rsidR="00735952" w:rsidRPr="00E73C00" w:rsidRDefault="00735952" w:rsidP="00E73C00">
            <w:pPr>
              <w:spacing w:line="276" w:lineRule="auto"/>
              <w:jc w:val="both"/>
              <w:rPr>
                <w:rFonts w:asciiTheme="majorHAnsi" w:hAnsiTheme="majorHAnsi" w:cstheme="majorHAnsi"/>
                <w:sz w:val="20"/>
              </w:rPr>
            </w:pPr>
            <w:r w:rsidRPr="00E73C00">
              <w:rPr>
                <w:rFonts w:asciiTheme="majorHAnsi" w:hAnsiTheme="majorHAnsi" w:cstheme="majorHAnsi"/>
                <w:sz w:val="20"/>
              </w:rPr>
              <w:t xml:space="preserve"> </w:t>
            </w:r>
          </w:p>
          <w:p w14:paraId="5D0D17D9" w14:textId="33A6ADD7" w:rsidR="00735952" w:rsidRPr="000674AD" w:rsidRDefault="00735952" w:rsidP="008C6E88">
            <w:pPr>
              <w:spacing w:line="276" w:lineRule="auto"/>
              <w:jc w:val="both"/>
              <w:rPr>
                <w:rFonts w:asciiTheme="majorHAnsi" w:hAnsiTheme="majorHAnsi" w:cstheme="majorHAnsi"/>
                <w:sz w:val="20"/>
              </w:rPr>
            </w:pPr>
            <w:r w:rsidRPr="00735952">
              <w:rPr>
                <w:rFonts w:asciiTheme="majorHAnsi" w:hAnsiTheme="majorHAnsi" w:cstheme="majorHAnsi"/>
                <w:sz w:val="20"/>
              </w:rPr>
              <w:t>Poprzez realizacj</w:t>
            </w:r>
            <w:r w:rsidR="008151A6">
              <w:rPr>
                <w:rFonts w:asciiTheme="majorHAnsi" w:hAnsiTheme="majorHAnsi" w:cstheme="majorHAnsi"/>
                <w:sz w:val="20"/>
              </w:rPr>
              <w:t>ę</w:t>
            </w:r>
            <w:r w:rsidRPr="00735952">
              <w:rPr>
                <w:rFonts w:asciiTheme="majorHAnsi" w:hAnsiTheme="majorHAnsi" w:cstheme="majorHAnsi"/>
                <w:sz w:val="20"/>
              </w:rPr>
              <w:t xml:space="preserve"> tego </w:t>
            </w:r>
            <w:r w:rsidR="00DB6EEE">
              <w:rPr>
                <w:rFonts w:asciiTheme="majorHAnsi" w:hAnsiTheme="majorHAnsi" w:cstheme="majorHAnsi"/>
                <w:sz w:val="20"/>
              </w:rPr>
              <w:t xml:space="preserve">celu </w:t>
            </w:r>
            <w:r w:rsidRPr="00735952">
              <w:rPr>
                <w:rFonts w:asciiTheme="majorHAnsi" w:hAnsiTheme="majorHAnsi" w:cstheme="majorHAnsi"/>
                <w:sz w:val="20"/>
              </w:rPr>
              <w:t>mieszkańcy uzyskają dostęp do wysokiej jakości edukacji. Realizacj</w:t>
            </w:r>
            <w:r w:rsidR="008C6E88">
              <w:rPr>
                <w:rFonts w:asciiTheme="majorHAnsi" w:hAnsiTheme="majorHAnsi" w:cstheme="majorHAnsi"/>
                <w:sz w:val="20"/>
              </w:rPr>
              <w:t>a</w:t>
            </w:r>
            <w:r w:rsidRPr="00735952">
              <w:rPr>
                <w:rFonts w:asciiTheme="majorHAnsi" w:hAnsiTheme="majorHAnsi" w:cstheme="majorHAnsi"/>
                <w:sz w:val="20"/>
              </w:rPr>
              <w:t xml:space="preserve"> tych inwestycji w skali subregionu przyczyni się do wzmocnienia powiazania edukacji z rynkiem pracy, co przyczyni </w:t>
            </w:r>
            <w:r w:rsidR="00E01359">
              <w:rPr>
                <w:rFonts w:asciiTheme="majorHAnsi" w:hAnsiTheme="majorHAnsi" w:cstheme="majorHAnsi"/>
                <w:sz w:val="20"/>
              </w:rPr>
              <w:br/>
            </w:r>
            <w:r w:rsidRPr="00735952">
              <w:rPr>
                <w:rFonts w:asciiTheme="majorHAnsi" w:hAnsiTheme="majorHAnsi" w:cstheme="majorHAnsi"/>
                <w:sz w:val="20"/>
              </w:rPr>
              <w:t>się do niwelowania przyczyn występującej depopulacji. Skoordynowana polityka edukacyjna, oparta o dostęp do profesjonalnych zasobów szkół pozwoli na kształtowanie wysokiej jakości oferty dla dzieci i</w:t>
            </w:r>
            <w:r w:rsidR="007B7167">
              <w:rPr>
                <w:rFonts w:asciiTheme="majorHAnsi" w:hAnsiTheme="majorHAnsi" w:cstheme="majorHAnsi"/>
                <w:sz w:val="20"/>
              </w:rPr>
              <w:t> </w:t>
            </w:r>
            <w:r w:rsidRPr="00735952">
              <w:rPr>
                <w:rFonts w:asciiTheme="majorHAnsi" w:hAnsiTheme="majorHAnsi" w:cstheme="majorHAnsi"/>
                <w:sz w:val="20"/>
              </w:rPr>
              <w:t>młodzieży.</w:t>
            </w:r>
          </w:p>
        </w:tc>
      </w:tr>
    </w:tbl>
    <w:p w14:paraId="1C8FEF6C" w14:textId="77777777" w:rsidR="004A6B2F" w:rsidRDefault="004A6B2F" w:rsidP="00F61F12">
      <w:pPr>
        <w:spacing w:after="0" w:line="276" w:lineRule="auto"/>
        <w:rPr>
          <w:rFonts w:asciiTheme="majorHAnsi" w:hAnsiTheme="majorHAnsi" w:cstheme="majorHAnsi"/>
        </w:rPr>
      </w:pPr>
    </w:p>
    <w:tbl>
      <w:tblPr>
        <w:tblStyle w:val="Tabela-Siatka"/>
        <w:tblW w:w="5000" w:type="pct"/>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ook w:val="04A0" w:firstRow="1" w:lastRow="0" w:firstColumn="1" w:lastColumn="0" w:noHBand="0" w:noVBand="1"/>
      </w:tblPr>
      <w:tblGrid>
        <w:gridCol w:w="9010"/>
      </w:tblGrid>
      <w:tr w:rsidR="00997D31" w:rsidRPr="0073042A" w14:paraId="34980030" w14:textId="77777777" w:rsidTr="004A6B2F">
        <w:trPr>
          <w:trHeight w:val="20"/>
        </w:trPr>
        <w:tc>
          <w:tcPr>
            <w:tcW w:w="5000" w:type="pct"/>
            <w:tcBorders>
              <w:bottom w:val="single" w:sz="24" w:space="0" w:color="FFFFFF" w:themeColor="background1"/>
            </w:tcBorders>
            <w:shd w:val="clear" w:color="auto" w:fill="F2F2F2" w:themeFill="background1" w:themeFillShade="F2"/>
            <w:vAlign w:val="center"/>
          </w:tcPr>
          <w:p w14:paraId="45417875" w14:textId="77777777" w:rsidR="00997D31" w:rsidRPr="0073042A" w:rsidRDefault="000674AD" w:rsidP="00FC7062">
            <w:pPr>
              <w:spacing w:line="276" w:lineRule="auto"/>
              <w:jc w:val="center"/>
              <w:rPr>
                <w:rFonts w:asciiTheme="majorHAnsi" w:hAnsiTheme="majorHAnsi" w:cstheme="majorHAnsi"/>
                <w:b/>
                <w:sz w:val="20"/>
              </w:rPr>
            </w:pPr>
            <w:r>
              <w:rPr>
                <w:rFonts w:asciiTheme="majorHAnsi" w:hAnsiTheme="majorHAnsi" w:cstheme="majorHAnsi"/>
                <w:b/>
                <w:sz w:val="20"/>
              </w:rPr>
              <w:t>Cel operacyjny 4.3</w:t>
            </w:r>
          </w:p>
          <w:p w14:paraId="7BB6F312" w14:textId="77777777" w:rsidR="00997D31" w:rsidRPr="0073042A" w:rsidRDefault="00997D31" w:rsidP="00FC7062">
            <w:pPr>
              <w:spacing w:line="276" w:lineRule="auto"/>
              <w:jc w:val="center"/>
              <w:rPr>
                <w:rFonts w:asciiTheme="majorHAnsi" w:hAnsiTheme="majorHAnsi" w:cstheme="majorHAnsi"/>
                <w:sz w:val="20"/>
              </w:rPr>
            </w:pPr>
            <w:r w:rsidRPr="0073042A">
              <w:rPr>
                <w:rFonts w:asciiTheme="majorHAnsi" w:hAnsiTheme="majorHAnsi" w:cstheme="majorHAnsi"/>
                <w:sz w:val="20"/>
              </w:rPr>
              <w:t>Profesjonalne usługi społeczne</w:t>
            </w:r>
            <w:r w:rsidR="00E81AEF">
              <w:rPr>
                <w:rFonts w:asciiTheme="majorHAnsi" w:hAnsiTheme="majorHAnsi" w:cstheme="majorHAnsi"/>
                <w:sz w:val="20"/>
              </w:rPr>
              <w:t xml:space="preserve"> - </w:t>
            </w:r>
            <w:r w:rsidRPr="0073042A">
              <w:rPr>
                <w:rFonts w:asciiTheme="majorHAnsi" w:hAnsiTheme="majorHAnsi" w:cstheme="majorHAnsi"/>
                <w:sz w:val="20"/>
              </w:rPr>
              <w:t>opieka nad osobami starszymi</w:t>
            </w:r>
          </w:p>
        </w:tc>
      </w:tr>
      <w:tr w:rsidR="00997D31" w:rsidRPr="00997D31" w14:paraId="1B0E1347" w14:textId="77777777" w:rsidTr="004A6B2F">
        <w:trPr>
          <w:trHeight w:val="352"/>
        </w:trPr>
        <w:tc>
          <w:tcPr>
            <w:tcW w:w="5000" w:type="pct"/>
            <w:tcBorders>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64BF4A6" w14:textId="4D150C98" w:rsidR="00997D31" w:rsidRPr="00997D31" w:rsidRDefault="00997D31" w:rsidP="00FC7062">
            <w:pPr>
              <w:spacing w:line="276" w:lineRule="auto"/>
              <w:jc w:val="both"/>
              <w:rPr>
                <w:rFonts w:asciiTheme="majorHAnsi" w:hAnsiTheme="majorHAnsi" w:cstheme="majorHAnsi"/>
                <w:color w:val="000000" w:themeColor="text1"/>
                <w:sz w:val="20"/>
                <w:szCs w:val="24"/>
              </w:rPr>
            </w:pPr>
            <w:r w:rsidRPr="00997D31">
              <w:rPr>
                <w:rFonts w:asciiTheme="majorHAnsi" w:hAnsiTheme="majorHAnsi" w:cstheme="majorHAnsi"/>
                <w:color w:val="000000" w:themeColor="text1"/>
                <w:sz w:val="20"/>
                <w:szCs w:val="24"/>
              </w:rPr>
              <w:t>Podczas przeprowadzonych w ramach prac nad strategią warsztatów z zespołami roboczymi w każdym samorządzie wchodzącym w skład Obszaru zdiagnozowano, że do istotnych problemów społecznych należy rosnąca liczba osób starszych, mieszkających samotnie, któr</w:t>
            </w:r>
            <w:r w:rsidR="000F63C6">
              <w:rPr>
                <w:rFonts w:asciiTheme="majorHAnsi" w:hAnsiTheme="majorHAnsi" w:cstheme="majorHAnsi"/>
                <w:color w:val="000000" w:themeColor="text1"/>
                <w:sz w:val="20"/>
                <w:szCs w:val="24"/>
              </w:rPr>
              <w:t>e</w:t>
            </w:r>
            <w:r w:rsidRPr="00997D31">
              <w:rPr>
                <w:rFonts w:asciiTheme="majorHAnsi" w:hAnsiTheme="majorHAnsi" w:cstheme="majorHAnsi"/>
                <w:color w:val="000000" w:themeColor="text1"/>
                <w:sz w:val="20"/>
                <w:szCs w:val="24"/>
              </w:rPr>
              <w:t xml:space="preserve"> nie mogą liczyć na wsparcie rodzin. Wiąże się z</w:t>
            </w:r>
            <w:r w:rsidR="007B7167">
              <w:rPr>
                <w:rFonts w:asciiTheme="majorHAnsi" w:hAnsiTheme="majorHAnsi" w:cstheme="majorHAnsi"/>
                <w:color w:val="000000" w:themeColor="text1"/>
                <w:sz w:val="20"/>
                <w:szCs w:val="24"/>
              </w:rPr>
              <w:t> </w:t>
            </w:r>
            <w:r w:rsidRPr="00997D31">
              <w:rPr>
                <w:rFonts w:asciiTheme="majorHAnsi" w:hAnsiTheme="majorHAnsi" w:cstheme="majorHAnsi"/>
                <w:color w:val="000000" w:themeColor="text1"/>
                <w:sz w:val="20"/>
                <w:szCs w:val="24"/>
              </w:rPr>
              <w:t xml:space="preserve">tym ściśle zjawisko emigracji młodych ludzi i brak zainteresowania wśród emigrantów rodzinami pozostającymi w </w:t>
            </w:r>
            <w:r>
              <w:rPr>
                <w:rFonts w:asciiTheme="majorHAnsi" w:hAnsiTheme="majorHAnsi" w:cstheme="majorHAnsi"/>
                <w:color w:val="000000" w:themeColor="text1"/>
                <w:sz w:val="20"/>
                <w:szCs w:val="24"/>
              </w:rPr>
              <w:t>OF</w:t>
            </w:r>
            <w:r w:rsidRPr="00997D31">
              <w:rPr>
                <w:rFonts w:asciiTheme="majorHAnsi" w:hAnsiTheme="majorHAnsi" w:cstheme="majorHAnsi"/>
                <w:color w:val="000000" w:themeColor="text1"/>
                <w:sz w:val="20"/>
                <w:szCs w:val="24"/>
              </w:rPr>
              <w:t xml:space="preserve">. </w:t>
            </w:r>
          </w:p>
          <w:p w14:paraId="6AF55B85" w14:textId="4B0A016F" w:rsidR="00997D31" w:rsidRPr="00997D31" w:rsidRDefault="00997D31" w:rsidP="00FC7062">
            <w:pPr>
              <w:spacing w:line="276" w:lineRule="auto"/>
              <w:jc w:val="both"/>
              <w:rPr>
                <w:rFonts w:asciiTheme="majorHAnsi" w:hAnsiTheme="majorHAnsi" w:cstheme="majorHAnsi"/>
                <w:color w:val="000000" w:themeColor="text1"/>
                <w:sz w:val="20"/>
                <w:szCs w:val="24"/>
              </w:rPr>
            </w:pPr>
            <w:r w:rsidRPr="00997D31">
              <w:rPr>
                <w:rFonts w:asciiTheme="majorHAnsi" w:hAnsiTheme="majorHAnsi" w:cstheme="majorHAnsi"/>
                <w:color w:val="000000" w:themeColor="text1"/>
                <w:sz w:val="20"/>
                <w:szCs w:val="24"/>
              </w:rPr>
              <w:t xml:space="preserve">Proponowane typy projektów do realizacji w wymiarze </w:t>
            </w:r>
            <w:proofErr w:type="spellStart"/>
            <w:r w:rsidRPr="00997D31">
              <w:rPr>
                <w:rFonts w:asciiTheme="majorHAnsi" w:hAnsiTheme="majorHAnsi" w:cstheme="majorHAnsi"/>
                <w:color w:val="000000" w:themeColor="text1"/>
                <w:sz w:val="20"/>
                <w:szCs w:val="24"/>
              </w:rPr>
              <w:t>subregionalnym</w:t>
            </w:r>
            <w:proofErr w:type="spellEnd"/>
            <w:r w:rsidRPr="00997D31">
              <w:rPr>
                <w:rFonts w:asciiTheme="majorHAnsi" w:hAnsiTheme="majorHAnsi" w:cstheme="majorHAnsi"/>
                <w:color w:val="000000" w:themeColor="text1"/>
                <w:sz w:val="20"/>
                <w:szCs w:val="24"/>
              </w:rPr>
              <w:t xml:space="preserve"> przedstawiają się następująco:</w:t>
            </w:r>
            <w:r w:rsidR="007B04A7">
              <w:rPr>
                <w:rFonts w:asciiTheme="majorHAnsi" w:hAnsiTheme="majorHAnsi" w:cstheme="majorHAnsi"/>
                <w:color w:val="000000" w:themeColor="text1"/>
                <w:sz w:val="20"/>
                <w:szCs w:val="24"/>
              </w:rPr>
              <w:t xml:space="preserve"> </w:t>
            </w:r>
          </w:p>
          <w:p w14:paraId="61C4E7A3" w14:textId="77777777" w:rsidR="00997D31" w:rsidRPr="00997D31" w:rsidRDefault="00997D31" w:rsidP="00624F1F">
            <w:pPr>
              <w:pStyle w:val="Akapitzlist"/>
              <w:numPr>
                <w:ilvl w:val="0"/>
                <w:numId w:val="19"/>
              </w:numPr>
              <w:spacing w:line="276" w:lineRule="auto"/>
              <w:jc w:val="both"/>
              <w:rPr>
                <w:rFonts w:asciiTheme="majorHAnsi" w:hAnsiTheme="majorHAnsi" w:cstheme="majorHAnsi"/>
                <w:color w:val="000000" w:themeColor="text1"/>
                <w:sz w:val="20"/>
                <w:szCs w:val="24"/>
              </w:rPr>
            </w:pPr>
            <w:r w:rsidRPr="00997D31">
              <w:rPr>
                <w:rFonts w:asciiTheme="majorHAnsi" w:hAnsiTheme="majorHAnsi" w:cstheme="majorHAnsi"/>
                <w:sz w:val="20"/>
              </w:rPr>
              <w:t>Tworzenie mieszkań chronionych</w:t>
            </w:r>
          </w:p>
          <w:p w14:paraId="59F74ED3" w14:textId="77777777" w:rsidR="00997D31" w:rsidRPr="00997D31" w:rsidRDefault="00997D31" w:rsidP="00624F1F">
            <w:pPr>
              <w:pStyle w:val="Akapitzlist"/>
              <w:numPr>
                <w:ilvl w:val="0"/>
                <w:numId w:val="19"/>
              </w:numPr>
              <w:spacing w:line="276" w:lineRule="auto"/>
              <w:jc w:val="both"/>
              <w:rPr>
                <w:rFonts w:asciiTheme="majorHAnsi" w:hAnsiTheme="majorHAnsi" w:cstheme="majorHAnsi"/>
                <w:color w:val="000000" w:themeColor="text1"/>
                <w:sz w:val="20"/>
                <w:szCs w:val="24"/>
              </w:rPr>
            </w:pPr>
            <w:r w:rsidRPr="00997D31">
              <w:rPr>
                <w:rFonts w:asciiTheme="majorHAnsi" w:hAnsiTheme="majorHAnsi" w:cstheme="majorHAnsi"/>
                <w:sz w:val="20"/>
              </w:rPr>
              <w:t>Budowa domów spokojnej starości</w:t>
            </w:r>
          </w:p>
          <w:p w14:paraId="7F97E318" w14:textId="77777777" w:rsidR="00997D31" w:rsidRPr="0020562F" w:rsidRDefault="00997D31" w:rsidP="00624F1F">
            <w:pPr>
              <w:pStyle w:val="Akapitzlist"/>
              <w:numPr>
                <w:ilvl w:val="0"/>
                <w:numId w:val="19"/>
              </w:numPr>
              <w:spacing w:line="276" w:lineRule="auto"/>
              <w:jc w:val="both"/>
              <w:rPr>
                <w:rFonts w:asciiTheme="majorHAnsi" w:hAnsiTheme="majorHAnsi" w:cstheme="majorHAnsi"/>
                <w:color w:val="000000" w:themeColor="text1"/>
                <w:sz w:val="20"/>
                <w:szCs w:val="24"/>
              </w:rPr>
            </w:pPr>
            <w:r w:rsidRPr="00997D31">
              <w:rPr>
                <w:rFonts w:asciiTheme="majorHAnsi" w:hAnsiTheme="majorHAnsi" w:cstheme="majorHAnsi"/>
                <w:sz w:val="20"/>
              </w:rPr>
              <w:t>Dzienne domy opieki dla osób starszych</w:t>
            </w:r>
          </w:p>
          <w:p w14:paraId="00F005E3" w14:textId="77777777" w:rsidR="00997D31" w:rsidRDefault="00997D31" w:rsidP="00FC7062">
            <w:pPr>
              <w:spacing w:line="276" w:lineRule="auto"/>
              <w:jc w:val="both"/>
              <w:rPr>
                <w:rFonts w:asciiTheme="majorHAnsi" w:hAnsiTheme="majorHAnsi" w:cstheme="majorHAnsi"/>
                <w:sz w:val="20"/>
                <w:szCs w:val="24"/>
              </w:rPr>
            </w:pPr>
          </w:p>
          <w:p w14:paraId="131E73D0" w14:textId="4EA21FCE" w:rsidR="00997D31" w:rsidRDefault="00997D31" w:rsidP="00FC7062">
            <w:pPr>
              <w:spacing w:line="276" w:lineRule="auto"/>
              <w:jc w:val="both"/>
              <w:rPr>
                <w:rFonts w:asciiTheme="majorHAnsi" w:hAnsiTheme="majorHAnsi" w:cstheme="majorHAnsi"/>
                <w:sz w:val="20"/>
                <w:szCs w:val="24"/>
              </w:rPr>
            </w:pPr>
            <w:r w:rsidRPr="00997D31">
              <w:rPr>
                <w:rFonts w:asciiTheme="majorHAnsi" w:hAnsiTheme="majorHAnsi" w:cstheme="majorHAnsi"/>
                <w:sz w:val="20"/>
                <w:szCs w:val="24"/>
              </w:rPr>
              <w:t xml:space="preserve">W zgodnej opinii samorządowców </w:t>
            </w:r>
            <w:r w:rsidR="0020562F">
              <w:rPr>
                <w:rFonts w:asciiTheme="majorHAnsi" w:hAnsiTheme="majorHAnsi" w:cstheme="majorHAnsi"/>
                <w:sz w:val="20"/>
                <w:szCs w:val="24"/>
              </w:rPr>
              <w:t>OF</w:t>
            </w:r>
            <w:r w:rsidRPr="00997D31">
              <w:rPr>
                <w:rFonts w:asciiTheme="majorHAnsi" w:hAnsiTheme="majorHAnsi" w:cstheme="majorHAnsi"/>
                <w:sz w:val="20"/>
                <w:szCs w:val="24"/>
              </w:rPr>
              <w:t xml:space="preserve"> zadanie to może być realizowane jedynie wspólnie, przy uwzględnieniu całego obszaru, jak i zapewnienia oferty stosowanej do zapotrzebowania. Z uwagi na fakt, </w:t>
            </w:r>
            <w:r w:rsidR="000F63C6">
              <w:rPr>
                <w:rFonts w:asciiTheme="majorHAnsi" w:hAnsiTheme="majorHAnsi" w:cstheme="majorHAnsi"/>
                <w:sz w:val="20"/>
                <w:szCs w:val="24"/>
              </w:rPr>
              <w:t>ż</w:t>
            </w:r>
            <w:r w:rsidRPr="00997D31">
              <w:rPr>
                <w:rFonts w:asciiTheme="majorHAnsi" w:hAnsiTheme="majorHAnsi" w:cstheme="majorHAnsi"/>
                <w:sz w:val="20"/>
                <w:szCs w:val="24"/>
              </w:rPr>
              <w:t>e usług</w:t>
            </w:r>
            <w:r w:rsidR="000F63C6">
              <w:rPr>
                <w:rFonts w:asciiTheme="majorHAnsi" w:hAnsiTheme="majorHAnsi" w:cstheme="majorHAnsi"/>
                <w:sz w:val="20"/>
                <w:szCs w:val="24"/>
              </w:rPr>
              <w:t>i</w:t>
            </w:r>
            <w:r w:rsidRPr="00997D31">
              <w:rPr>
                <w:rFonts w:asciiTheme="majorHAnsi" w:hAnsiTheme="majorHAnsi" w:cstheme="majorHAnsi"/>
                <w:sz w:val="20"/>
                <w:szCs w:val="24"/>
              </w:rPr>
              <w:t xml:space="preserve"> opieki nad osobami starszymi mogą być świadczone zarówno przez sektor prywatny jak i publiczny konieczne jest przygotowanie </w:t>
            </w:r>
            <w:proofErr w:type="spellStart"/>
            <w:r w:rsidRPr="00997D31">
              <w:rPr>
                <w:rFonts w:asciiTheme="majorHAnsi" w:hAnsiTheme="majorHAnsi" w:cstheme="majorHAnsi"/>
                <w:sz w:val="20"/>
                <w:szCs w:val="24"/>
              </w:rPr>
              <w:t>subregionalnego</w:t>
            </w:r>
            <w:proofErr w:type="spellEnd"/>
            <w:r w:rsidRPr="00997D31">
              <w:rPr>
                <w:rFonts w:asciiTheme="majorHAnsi" w:hAnsiTheme="majorHAnsi" w:cstheme="majorHAnsi"/>
                <w:sz w:val="20"/>
                <w:szCs w:val="24"/>
              </w:rPr>
              <w:t xml:space="preserve"> planu/programu wsparcia seniorów, który wskazywałby realne zapotrzebowanie na tego typu usługi i wskazywałby konkretne lokalizacje i rozwiązania stosowne do możliwości poszczególnych samorządów.</w:t>
            </w:r>
          </w:p>
          <w:p w14:paraId="124DBBB2" w14:textId="77777777" w:rsidR="0020562F" w:rsidRPr="00997D31" w:rsidRDefault="0020562F" w:rsidP="00FC7062">
            <w:pPr>
              <w:spacing w:line="276" w:lineRule="auto"/>
              <w:jc w:val="both"/>
              <w:rPr>
                <w:rFonts w:asciiTheme="majorHAnsi" w:hAnsiTheme="majorHAnsi" w:cstheme="majorHAnsi"/>
                <w:sz w:val="20"/>
                <w:szCs w:val="24"/>
              </w:rPr>
            </w:pPr>
          </w:p>
          <w:p w14:paraId="4B26656E" w14:textId="64021852" w:rsidR="00997D31" w:rsidRPr="00007163" w:rsidRDefault="00997D31" w:rsidP="00FC7062">
            <w:pPr>
              <w:spacing w:line="276" w:lineRule="auto"/>
              <w:jc w:val="both"/>
              <w:rPr>
                <w:rFonts w:asciiTheme="majorHAnsi" w:hAnsiTheme="majorHAnsi" w:cstheme="majorHAnsi"/>
                <w:iCs/>
                <w:sz w:val="20"/>
                <w:lang w:eastAsia="pl-PL"/>
              </w:rPr>
            </w:pPr>
            <w:r w:rsidRPr="00997D31">
              <w:rPr>
                <w:rFonts w:asciiTheme="majorHAnsi" w:hAnsiTheme="majorHAnsi" w:cstheme="majorHAnsi"/>
                <w:sz w:val="20"/>
                <w:szCs w:val="24"/>
              </w:rPr>
              <w:t>Rosnąca liczba osób starszych na obszarze Subregionu staje się wyzwaniem cywilizacyjnym. Uzasadnioną potrzebą jest budowa/tworzenie obiektów służących osobom starszym. Optymalnym rozwiązaniem jest tworzenie specjalnych miejsc, stref przeznaczonych wyłącznie dla osób starszych (np. mieszkania chronione).</w:t>
            </w:r>
            <w:r w:rsidR="007B04A7">
              <w:rPr>
                <w:rFonts w:asciiTheme="majorHAnsi" w:hAnsiTheme="majorHAnsi" w:cstheme="majorHAnsi"/>
                <w:iCs/>
                <w:sz w:val="20"/>
                <w:lang w:eastAsia="pl-PL"/>
              </w:rPr>
              <w:t xml:space="preserve"> </w:t>
            </w:r>
          </w:p>
        </w:tc>
      </w:tr>
    </w:tbl>
    <w:p w14:paraId="6E29300F" w14:textId="463FF722" w:rsidR="00F76286" w:rsidRDefault="00F76286" w:rsidP="00F61F12">
      <w:pPr>
        <w:spacing w:after="0" w:line="276" w:lineRule="auto"/>
        <w:rPr>
          <w:rFonts w:asciiTheme="majorHAnsi" w:hAnsiTheme="majorHAnsi" w:cstheme="majorHAnsi"/>
        </w:rPr>
      </w:pPr>
    </w:p>
    <w:tbl>
      <w:tblPr>
        <w:tblStyle w:val="Tabela-Siatka"/>
        <w:tblW w:w="5000" w:type="pct"/>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ook w:val="04A0" w:firstRow="1" w:lastRow="0" w:firstColumn="1" w:lastColumn="0" w:noHBand="0" w:noVBand="1"/>
      </w:tblPr>
      <w:tblGrid>
        <w:gridCol w:w="9010"/>
      </w:tblGrid>
      <w:tr w:rsidR="00802828" w:rsidRPr="00E81AEF" w14:paraId="619A41E5" w14:textId="77777777" w:rsidTr="004A6B2F">
        <w:trPr>
          <w:trHeight w:val="20"/>
        </w:trPr>
        <w:tc>
          <w:tcPr>
            <w:tcW w:w="5000" w:type="pct"/>
            <w:tcBorders>
              <w:bottom w:val="single" w:sz="24" w:space="0" w:color="FFFFFF" w:themeColor="background1"/>
            </w:tcBorders>
            <w:shd w:val="clear" w:color="auto" w:fill="D9D9D9" w:themeFill="background1" w:themeFillShade="D9"/>
            <w:vAlign w:val="center"/>
          </w:tcPr>
          <w:p w14:paraId="3B9AABB1" w14:textId="77777777" w:rsidR="00802828" w:rsidRPr="00E81AEF" w:rsidRDefault="00E1134A" w:rsidP="00FC7062">
            <w:pPr>
              <w:spacing w:line="276" w:lineRule="auto"/>
              <w:jc w:val="center"/>
              <w:rPr>
                <w:rFonts w:asciiTheme="majorHAnsi" w:hAnsiTheme="majorHAnsi" w:cstheme="majorHAnsi"/>
                <w:b/>
                <w:sz w:val="20"/>
                <w:szCs w:val="20"/>
              </w:rPr>
            </w:pPr>
            <w:r>
              <w:rPr>
                <w:rFonts w:asciiTheme="majorHAnsi" w:hAnsiTheme="majorHAnsi" w:cstheme="majorHAnsi"/>
                <w:b/>
                <w:sz w:val="20"/>
                <w:szCs w:val="20"/>
              </w:rPr>
              <w:t>C</w:t>
            </w:r>
            <w:r w:rsidR="000674AD">
              <w:rPr>
                <w:rFonts w:asciiTheme="majorHAnsi" w:hAnsiTheme="majorHAnsi" w:cstheme="majorHAnsi"/>
                <w:b/>
                <w:sz w:val="20"/>
                <w:szCs w:val="20"/>
              </w:rPr>
              <w:t>el operacyjny 4.4</w:t>
            </w:r>
          </w:p>
          <w:p w14:paraId="37B97A6C" w14:textId="77777777" w:rsidR="00802828" w:rsidRPr="00E81AEF" w:rsidRDefault="00003064" w:rsidP="00FC7062">
            <w:pPr>
              <w:spacing w:line="276" w:lineRule="auto"/>
              <w:jc w:val="center"/>
              <w:rPr>
                <w:rFonts w:asciiTheme="majorHAnsi" w:hAnsiTheme="majorHAnsi" w:cstheme="majorHAnsi"/>
                <w:sz w:val="20"/>
                <w:szCs w:val="20"/>
              </w:rPr>
            </w:pPr>
            <w:r w:rsidRPr="00E81AEF">
              <w:rPr>
                <w:rFonts w:asciiTheme="majorHAnsi" w:hAnsiTheme="majorHAnsi" w:cstheme="majorHAnsi"/>
                <w:sz w:val="20"/>
                <w:szCs w:val="20"/>
              </w:rPr>
              <w:t xml:space="preserve">Aktywy senior </w:t>
            </w:r>
          </w:p>
        </w:tc>
      </w:tr>
      <w:tr w:rsidR="00B64802" w:rsidRPr="00003064" w14:paraId="6AC58219" w14:textId="77777777" w:rsidTr="004A6B2F">
        <w:trPr>
          <w:trHeight w:val="20"/>
        </w:trPr>
        <w:tc>
          <w:tcPr>
            <w:tcW w:w="5000" w:type="pct"/>
            <w:tcBorders>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5DEE506" w14:textId="25D04AE1" w:rsidR="00003064" w:rsidRPr="00F76286" w:rsidRDefault="00003064" w:rsidP="00FC7062">
            <w:pPr>
              <w:spacing w:line="276" w:lineRule="auto"/>
              <w:jc w:val="both"/>
              <w:rPr>
                <w:rFonts w:asciiTheme="majorHAnsi" w:hAnsiTheme="majorHAnsi" w:cstheme="majorHAnsi"/>
                <w:sz w:val="20"/>
              </w:rPr>
            </w:pPr>
            <w:r w:rsidRPr="00F76286">
              <w:rPr>
                <w:rFonts w:asciiTheme="majorHAnsi" w:hAnsiTheme="majorHAnsi" w:cstheme="majorHAnsi"/>
                <w:sz w:val="20"/>
              </w:rPr>
              <w:t xml:space="preserve">W kontekście depopulacji w Obszarze konieczne jest podejmowanie działań na rzecz wzmocnienia aktywności edukacyjnej, społecznej i kulturalnej osób starszych. Konieczne są </w:t>
            </w:r>
            <w:r w:rsidR="00F76286" w:rsidRPr="00F76286">
              <w:rPr>
                <w:rFonts w:asciiTheme="majorHAnsi" w:hAnsiTheme="majorHAnsi" w:cstheme="majorHAnsi"/>
                <w:sz w:val="20"/>
              </w:rPr>
              <w:t xml:space="preserve">działania </w:t>
            </w:r>
            <w:r w:rsidRPr="00F76286">
              <w:rPr>
                <w:rFonts w:asciiTheme="majorHAnsi" w:hAnsiTheme="majorHAnsi" w:cstheme="majorHAnsi"/>
                <w:sz w:val="20"/>
              </w:rPr>
              <w:t>na rzecz rozwoju usług społecznych, bezpośrednio i pośrednio związanych ze zdrowiem, takich jak: sport, turystyka, rekreacja. Wzmocnienia wymagają również działania na rzecz profilaktyki zdrowia oraz profilaktyki społecznej.</w:t>
            </w:r>
          </w:p>
          <w:p w14:paraId="03051A88" w14:textId="77777777" w:rsidR="00003064" w:rsidRPr="00F76286" w:rsidRDefault="00003064" w:rsidP="00FC7062">
            <w:pPr>
              <w:spacing w:line="276" w:lineRule="auto"/>
              <w:jc w:val="both"/>
              <w:rPr>
                <w:rFonts w:asciiTheme="majorHAnsi" w:hAnsiTheme="majorHAnsi" w:cstheme="majorHAnsi"/>
                <w:sz w:val="20"/>
              </w:rPr>
            </w:pPr>
          </w:p>
          <w:p w14:paraId="75D796EA" w14:textId="7A0171E7" w:rsidR="00B64802" w:rsidRPr="00997D31" w:rsidRDefault="00003064" w:rsidP="00F76286">
            <w:pPr>
              <w:spacing w:line="276" w:lineRule="auto"/>
              <w:jc w:val="both"/>
              <w:rPr>
                <w:rFonts w:asciiTheme="majorHAnsi" w:hAnsiTheme="majorHAnsi" w:cstheme="majorHAnsi"/>
                <w:sz w:val="20"/>
              </w:rPr>
            </w:pPr>
            <w:r w:rsidRPr="00F76286">
              <w:rPr>
                <w:rFonts w:asciiTheme="majorHAnsi" w:hAnsiTheme="majorHAnsi" w:cstheme="majorHAnsi"/>
                <w:sz w:val="20"/>
              </w:rPr>
              <w:t>Samorządy OF świadome są wagi działań polegających na włączeniu osób starszych w życie społeczne a</w:t>
            </w:r>
            <w:r w:rsidR="007B7167" w:rsidRPr="00F76286">
              <w:rPr>
                <w:rFonts w:asciiTheme="majorHAnsi" w:hAnsiTheme="majorHAnsi" w:cstheme="majorHAnsi"/>
                <w:sz w:val="20"/>
              </w:rPr>
              <w:t> </w:t>
            </w:r>
            <w:r w:rsidRPr="00F76286">
              <w:rPr>
                <w:rFonts w:asciiTheme="majorHAnsi" w:hAnsiTheme="majorHAnsi" w:cstheme="majorHAnsi"/>
                <w:sz w:val="20"/>
              </w:rPr>
              <w:t>zwłaszcza zawodow</w:t>
            </w:r>
            <w:r w:rsidR="00F76286" w:rsidRPr="00F76286">
              <w:rPr>
                <w:rFonts w:asciiTheme="majorHAnsi" w:hAnsiTheme="majorHAnsi" w:cstheme="majorHAnsi"/>
                <w:sz w:val="20"/>
              </w:rPr>
              <w:t>e</w:t>
            </w:r>
            <w:r w:rsidRPr="00F76286">
              <w:rPr>
                <w:rFonts w:asciiTheme="majorHAnsi" w:hAnsiTheme="majorHAnsi" w:cstheme="majorHAnsi"/>
                <w:sz w:val="20"/>
              </w:rPr>
              <w:t xml:space="preserve">. </w:t>
            </w:r>
            <w:r w:rsidR="000F63C6" w:rsidRPr="00F76286">
              <w:rPr>
                <w:rFonts w:asciiTheme="majorHAnsi" w:hAnsiTheme="majorHAnsi" w:cstheme="majorHAnsi"/>
                <w:sz w:val="20"/>
              </w:rPr>
              <w:t>Wysoki poziom</w:t>
            </w:r>
            <w:r w:rsidRPr="00F76286">
              <w:rPr>
                <w:rFonts w:asciiTheme="majorHAnsi" w:hAnsiTheme="majorHAnsi" w:cstheme="majorHAnsi"/>
                <w:sz w:val="20"/>
              </w:rPr>
              <w:t xml:space="preserve"> migracji osób młodych, </w:t>
            </w:r>
            <w:r w:rsidR="000F63C6" w:rsidRPr="00F76286">
              <w:rPr>
                <w:rFonts w:asciiTheme="majorHAnsi" w:hAnsiTheme="majorHAnsi" w:cstheme="majorHAnsi"/>
                <w:sz w:val="20"/>
              </w:rPr>
              <w:t>głównie ze względów ekonomicznych,</w:t>
            </w:r>
            <w:r w:rsidRPr="00F76286">
              <w:rPr>
                <w:rFonts w:asciiTheme="majorHAnsi" w:hAnsiTheme="majorHAnsi" w:cstheme="majorHAnsi"/>
                <w:sz w:val="20"/>
              </w:rPr>
              <w:t xml:space="preserve"> powoduje luki na rynku pracy</w:t>
            </w:r>
            <w:r w:rsidR="009327EE" w:rsidRPr="00F76286">
              <w:rPr>
                <w:rFonts w:asciiTheme="majorHAnsi" w:hAnsiTheme="majorHAnsi" w:cstheme="majorHAnsi"/>
                <w:sz w:val="20"/>
              </w:rPr>
              <w:t xml:space="preserve"> i niedobory w</w:t>
            </w:r>
            <w:r w:rsidRPr="00F76286">
              <w:rPr>
                <w:rFonts w:asciiTheme="majorHAnsi" w:hAnsiTheme="majorHAnsi" w:cstheme="majorHAnsi"/>
                <w:sz w:val="20"/>
              </w:rPr>
              <w:t xml:space="preserve"> podaży pracowników. Planowane projekty aktywizujące seniorów na rynku pracy w </w:t>
            </w:r>
            <w:r w:rsidR="00997D31" w:rsidRPr="00F76286">
              <w:rPr>
                <w:rFonts w:asciiTheme="majorHAnsi" w:hAnsiTheme="majorHAnsi" w:cstheme="majorHAnsi"/>
                <w:sz w:val="20"/>
              </w:rPr>
              <w:t xml:space="preserve">Obszarze </w:t>
            </w:r>
            <w:r w:rsidRPr="00F76286">
              <w:rPr>
                <w:rFonts w:asciiTheme="majorHAnsi" w:hAnsiTheme="majorHAnsi" w:cstheme="majorHAnsi"/>
                <w:sz w:val="20"/>
              </w:rPr>
              <w:t>spowodują wzrost liczby osób pracujących, poprawią warunki dla aktywności osób starszych. Zintegrowane przedsięwzięcia z tego zakresu będą polegać na wszechstronnej aktywizacji osób starszych</w:t>
            </w:r>
            <w:r w:rsidR="00E81AEF" w:rsidRPr="00F76286">
              <w:rPr>
                <w:rFonts w:asciiTheme="majorHAnsi" w:hAnsiTheme="majorHAnsi" w:cstheme="majorHAnsi"/>
                <w:sz w:val="20"/>
              </w:rPr>
              <w:t xml:space="preserve"> </w:t>
            </w:r>
            <w:r w:rsidR="007B7167" w:rsidRPr="00F76286">
              <w:rPr>
                <w:rFonts w:asciiTheme="majorHAnsi" w:hAnsiTheme="majorHAnsi" w:cstheme="majorHAnsi"/>
                <w:sz w:val="20"/>
              </w:rPr>
              <w:t>–</w:t>
            </w:r>
            <w:r w:rsidR="00E81AEF" w:rsidRPr="00F76286">
              <w:rPr>
                <w:rFonts w:asciiTheme="majorHAnsi" w:hAnsiTheme="majorHAnsi" w:cstheme="majorHAnsi"/>
                <w:sz w:val="20"/>
              </w:rPr>
              <w:t xml:space="preserve"> </w:t>
            </w:r>
            <w:r w:rsidRPr="00F76286">
              <w:rPr>
                <w:rFonts w:asciiTheme="majorHAnsi" w:hAnsiTheme="majorHAnsi" w:cstheme="majorHAnsi"/>
                <w:sz w:val="20"/>
              </w:rPr>
              <w:t>w</w:t>
            </w:r>
            <w:r w:rsidR="007B7167" w:rsidRPr="00F76286">
              <w:rPr>
                <w:rFonts w:asciiTheme="majorHAnsi" w:hAnsiTheme="majorHAnsi" w:cstheme="majorHAnsi"/>
                <w:sz w:val="20"/>
              </w:rPr>
              <w:t> </w:t>
            </w:r>
            <w:r w:rsidRPr="00F76286">
              <w:rPr>
                <w:rFonts w:asciiTheme="majorHAnsi" w:hAnsiTheme="majorHAnsi" w:cstheme="majorHAnsi"/>
                <w:sz w:val="20"/>
              </w:rPr>
              <w:t>dziedzinie edukacyjnej, społecznej i kulturalnej</w:t>
            </w:r>
          </w:p>
        </w:tc>
      </w:tr>
    </w:tbl>
    <w:p w14:paraId="0E49D1A7" w14:textId="379C2C81" w:rsidR="00F76286" w:rsidRDefault="00F76286" w:rsidP="00BA671C">
      <w:pPr>
        <w:spacing w:after="0" w:line="276" w:lineRule="auto"/>
        <w:rPr>
          <w:rFonts w:asciiTheme="majorHAnsi" w:hAnsiTheme="majorHAnsi" w:cstheme="majorHAnsi"/>
        </w:rPr>
      </w:pPr>
    </w:p>
    <w:p w14:paraId="7D64248E" w14:textId="77777777" w:rsidR="00F76286" w:rsidRDefault="00F76286">
      <w:pPr>
        <w:rPr>
          <w:rFonts w:asciiTheme="majorHAnsi" w:hAnsiTheme="majorHAnsi" w:cstheme="majorHAnsi"/>
        </w:rPr>
      </w:pPr>
      <w:r>
        <w:rPr>
          <w:rFonts w:asciiTheme="majorHAnsi" w:hAnsiTheme="majorHAnsi" w:cstheme="majorHAnsi"/>
        </w:rPr>
        <w:br w:type="page"/>
      </w:r>
    </w:p>
    <w:p w14:paraId="0A5D47E7" w14:textId="77777777" w:rsidR="00802828" w:rsidRDefault="00802828" w:rsidP="00BA671C">
      <w:pPr>
        <w:spacing w:after="0" w:line="276" w:lineRule="auto"/>
        <w:rPr>
          <w:rFonts w:asciiTheme="majorHAnsi" w:hAnsiTheme="majorHAnsi" w:cstheme="majorHAnsi"/>
        </w:rPr>
      </w:pPr>
    </w:p>
    <w:tbl>
      <w:tblPr>
        <w:tblStyle w:val="Tabela-Siatka"/>
        <w:tblW w:w="5000" w:type="pct"/>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ook w:val="04A0" w:firstRow="1" w:lastRow="0" w:firstColumn="1" w:lastColumn="0" w:noHBand="0" w:noVBand="1"/>
      </w:tblPr>
      <w:tblGrid>
        <w:gridCol w:w="9010"/>
      </w:tblGrid>
      <w:tr w:rsidR="00802828" w:rsidRPr="001A20A9" w14:paraId="5708E339" w14:textId="77777777" w:rsidTr="004A6B2F">
        <w:trPr>
          <w:trHeight w:val="20"/>
          <w:tblHeader/>
        </w:trPr>
        <w:tc>
          <w:tcPr>
            <w:tcW w:w="5000" w:type="pct"/>
            <w:shd w:val="clear" w:color="auto" w:fill="7030A0"/>
          </w:tcPr>
          <w:p w14:paraId="40FCAA5E" w14:textId="77777777" w:rsidR="00802828" w:rsidRPr="004A6B2F" w:rsidRDefault="00802828" w:rsidP="00FC7062">
            <w:pPr>
              <w:spacing w:line="276" w:lineRule="auto"/>
              <w:jc w:val="center"/>
              <w:rPr>
                <w:rFonts w:asciiTheme="majorHAnsi" w:hAnsiTheme="majorHAnsi" w:cstheme="majorHAnsi"/>
                <w:b/>
                <w:color w:val="FFFFFF" w:themeColor="background1"/>
                <w:sz w:val="20"/>
                <w:szCs w:val="20"/>
              </w:rPr>
            </w:pPr>
            <w:r w:rsidRPr="004A6B2F">
              <w:rPr>
                <w:rFonts w:asciiTheme="majorHAnsi" w:hAnsiTheme="majorHAnsi" w:cstheme="majorHAnsi"/>
                <w:b/>
                <w:color w:val="FFFFFF" w:themeColor="background1"/>
                <w:sz w:val="20"/>
                <w:szCs w:val="20"/>
              </w:rPr>
              <w:t xml:space="preserve">Cel strategiczny </w:t>
            </w:r>
            <w:r w:rsidR="000B0169" w:rsidRPr="004A6B2F">
              <w:rPr>
                <w:rFonts w:asciiTheme="majorHAnsi" w:hAnsiTheme="majorHAnsi" w:cstheme="majorHAnsi"/>
                <w:b/>
                <w:color w:val="FFFFFF" w:themeColor="background1"/>
                <w:sz w:val="20"/>
                <w:szCs w:val="20"/>
              </w:rPr>
              <w:t>5</w:t>
            </w:r>
            <w:r w:rsidRPr="004A6B2F">
              <w:rPr>
                <w:rFonts w:asciiTheme="majorHAnsi" w:hAnsiTheme="majorHAnsi" w:cstheme="majorHAnsi"/>
                <w:b/>
                <w:color w:val="FFFFFF" w:themeColor="background1"/>
                <w:sz w:val="20"/>
                <w:szCs w:val="20"/>
              </w:rPr>
              <w:t>.</w:t>
            </w:r>
          </w:p>
          <w:p w14:paraId="3820A28E" w14:textId="2BF75192" w:rsidR="00802828" w:rsidRPr="001A20A9" w:rsidRDefault="00802828" w:rsidP="00FC7062">
            <w:pPr>
              <w:spacing w:line="276" w:lineRule="auto"/>
              <w:jc w:val="center"/>
              <w:rPr>
                <w:rFonts w:asciiTheme="majorHAnsi" w:hAnsiTheme="majorHAnsi" w:cstheme="majorHAnsi"/>
                <w:b/>
                <w:sz w:val="20"/>
                <w:szCs w:val="20"/>
              </w:rPr>
            </w:pPr>
            <w:r w:rsidRPr="004A6B2F">
              <w:rPr>
                <w:rFonts w:asciiTheme="majorHAnsi" w:hAnsiTheme="majorHAnsi" w:cstheme="majorHAnsi"/>
                <w:color w:val="FFFFFF" w:themeColor="background1"/>
                <w:sz w:val="20"/>
                <w:szCs w:val="20"/>
              </w:rPr>
              <w:t>Wzmacnianie potencjału społeczeństwa obywatelskiego poprzez rozwijanie potencjału kapitału ludzkiego i społecznego oraz rozwój instytucjonalny</w:t>
            </w:r>
            <w:r w:rsidR="007B04A7">
              <w:rPr>
                <w:rFonts w:asciiTheme="majorHAnsi" w:hAnsiTheme="majorHAnsi" w:cstheme="majorHAnsi"/>
                <w:color w:val="FFFFFF" w:themeColor="background1"/>
                <w:sz w:val="20"/>
                <w:szCs w:val="20"/>
              </w:rPr>
              <w:t xml:space="preserve"> </w:t>
            </w:r>
          </w:p>
        </w:tc>
      </w:tr>
    </w:tbl>
    <w:p w14:paraId="0B01E00C" w14:textId="77777777" w:rsidR="0078211A" w:rsidRDefault="0078211A" w:rsidP="00E7715B">
      <w:pPr>
        <w:spacing w:after="0" w:line="276" w:lineRule="auto"/>
      </w:pPr>
    </w:p>
    <w:tbl>
      <w:tblPr>
        <w:tblStyle w:val="Tabela-Siatka"/>
        <w:tblW w:w="5000" w:type="pct"/>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ook w:val="04A0" w:firstRow="1" w:lastRow="0" w:firstColumn="1" w:lastColumn="0" w:noHBand="0" w:noVBand="1"/>
      </w:tblPr>
      <w:tblGrid>
        <w:gridCol w:w="9010"/>
      </w:tblGrid>
      <w:tr w:rsidR="00802828" w:rsidRPr="0078211A" w14:paraId="4B02B180" w14:textId="77777777" w:rsidTr="004A6B2F">
        <w:trPr>
          <w:trHeight w:val="20"/>
        </w:trPr>
        <w:tc>
          <w:tcPr>
            <w:tcW w:w="5000" w:type="pct"/>
            <w:tcBorders>
              <w:bottom w:val="single" w:sz="24" w:space="0" w:color="FFFFFF" w:themeColor="background1"/>
            </w:tcBorders>
            <w:shd w:val="clear" w:color="auto" w:fill="E8D9F3"/>
          </w:tcPr>
          <w:p w14:paraId="61FCD3C5" w14:textId="77777777" w:rsidR="00802828" w:rsidRPr="0078211A" w:rsidRDefault="000B0169" w:rsidP="00FC7062">
            <w:pPr>
              <w:spacing w:line="276" w:lineRule="auto"/>
              <w:jc w:val="center"/>
              <w:rPr>
                <w:rFonts w:asciiTheme="majorHAnsi" w:hAnsiTheme="majorHAnsi" w:cstheme="majorHAnsi"/>
                <w:b/>
                <w:sz w:val="20"/>
                <w:szCs w:val="20"/>
              </w:rPr>
            </w:pPr>
            <w:r>
              <w:rPr>
                <w:rFonts w:asciiTheme="majorHAnsi" w:hAnsiTheme="majorHAnsi" w:cstheme="majorHAnsi"/>
                <w:b/>
                <w:sz w:val="20"/>
                <w:szCs w:val="20"/>
              </w:rPr>
              <w:t>Cel operacyjny 5</w:t>
            </w:r>
            <w:r w:rsidR="00802828" w:rsidRPr="0078211A">
              <w:rPr>
                <w:rFonts w:asciiTheme="majorHAnsi" w:hAnsiTheme="majorHAnsi" w:cstheme="majorHAnsi"/>
                <w:b/>
                <w:sz w:val="20"/>
                <w:szCs w:val="20"/>
              </w:rPr>
              <w:t>.1</w:t>
            </w:r>
          </w:p>
          <w:p w14:paraId="3B551B3C" w14:textId="77777777" w:rsidR="00802828" w:rsidRPr="0078211A" w:rsidRDefault="002F4501" w:rsidP="00FC7062">
            <w:pPr>
              <w:spacing w:line="276" w:lineRule="auto"/>
              <w:jc w:val="center"/>
              <w:rPr>
                <w:rFonts w:asciiTheme="majorHAnsi" w:hAnsiTheme="majorHAnsi" w:cstheme="majorHAnsi"/>
                <w:b/>
                <w:sz w:val="20"/>
                <w:szCs w:val="20"/>
              </w:rPr>
            </w:pPr>
            <w:proofErr w:type="spellStart"/>
            <w:r w:rsidRPr="002F4501">
              <w:rPr>
                <w:rFonts w:asciiTheme="majorHAnsi" w:hAnsiTheme="majorHAnsi" w:cstheme="majorHAnsi"/>
                <w:sz w:val="20"/>
                <w:szCs w:val="20"/>
              </w:rPr>
              <w:t>Subregionalny</w:t>
            </w:r>
            <w:proofErr w:type="spellEnd"/>
            <w:r w:rsidRPr="002F4501">
              <w:rPr>
                <w:rFonts w:asciiTheme="majorHAnsi" w:hAnsiTheme="majorHAnsi" w:cstheme="majorHAnsi"/>
                <w:sz w:val="20"/>
                <w:szCs w:val="20"/>
              </w:rPr>
              <w:t xml:space="preserve"> system wspierania organizacji pozarządowych i ekonomii społecznej</w:t>
            </w:r>
          </w:p>
        </w:tc>
      </w:tr>
      <w:tr w:rsidR="0078211A" w:rsidRPr="002F4501" w14:paraId="1D83EB47" w14:textId="77777777" w:rsidTr="004A6B2F">
        <w:trPr>
          <w:trHeight w:val="20"/>
        </w:trPr>
        <w:tc>
          <w:tcPr>
            <w:tcW w:w="5000" w:type="pct"/>
            <w:tcBorders>
              <w:left w:val="single" w:sz="4" w:space="0" w:color="7030A0"/>
              <w:bottom w:val="single" w:sz="4" w:space="0" w:color="7030A0"/>
              <w:right w:val="single" w:sz="4" w:space="0" w:color="7030A0"/>
            </w:tcBorders>
            <w:shd w:val="clear" w:color="auto" w:fill="FFFFFF" w:themeFill="background1"/>
          </w:tcPr>
          <w:p w14:paraId="41605A22" w14:textId="77777777" w:rsidR="002F4501" w:rsidRDefault="002F4501" w:rsidP="00FC7062">
            <w:pPr>
              <w:spacing w:line="276" w:lineRule="auto"/>
              <w:jc w:val="both"/>
              <w:rPr>
                <w:rFonts w:asciiTheme="majorHAnsi" w:hAnsiTheme="majorHAnsi" w:cstheme="majorHAnsi"/>
                <w:sz w:val="20"/>
              </w:rPr>
            </w:pPr>
            <w:r w:rsidRPr="002F4501">
              <w:rPr>
                <w:rFonts w:asciiTheme="majorHAnsi" w:hAnsiTheme="majorHAnsi" w:cstheme="majorHAnsi"/>
                <w:sz w:val="20"/>
              </w:rPr>
              <w:t>Cel ten zakłada, że ekonomia społeczna stanowić ma ważny element polityk publicznych w Subregionie, przyczyniający się do wzrostu zatrudnienia, spójności społecznej oraz rozwoju kapitału społecznego.</w:t>
            </w:r>
          </w:p>
          <w:p w14:paraId="286EB401" w14:textId="77777777" w:rsidR="0075121E" w:rsidRPr="002F4501" w:rsidRDefault="0075121E" w:rsidP="00FC7062">
            <w:pPr>
              <w:spacing w:line="276" w:lineRule="auto"/>
              <w:jc w:val="both"/>
              <w:rPr>
                <w:rFonts w:asciiTheme="majorHAnsi" w:hAnsiTheme="majorHAnsi" w:cstheme="majorHAnsi"/>
                <w:sz w:val="20"/>
              </w:rPr>
            </w:pPr>
          </w:p>
          <w:p w14:paraId="39FC4230" w14:textId="6D676BFD" w:rsidR="0078211A" w:rsidRPr="002F4501" w:rsidRDefault="002F4501" w:rsidP="008C6E88">
            <w:pPr>
              <w:spacing w:line="276" w:lineRule="auto"/>
              <w:jc w:val="both"/>
              <w:rPr>
                <w:rFonts w:asciiTheme="majorHAnsi" w:hAnsiTheme="majorHAnsi" w:cstheme="majorHAnsi"/>
                <w:sz w:val="20"/>
              </w:rPr>
            </w:pPr>
            <w:r w:rsidRPr="002F4501">
              <w:rPr>
                <w:rFonts w:asciiTheme="majorHAnsi" w:hAnsiTheme="majorHAnsi" w:cstheme="majorHAnsi"/>
                <w:sz w:val="20"/>
              </w:rPr>
              <w:t xml:space="preserve">Rozwój gospodarki społecznej jest priorytetem rozwojowym </w:t>
            </w:r>
            <w:r w:rsidR="0075121E">
              <w:rPr>
                <w:rFonts w:asciiTheme="majorHAnsi" w:hAnsiTheme="majorHAnsi" w:cstheme="majorHAnsi"/>
                <w:sz w:val="20"/>
              </w:rPr>
              <w:t>Obszaru</w:t>
            </w:r>
            <w:r w:rsidR="003C572C">
              <w:rPr>
                <w:rFonts w:asciiTheme="majorHAnsi" w:hAnsiTheme="majorHAnsi" w:cstheme="majorHAnsi"/>
                <w:sz w:val="20"/>
              </w:rPr>
              <w:t>. Z</w:t>
            </w:r>
            <w:r w:rsidRPr="002F4501">
              <w:rPr>
                <w:rFonts w:asciiTheme="majorHAnsi" w:hAnsiTheme="majorHAnsi" w:cstheme="majorHAnsi"/>
                <w:sz w:val="20"/>
              </w:rPr>
              <w:t xml:space="preserve">asięgiem obejmie cały obszar </w:t>
            </w:r>
            <w:r w:rsidR="00E01359">
              <w:rPr>
                <w:rFonts w:asciiTheme="majorHAnsi" w:hAnsiTheme="majorHAnsi" w:cstheme="majorHAnsi"/>
                <w:sz w:val="20"/>
              </w:rPr>
              <w:br/>
            </w:r>
            <w:r w:rsidR="0075121E">
              <w:rPr>
                <w:rFonts w:asciiTheme="majorHAnsi" w:hAnsiTheme="majorHAnsi" w:cstheme="majorHAnsi"/>
                <w:sz w:val="20"/>
              </w:rPr>
              <w:t>OF</w:t>
            </w:r>
            <w:r w:rsidRPr="002F4501">
              <w:rPr>
                <w:rFonts w:asciiTheme="majorHAnsi" w:hAnsiTheme="majorHAnsi" w:cstheme="majorHAnsi"/>
                <w:sz w:val="20"/>
              </w:rPr>
              <w:t xml:space="preserve"> ze szczególnym uwzględnieniem ośrodk</w:t>
            </w:r>
            <w:r w:rsidR="0075121E">
              <w:rPr>
                <w:rFonts w:asciiTheme="majorHAnsi" w:hAnsiTheme="majorHAnsi" w:cstheme="majorHAnsi"/>
                <w:sz w:val="20"/>
              </w:rPr>
              <w:t>ów</w:t>
            </w:r>
            <w:r w:rsidRPr="002F4501">
              <w:rPr>
                <w:rFonts w:asciiTheme="majorHAnsi" w:hAnsiTheme="majorHAnsi" w:cstheme="majorHAnsi"/>
                <w:sz w:val="20"/>
              </w:rPr>
              <w:t xml:space="preserve"> miejski</w:t>
            </w:r>
            <w:r w:rsidR="0075121E">
              <w:rPr>
                <w:rFonts w:asciiTheme="majorHAnsi" w:hAnsiTheme="majorHAnsi" w:cstheme="majorHAnsi"/>
                <w:sz w:val="20"/>
              </w:rPr>
              <w:t xml:space="preserve">ch </w:t>
            </w:r>
            <w:r w:rsidRPr="002F4501">
              <w:rPr>
                <w:rFonts w:asciiTheme="majorHAnsi" w:hAnsiTheme="majorHAnsi" w:cstheme="majorHAnsi"/>
                <w:sz w:val="20"/>
              </w:rPr>
              <w:t>o znaczeniu ponadlokalnym</w:t>
            </w:r>
            <w:r w:rsidR="00E81AEF">
              <w:rPr>
                <w:rFonts w:asciiTheme="majorHAnsi" w:hAnsiTheme="majorHAnsi" w:cstheme="majorHAnsi"/>
                <w:sz w:val="20"/>
              </w:rPr>
              <w:t xml:space="preserve"> - </w:t>
            </w:r>
            <w:r w:rsidR="0075121E">
              <w:rPr>
                <w:rFonts w:asciiTheme="majorHAnsi" w:hAnsiTheme="majorHAnsi" w:cstheme="majorHAnsi"/>
                <w:sz w:val="20"/>
              </w:rPr>
              <w:t>miasta powiatowe</w:t>
            </w:r>
            <w:r w:rsidRPr="002F4501">
              <w:rPr>
                <w:rFonts w:asciiTheme="majorHAnsi" w:hAnsiTheme="majorHAnsi" w:cstheme="majorHAnsi"/>
                <w:sz w:val="20"/>
              </w:rPr>
              <w:t>. Przedsiębiorczość społeczna to tylko jeden ze sposób określenia działalności gospodarczej, która łączy w sobie cele społeczne i ekonomiczne. Bywa ona określana również jako gospodarka społeczna, a także ekonomia społeczna. Podejmowanie działań z zakresu wsparcia gospodarki społecznej to jeden z warunków sprzyjających poprawie sytuacji w zakresie stabilizacji rynku zatrudnieni</w:t>
            </w:r>
            <w:r w:rsidR="008C6E88">
              <w:rPr>
                <w:rFonts w:asciiTheme="majorHAnsi" w:hAnsiTheme="majorHAnsi" w:cstheme="majorHAnsi"/>
                <w:sz w:val="20"/>
              </w:rPr>
              <w:t>a, co wpłynie na przezwyciężenie</w:t>
            </w:r>
            <w:r w:rsidRPr="002F4501">
              <w:rPr>
                <w:rFonts w:asciiTheme="majorHAnsi" w:hAnsiTheme="majorHAnsi" w:cstheme="majorHAnsi"/>
                <w:sz w:val="20"/>
              </w:rPr>
              <w:t xml:space="preserve"> problemów demograficznych diagnozowanych w </w:t>
            </w:r>
            <w:r w:rsidR="0075121E">
              <w:rPr>
                <w:rFonts w:asciiTheme="majorHAnsi" w:hAnsiTheme="majorHAnsi" w:cstheme="majorHAnsi"/>
                <w:sz w:val="20"/>
              </w:rPr>
              <w:t>Obszarze</w:t>
            </w:r>
            <w:r w:rsidRPr="002F4501">
              <w:rPr>
                <w:rFonts w:asciiTheme="majorHAnsi" w:hAnsiTheme="majorHAnsi" w:cstheme="majorHAnsi"/>
                <w:sz w:val="20"/>
              </w:rPr>
              <w:t>. Wspar</w:t>
            </w:r>
            <w:r w:rsidR="008C6E88">
              <w:rPr>
                <w:rFonts w:asciiTheme="majorHAnsi" w:hAnsiTheme="majorHAnsi" w:cstheme="majorHAnsi"/>
                <w:sz w:val="20"/>
              </w:rPr>
              <w:t xml:space="preserve">te </w:t>
            </w:r>
            <w:r w:rsidRPr="002F4501">
              <w:rPr>
                <w:rFonts w:asciiTheme="majorHAnsi" w:hAnsiTheme="majorHAnsi" w:cstheme="majorHAnsi"/>
                <w:sz w:val="20"/>
              </w:rPr>
              <w:t xml:space="preserve">lub utworzone podmioty ekonomii społecznej kierować będą swoją ofertę do mieszkańców całego </w:t>
            </w:r>
            <w:r w:rsidR="0075121E">
              <w:rPr>
                <w:rFonts w:asciiTheme="majorHAnsi" w:hAnsiTheme="majorHAnsi" w:cstheme="majorHAnsi"/>
                <w:sz w:val="20"/>
              </w:rPr>
              <w:t>OF</w:t>
            </w:r>
            <w:r w:rsidRPr="002F4501">
              <w:rPr>
                <w:rFonts w:asciiTheme="majorHAnsi" w:hAnsiTheme="majorHAnsi" w:cstheme="majorHAnsi"/>
                <w:sz w:val="20"/>
              </w:rPr>
              <w:t>, przyczyniając się do jego wewnętrzn</w:t>
            </w:r>
            <w:r w:rsidR="008C6E88">
              <w:rPr>
                <w:rFonts w:asciiTheme="majorHAnsi" w:hAnsiTheme="majorHAnsi" w:cstheme="majorHAnsi"/>
                <w:sz w:val="20"/>
              </w:rPr>
              <w:t xml:space="preserve">ej </w:t>
            </w:r>
            <w:r w:rsidRPr="002F4501">
              <w:rPr>
                <w:rFonts w:asciiTheme="majorHAnsi" w:hAnsiTheme="majorHAnsi" w:cstheme="majorHAnsi"/>
                <w:sz w:val="20"/>
              </w:rPr>
              <w:t xml:space="preserve">integracji. Zaleca się wyodrębnienie ośrodków specjalizujących się w ekonomii społecznej ze wskazaniem na </w:t>
            </w:r>
            <w:r w:rsidR="00195CDD">
              <w:rPr>
                <w:rFonts w:asciiTheme="majorHAnsi" w:hAnsiTheme="majorHAnsi" w:cstheme="majorHAnsi"/>
                <w:sz w:val="20"/>
              </w:rPr>
              <w:t>Nidzicę i Pisz</w:t>
            </w:r>
            <w:r w:rsidRPr="002F4501">
              <w:rPr>
                <w:rFonts w:asciiTheme="majorHAnsi" w:hAnsiTheme="majorHAnsi" w:cstheme="majorHAnsi"/>
                <w:sz w:val="20"/>
              </w:rPr>
              <w:t>, które to stanowić będą centra wsparcia ekonomii społecznej i rozwoju przedsiębiorstw społecznych (gł</w:t>
            </w:r>
            <w:r w:rsidR="009327EE">
              <w:rPr>
                <w:rFonts w:asciiTheme="majorHAnsi" w:hAnsiTheme="majorHAnsi" w:cstheme="majorHAnsi"/>
                <w:sz w:val="20"/>
              </w:rPr>
              <w:t>ó</w:t>
            </w:r>
            <w:r w:rsidRPr="002F4501">
              <w:rPr>
                <w:rFonts w:asciiTheme="majorHAnsi" w:hAnsiTheme="majorHAnsi" w:cstheme="majorHAnsi"/>
                <w:sz w:val="20"/>
              </w:rPr>
              <w:t xml:space="preserve">wnie spółdzielni socjalnych). </w:t>
            </w:r>
          </w:p>
        </w:tc>
      </w:tr>
    </w:tbl>
    <w:p w14:paraId="68E5D357" w14:textId="77777777" w:rsidR="00802828" w:rsidRDefault="00802828" w:rsidP="00F61F12">
      <w:pPr>
        <w:spacing w:after="0" w:line="276" w:lineRule="auto"/>
        <w:rPr>
          <w:rFonts w:asciiTheme="majorHAnsi" w:hAnsiTheme="majorHAnsi" w:cstheme="majorHAnsi"/>
        </w:rPr>
      </w:pPr>
    </w:p>
    <w:tbl>
      <w:tblPr>
        <w:tblStyle w:val="Tabela-Siatka"/>
        <w:tblW w:w="5000" w:type="pct"/>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ook w:val="04A0" w:firstRow="1" w:lastRow="0" w:firstColumn="1" w:lastColumn="0" w:noHBand="0" w:noVBand="1"/>
      </w:tblPr>
      <w:tblGrid>
        <w:gridCol w:w="9010"/>
      </w:tblGrid>
      <w:tr w:rsidR="009A64C7" w:rsidRPr="0078211A" w14:paraId="4F98419F" w14:textId="77777777" w:rsidTr="004A6B2F">
        <w:trPr>
          <w:trHeight w:val="20"/>
        </w:trPr>
        <w:tc>
          <w:tcPr>
            <w:tcW w:w="5000" w:type="pct"/>
            <w:tcBorders>
              <w:bottom w:val="single" w:sz="24" w:space="0" w:color="FFFFFF" w:themeColor="background1"/>
            </w:tcBorders>
            <w:shd w:val="clear" w:color="auto" w:fill="E8D9F3"/>
          </w:tcPr>
          <w:p w14:paraId="53E9948F" w14:textId="77777777" w:rsidR="009A64C7" w:rsidRPr="0078211A" w:rsidRDefault="009A64C7" w:rsidP="00FC7062">
            <w:pPr>
              <w:spacing w:line="276" w:lineRule="auto"/>
              <w:jc w:val="center"/>
              <w:rPr>
                <w:rFonts w:asciiTheme="majorHAnsi" w:hAnsiTheme="majorHAnsi" w:cstheme="majorHAnsi"/>
                <w:b/>
                <w:sz w:val="20"/>
                <w:szCs w:val="20"/>
              </w:rPr>
            </w:pPr>
            <w:r>
              <w:rPr>
                <w:rFonts w:asciiTheme="majorHAnsi" w:hAnsiTheme="majorHAnsi" w:cstheme="majorHAnsi"/>
                <w:b/>
                <w:sz w:val="20"/>
                <w:szCs w:val="20"/>
              </w:rPr>
              <w:t xml:space="preserve">Cel operacyjny </w:t>
            </w:r>
            <w:r w:rsidR="000B0169">
              <w:rPr>
                <w:rFonts w:asciiTheme="majorHAnsi" w:hAnsiTheme="majorHAnsi" w:cstheme="majorHAnsi"/>
                <w:b/>
                <w:sz w:val="20"/>
                <w:szCs w:val="20"/>
              </w:rPr>
              <w:t>5</w:t>
            </w:r>
            <w:r>
              <w:rPr>
                <w:rFonts w:asciiTheme="majorHAnsi" w:hAnsiTheme="majorHAnsi" w:cstheme="majorHAnsi"/>
                <w:b/>
                <w:sz w:val="20"/>
                <w:szCs w:val="20"/>
              </w:rPr>
              <w:t>.2</w:t>
            </w:r>
          </w:p>
          <w:p w14:paraId="42F517A1" w14:textId="77777777" w:rsidR="009A64C7" w:rsidRPr="0078211A" w:rsidRDefault="009A64C7" w:rsidP="00FC7062">
            <w:pPr>
              <w:spacing w:line="276" w:lineRule="auto"/>
              <w:jc w:val="center"/>
              <w:rPr>
                <w:rFonts w:asciiTheme="majorHAnsi" w:hAnsiTheme="majorHAnsi" w:cstheme="majorHAnsi"/>
                <w:b/>
                <w:sz w:val="20"/>
                <w:szCs w:val="20"/>
              </w:rPr>
            </w:pPr>
            <w:r w:rsidRPr="009A64C7">
              <w:rPr>
                <w:rFonts w:asciiTheme="majorHAnsi" w:hAnsiTheme="majorHAnsi" w:cstheme="majorHAnsi"/>
                <w:sz w:val="20"/>
                <w:szCs w:val="20"/>
              </w:rPr>
              <w:t>Kultura</w:t>
            </w:r>
            <w:r w:rsidR="00E81AEF">
              <w:rPr>
                <w:rFonts w:asciiTheme="majorHAnsi" w:hAnsiTheme="majorHAnsi" w:cstheme="majorHAnsi"/>
                <w:sz w:val="20"/>
                <w:szCs w:val="20"/>
              </w:rPr>
              <w:t xml:space="preserve"> - </w:t>
            </w:r>
            <w:r w:rsidRPr="009A64C7">
              <w:rPr>
                <w:rFonts w:asciiTheme="majorHAnsi" w:hAnsiTheme="majorHAnsi" w:cstheme="majorHAnsi"/>
                <w:sz w:val="20"/>
                <w:szCs w:val="20"/>
              </w:rPr>
              <w:t>wyrównywanie szans w dostępie do oferty kulturalnej</w:t>
            </w:r>
          </w:p>
        </w:tc>
      </w:tr>
      <w:tr w:rsidR="009A64C7" w:rsidRPr="009A64C7" w14:paraId="0B3C95AE" w14:textId="77777777" w:rsidTr="004A6B2F">
        <w:trPr>
          <w:trHeight w:val="20"/>
        </w:trPr>
        <w:tc>
          <w:tcPr>
            <w:tcW w:w="5000" w:type="pct"/>
            <w:tcBorders>
              <w:left w:val="single" w:sz="4" w:space="0" w:color="7030A0"/>
              <w:bottom w:val="single" w:sz="4" w:space="0" w:color="7030A0"/>
              <w:right w:val="single" w:sz="4" w:space="0" w:color="7030A0"/>
            </w:tcBorders>
            <w:shd w:val="clear" w:color="auto" w:fill="FFFFFF" w:themeFill="background1"/>
            <w:vAlign w:val="center"/>
          </w:tcPr>
          <w:p w14:paraId="1F1A4B34" w14:textId="0E60EA66" w:rsidR="009A64C7" w:rsidRDefault="009A64C7" w:rsidP="00FC7062">
            <w:pPr>
              <w:spacing w:line="276" w:lineRule="auto"/>
              <w:jc w:val="both"/>
              <w:rPr>
                <w:rFonts w:asciiTheme="majorHAnsi" w:hAnsiTheme="majorHAnsi" w:cstheme="majorHAnsi"/>
                <w:sz w:val="20"/>
                <w:szCs w:val="24"/>
              </w:rPr>
            </w:pPr>
            <w:r w:rsidRPr="009A64C7">
              <w:rPr>
                <w:rFonts w:asciiTheme="majorHAnsi" w:hAnsiTheme="majorHAnsi" w:cstheme="majorHAnsi"/>
                <w:sz w:val="20"/>
                <w:szCs w:val="24"/>
              </w:rPr>
              <w:t>Tożsamość regionalna jest ważnym elementem na drodze do poprawy zdolności adaptacyjnych mieszkańców do zmian społecznych i gospodarczych. Pielęgnowanie istniejącego dziedzictwa kulturowego, tradycji, historii, osiągnięć kulturalnych, lokalnych obyczajów oraz języka pozwoli na wzmocnienie poczucia identyfikacji ludzi z</w:t>
            </w:r>
            <w:r w:rsidR="007B7167">
              <w:rPr>
                <w:rFonts w:asciiTheme="majorHAnsi" w:hAnsiTheme="majorHAnsi" w:cstheme="majorHAnsi"/>
                <w:sz w:val="20"/>
                <w:szCs w:val="24"/>
              </w:rPr>
              <w:t> </w:t>
            </w:r>
            <w:r w:rsidRPr="009A64C7">
              <w:rPr>
                <w:rFonts w:asciiTheme="majorHAnsi" w:hAnsiTheme="majorHAnsi" w:cstheme="majorHAnsi"/>
                <w:sz w:val="20"/>
                <w:szCs w:val="24"/>
              </w:rPr>
              <w:t xml:space="preserve">miejscem zamieszkania, co w skali </w:t>
            </w:r>
            <w:r>
              <w:rPr>
                <w:rFonts w:asciiTheme="majorHAnsi" w:hAnsiTheme="majorHAnsi" w:cstheme="majorHAnsi"/>
                <w:sz w:val="20"/>
                <w:szCs w:val="24"/>
              </w:rPr>
              <w:t>OF</w:t>
            </w:r>
            <w:r w:rsidRPr="009A64C7">
              <w:rPr>
                <w:rFonts w:asciiTheme="majorHAnsi" w:hAnsiTheme="majorHAnsi" w:cstheme="majorHAnsi"/>
                <w:sz w:val="20"/>
                <w:szCs w:val="24"/>
              </w:rPr>
              <w:t xml:space="preserve"> przełoży się na wypracowanie mechanizmów przeciwdziałania zjawisku depopulacji (zwłaszcza w wymiarze migracji)</w:t>
            </w:r>
            <w:r w:rsidR="00997441">
              <w:rPr>
                <w:rFonts w:asciiTheme="majorHAnsi" w:hAnsiTheme="majorHAnsi" w:cstheme="majorHAnsi"/>
                <w:sz w:val="20"/>
                <w:szCs w:val="24"/>
              </w:rPr>
              <w:t xml:space="preserve">. </w:t>
            </w:r>
            <w:r w:rsidRPr="009A64C7">
              <w:rPr>
                <w:rFonts w:asciiTheme="majorHAnsi" w:hAnsiTheme="majorHAnsi" w:cstheme="majorHAnsi"/>
                <w:sz w:val="20"/>
                <w:szCs w:val="24"/>
              </w:rPr>
              <w:t>W ramach celu operacyjnego szczególnie ważne jest wykorzystanie instrumentów RLKS (Rozwój lokalny kierowany przez społeczność).</w:t>
            </w:r>
          </w:p>
          <w:p w14:paraId="4EC3C695" w14:textId="77777777" w:rsidR="00997441" w:rsidRPr="009A64C7" w:rsidRDefault="00997441" w:rsidP="00FC7062">
            <w:pPr>
              <w:spacing w:line="276" w:lineRule="auto"/>
              <w:jc w:val="both"/>
              <w:rPr>
                <w:rFonts w:asciiTheme="majorHAnsi" w:hAnsiTheme="majorHAnsi" w:cstheme="majorHAnsi"/>
                <w:sz w:val="20"/>
                <w:szCs w:val="24"/>
              </w:rPr>
            </w:pPr>
          </w:p>
          <w:p w14:paraId="47A620EA" w14:textId="44A62370" w:rsidR="009A64C7" w:rsidRPr="009A64C7" w:rsidRDefault="009A64C7" w:rsidP="00FC7062">
            <w:pPr>
              <w:spacing w:line="276" w:lineRule="auto"/>
              <w:jc w:val="both"/>
              <w:rPr>
                <w:rFonts w:asciiTheme="majorHAnsi" w:hAnsiTheme="majorHAnsi" w:cstheme="majorHAnsi"/>
                <w:sz w:val="20"/>
                <w:szCs w:val="24"/>
              </w:rPr>
            </w:pPr>
            <w:r w:rsidRPr="009A64C7">
              <w:rPr>
                <w:rFonts w:asciiTheme="majorHAnsi" w:hAnsiTheme="majorHAnsi" w:cstheme="majorHAnsi"/>
                <w:sz w:val="20"/>
                <w:szCs w:val="24"/>
              </w:rPr>
              <w:t xml:space="preserve">Przewidziane typy projektów, które przyczynią się </w:t>
            </w:r>
            <w:r w:rsidR="008C6E88">
              <w:rPr>
                <w:rFonts w:asciiTheme="majorHAnsi" w:hAnsiTheme="majorHAnsi" w:cstheme="majorHAnsi"/>
                <w:sz w:val="20"/>
                <w:szCs w:val="24"/>
              </w:rPr>
              <w:t xml:space="preserve">do </w:t>
            </w:r>
            <w:r w:rsidRPr="009A64C7">
              <w:rPr>
                <w:rFonts w:asciiTheme="majorHAnsi" w:hAnsiTheme="majorHAnsi" w:cstheme="majorHAnsi"/>
                <w:sz w:val="20"/>
                <w:szCs w:val="24"/>
              </w:rPr>
              <w:t>wyrównania szans edukacyjnych mieszkańców przedstawiają się następująco:</w:t>
            </w:r>
            <w:r w:rsidR="007B04A7">
              <w:rPr>
                <w:rFonts w:asciiTheme="majorHAnsi" w:hAnsiTheme="majorHAnsi" w:cstheme="majorHAnsi"/>
                <w:sz w:val="20"/>
                <w:szCs w:val="24"/>
              </w:rPr>
              <w:t xml:space="preserve"> </w:t>
            </w:r>
          </w:p>
          <w:p w14:paraId="4B49823B" w14:textId="77777777" w:rsidR="009A64C7" w:rsidRPr="009A64C7" w:rsidRDefault="009A64C7" w:rsidP="00624F1F">
            <w:pPr>
              <w:pStyle w:val="Akapitzlist"/>
              <w:numPr>
                <w:ilvl w:val="0"/>
                <w:numId w:val="18"/>
              </w:numPr>
              <w:spacing w:line="276" w:lineRule="auto"/>
              <w:jc w:val="both"/>
              <w:rPr>
                <w:rFonts w:asciiTheme="majorHAnsi" w:hAnsiTheme="majorHAnsi" w:cstheme="majorHAnsi"/>
                <w:sz w:val="20"/>
              </w:rPr>
            </w:pPr>
            <w:r w:rsidRPr="009A64C7">
              <w:rPr>
                <w:rFonts w:asciiTheme="majorHAnsi" w:hAnsiTheme="majorHAnsi" w:cstheme="majorHAnsi"/>
                <w:sz w:val="20"/>
              </w:rPr>
              <w:t>Wyposażenie świetlic wiejskich,</w:t>
            </w:r>
          </w:p>
          <w:p w14:paraId="5E15E760" w14:textId="77777777" w:rsidR="009A64C7" w:rsidRPr="009A64C7" w:rsidRDefault="009A64C7" w:rsidP="00624F1F">
            <w:pPr>
              <w:pStyle w:val="Akapitzlist"/>
              <w:numPr>
                <w:ilvl w:val="0"/>
                <w:numId w:val="18"/>
              </w:numPr>
              <w:spacing w:line="276" w:lineRule="auto"/>
              <w:jc w:val="both"/>
              <w:rPr>
                <w:rFonts w:asciiTheme="majorHAnsi" w:hAnsiTheme="majorHAnsi" w:cstheme="majorHAnsi"/>
                <w:sz w:val="20"/>
              </w:rPr>
            </w:pPr>
            <w:r w:rsidRPr="009A64C7">
              <w:rPr>
                <w:rFonts w:asciiTheme="majorHAnsi" w:hAnsiTheme="majorHAnsi" w:cstheme="majorHAnsi"/>
                <w:sz w:val="20"/>
              </w:rPr>
              <w:t>Doposażenie placówek kultury w nowoczesny sprzęt,</w:t>
            </w:r>
          </w:p>
          <w:p w14:paraId="095A34D5" w14:textId="77777777" w:rsidR="009A64C7" w:rsidRPr="009A64C7" w:rsidRDefault="009A64C7" w:rsidP="00624F1F">
            <w:pPr>
              <w:pStyle w:val="Akapitzlist"/>
              <w:numPr>
                <w:ilvl w:val="0"/>
                <w:numId w:val="18"/>
              </w:numPr>
              <w:spacing w:line="276" w:lineRule="auto"/>
              <w:jc w:val="both"/>
              <w:rPr>
                <w:rFonts w:asciiTheme="majorHAnsi" w:hAnsiTheme="majorHAnsi" w:cstheme="majorHAnsi"/>
                <w:sz w:val="20"/>
              </w:rPr>
            </w:pPr>
            <w:r w:rsidRPr="009A64C7">
              <w:rPr>
                <w:rFonts w:asciiTheme="majorHAnsi" w:hAnsiTheme="majorHAnsi" w:cstheme="majorHAnsi"/>
                <w:sz w:val="20"/>
              </w:rPr>
              <w:t xml:space="preserve">Zagospodarowanie terenów przy zabytkowych obiektach, </w:t>
            </w:r>
          </w:p>
          <w:p w14:paraId="64A97285" w14:textId="77777777" w:rsidR="009A64C7" w:rsidRPr="009A64C7" w:rsidRDefault="009A64C7" w:rsidP="00624F1F">
            <w:pPr>
              <w:pStyle w:val="Akapitzlist"/>
              <w:numPr>
                <w:ilvl w:val="0"/>
                <w:numId w:val="18"/>
              </w:numPr>
              <w:spacing w:line="276" w:lineRule="auto"/>
              <w:jc w:val="both"/>
              <w:rPr>
                <w:rFonts w:asciiTheme="majorHAnsi" w:hAnsiTheme="majorHAnsi" w:cstheme="majorHAnsi"/>
                <w:sz w:val="20"/>
              </w:rPr>
            </w:pPr>
            <w:r w:rsidRPr="009A64C7">
              <w:rPr>
                <w:rFonts w:asciiTheme="majorHAnsi" w:hAnsiTheme="majorHAnsi" w:cstheme="majorHAnsi"/>
                <w:sz w:val="20"/>
              </w:rPr>
              <w:t xml:space="preserve">Doposażenie placówek oświaty szkół i przedszkoli. </w:t>
            </w:r>
          </w:p>
          <w:p w14:paraId="539B396C" w14:textId="77777777" w:rsidR="00997441" w:rsidRDefault="00997441" w:rsidP="00FC7062">
            <w:pPr>
              <w:spacing w:line="276" w:lineRule="auto"/>
              <w:jc w:val="both"/>
              <w:rPr>
                <w:rFonts w:asciiTheme="majorHAnsi" w:hAnsiTheme="majorHAnsi" w:cstheme="majorHAnsi"/>
                <w:sz w:val="20"/>
                <w:szCs w:val="24"/>
              </w:rPr>
            </w:pPr>
          </w:p>
          <w:p w14:paraId="04F6CDAA" w14:textId="088A9936" w:rsidR="009A64C7" w:rsidRPr="00997441" w:rsidRDefault="009A64C7" w:rsidP="00FC7062">
            <w:pPr>
              <w:spacing w:line="276" w:lineRule="auto"/>
              <w:jc w:val="both"/>
              <w:rPr>
                <w:rFonts w:asciiTheme="majorHAnsi" w:hAnsiTheme="majorHAnsi" w:cstheme="majorHAnsi"/>
                <w:sz w:val="20"/>
                <w:szCs w:val="24"/>
              </w:rPr>
            </w:pPr>
            <w:r w:rsidRPr="009A64C7">
              <w:rPr>
                <w:rFonts w:asciiTheme="majorHAnsi" w:hAnsiTheme="majorHAnsi" w:cstheme="majorHAnsi"/>
                <w:sz w:val="20"/>
                <w:szCs w:val="24"/>
              </w:rPr>
              <w:t>Cel ten będzie realizowany poprzez wyodrębnione i skoordynowane interwencje publiczne związane z</w:t>
            </w:r>
            <w:r w:rsidR="007B7167">
              <w:rPr>
                <w:rFonts w:asciiTheme="majorHAnsi" w:hAnsiTheme="majorHAnsi" w:cstheme="majorHAnsi"/>
                <w:sz w:val="20"/>
                <w:szCs w:val="24"/>
              </w:rPr>
              <w:t> </w:t>
            </w:r>
            <w:r w:rsidRPr="009A64C7">
              <w:rPr>
                <w:rFonts w:asciiTheme="majorHAnsi" w:hAnsiTheme="majorHAnsi" w:cstheme="majorHAnsi"/>
                <w:sz w:val="20"/>
                <w:szCs w:val="24"/>
              </w:rPr>
              <w:t>infrastrukturą kultury (zwłaszcza</w:t>
            </w:r>
            <w:r w:rsidR="006A3C43">
              <w:rPr>
                <w:rFonts w:asciiTheme="majorHAnsi" w:hAnsiTheme="majorHAnsi" w:cstheme="majorHAnsi"/>
                <w:sz w:val="20"/>
                <w:szCs w:val="24"/>
              </w:rPr>
              <w:t xml:space="preserve"> w małych ośrodkach wiejskich).</w:t>
            </w:r>
            <w:r w:rsidRPr="009A64C7">
              <w:rPr>
                <w:rFonts w:asciiTheme="majorHAnsi" w:hAnsiTheme="majorHAnsi" w:cstheme="majorHAnsi"/>
                <w:sz w:val="20"/>
                <w:szCs w:val="24"/>
              </w:rPr>
              <w:t xml:space="preserve"> Ważne miejsce w programie inwestycyjnym w tym projekcie mają również domy kultury, których doposażenie w skali całego </w:t>
            </w:r>
            <w:r w:rsidR="006A3C43">
              <w:rPr>
                <w:rFonts w:asciiTheme="majorHAnsi" w:hAnsiTheme="majorHAnsi" w:cstheme="majorHAnsi"/>
                <w:sz w:val="20"/>
                <w:szCs w:val="24"/>
              </w:rPr>
              <w:t xml:space="preserve">Obszaru </w:t>
            </w:r>
            <w:r w:rsidRPr="009A64C7">
              <w:rPr>
                <w:rFonts w:asciiTheme="majorHAnsi" w:hAnsiTheme="majorHAnsi" w:cstheme="majorHAnsi"/>
                <w:sz w:val="20"/>
                <w:szCs w:val="24"/>
              </w:rPr>
              <w:t>spowoduje podniesienie jakości świadczonych usług społecznych w dziedzinie kultury.</w:t>
            </w:r>
          </w:p>
        </w:tc>
      </w:tr>
    </w:tbl>
    <w:p w14:paraId="2E46DA0D" w14:textId="77777777" w:rsidR="00802828" w:rsidRDefault="00802828" w:rsidP="00FC7062">
      <w:pPr>
        <w:spacing w:line="276" w:lineRule="auto"/>
        <w:rPr>
          <w:rFonts w:asciiTheme="majorHAnsi" w:hAnsiTheme="majorHAnsi" w:cstheme="majorHAnsi"/>
        </w:rPr>
      </w:pPr>
    </w:p>
    <w:p w14:paraId="6F27F425" w14:textId="77777777" w:rsidR="008801E2" w:rsidRPr="00F25EBD" w:rsidRDefault="008801E2" w:rsidP="00FC7062">
      <w:pPr>
        <w:spacing w:line="276" w:lineRule="auto"/>
        <w:rPr>
          <w:rFonts w:asciiTheme="majorHAnsi" w:hAnsiTheme="majorHAnsi" w:cstheme="majorHAnsi"/>
        </w:rPr>
      </w:pPr>
      <w:r w:rsidRPr="00F25EBD">
        <w:rPr>
          <w:rFonts w:asciiTheme="majorHAnsi" w:hAnsiTheme="majorHAnsi" w:cstheme="majorHAnsi"/>
        </w:rPr>
        <w:br w:type="page"/>
      </w:r>
    </w:p>
    <w:p w14:paraId="00603D37" w14:textId="42FBFD7B" w:rsidR="00025F27" w:rsidRPr="00F25EBD" w:rsidRDefault="004A6B2F" w:rsidP="004A6B2F">
      <w:pPr>
        <w:pStyle w:val="Nagwek1"/>
        <w:spacing w:line="276" w:lineRule="auto"/>
        <w:jc w:val="both"/>
        <w:rPr>
          <w:rFonts w:cstheme="majorHAnsi"/>
        </w:rPr>
      </w:pPr>
      <w:bookmarkStart w:id="113" w:name="_Toc77070637"/>
      <w:r>
        <w:rPr>
          <w:rFonts w:cstheme="majorHAnsi"/>
        </w:rPr>
        <w:t xml:space="preserve">12. </w:t>
      </w:r>
      <w:r w:rsidR="00025F27" w:rsidRPr="00F25EBD">
        <w:rPr>
          <w:rFonts w:cstheme="majorHAnsi"/>
        </w:rPr>
        <w:t>System wdrażania</w:t>
      </w:r>
      <w:bookmarkEnd w:id="113"/>
      <w:r w:rsidR="00025F27" w:rsidRPr="00F25EBD">
        <w:rPr>
          <w:rFonts w:cstheme="majorHAnsi"/>
        </w:rPr>
        <w:t xml:space="preserve"> </w:t>
      </w:r>
    </w:p>
    <w:p w14:paraId="0719082D" w14:textId="77777777" w:rsidR="00B97034" w:rsidRDefault="00B97034" w:rsidP="002C7D64">
      <w:pPr>
        <w:pStyle w:val="Norm"/>
      </w:pPr>
    </w:p>
    <w:p w14:paraId="665B6BBB" w14:textId="597E6087" w:rsidR="00B97034" w:rsidRDefault="004A6B2F" w:rsidP="004A6B2F">
      <w:pPr>
        <w:pStyle w:val="Nagwek2"/>
        <w:spacing w:before="0"/>
        <w:jc w:val="both"/>
        <w:rPr>
          <w:rFonts w:cstheme="majorHAnsi"/>
        </w:rPr>
      </w:pPr>
      <w:bookmarkStart w:id="114" w:name="_Toc77070638"/>
      <w:r>
        <w:rPr>
          <w:rFonts w:cstheme="majorHAnsi"/>
        </w:rPr>
        <w:t xml:space="preserve">12.1 </w:t>
      </w:r>
      <w:r w:rsidR="00B97034">
        <w:rPr>
          <w:rFonts w:cstheme="majorHAnsi"/>
        </w:rPr>
        <w:t>Podmioty odpowiedzialne za wdrażanie</w:t>
      </w:r>
      <w:bookmarkEnd w:id="114"/>
      <w:r w:rsidR="00B97034">
        <w:rPr>
          <w:rFonts w:cstheme="majorHAnsi"/>
        </w:rPr>
        <w:t xml:space="preserve"> </w:t>
      </w:r>
    </w:p>
    <w:p w14:paraId="3E304191" w14:textId="1D0B4CDF" w:rsidR="00D675C8" w:rsidRPr="00D65F75" w:rsidRDefault="00D675C8" w:rsidP="00F76286">
      <w:pPr>
        <w:pStyle w:val="Norm"/>
        <w:spacing w:after="240"/>
        <w:rPr>
          <w:b w:val="0"/>
          <w:color w:val="auto"/>
          <w:sz w:val="22"/>
        </w:rPr>
      </w:pPr>
      <w:r w:rsidRPr="00D65F75">
        <w:rPr>
          <w:b w:val="0"/>
          <w:color w:val="auto"/>
          <w:sz w:val="22"/>
        </w:rPr>
        <w:t>Obszar Funkcjonalny Południowe Mazury funkcjonuje jako oddolna inicjatywa jednostek samorządu terytorialnego. Gotowość do podejmowania wspólnych działań na rzecz dynamicznego rozwoju tego obszaru została wyrażona w Porozumieniu o współpracy</w:t>
      </w:r>
      <w:r w:rsidR="00745B73">
        <w:rPr>
          <w:b w:val="0"/>
          <w:color w:val="auto"/>
          <w:sz w:val="22"/>
        </w:rPr>
        <w:t xml:space="preserve"> </w:t>
      </w:r>
      <w:r w:rsidR="00745B73" w:rsidRPr="00745B73">
        <w:rPr>
          <w:b w:val="0"/>
          <w:color w:val="auto"/>
          <w:sz w:val="22"/>
        </w:rPr>
        <w:t>z dnia 28 czerwca 2019 roku.</w:t>
      </w:r>
      <w:r w:rsidRPr="00D65F75">
        <w:rPr>
          <w:b w:val="0"/>
          <w:color w:val="auto"/>
          <w:sz w:val="22"/>
        </w:rPr>
        <w:t xml:space="preserve"> Zgodnie z jego zapisami strony wyraziły chęć wzajemnej współpracy w zakresie opracowania założeń projektu „Południowe Mazury” oraz wspólnych działań mających na celu ujęcie projektu w Strategii Województwa Warmińsko-Mazurskiego 2030 i regionalnego Programu Operacyjnego na lata 2021-2027.</w:t>
      </w:r>
    </w:p>
    <w:p w14:paraId="5C503F00" w14:textId="34D397AA" w:rsidR="00D675C8" w:rsidRPr="00D65F75" w:rsidRDefault="00D675C8" w:rsidP="00F76286">
      <w:pPr>
        <w:pStyle w:val="Norm"/>
        <w:spacing w:after="240"/>
        <w:rPr>
          <w:b w:val="0"/>
          <w:color w:val="auto"/>
          <w:sz w:val="22"/>
        </w:rPr>
      </w:pPr>
      <w:r w:rsidRPr="00D65F75">
        <w:rPr>
          <w:b w:val="0"/>
          <w:color w:val="auto"/>
          <w:sz w:val="22"/>
        </w:rPr>
        <w:t xml:space="preserve">Poparcie dla inicjatywy utworzenia Obszaru Funkcjonalnego o znaczeniu ponadlokalnym </w:t>
      </w:r>
      <w:r w:rsidR="003979DD" w:rsidRPr="00D65F75">
        <w:rPr>
          <w:b w:val="0"/>
          <w:color w:val="auto"/>
          <w:sz w:val="22"/>
        </w:rPr>
        <w:br/>
      </w:r>
      <w:r w:rsidRPr="00D65F75">
        <w:rPr>
          <w:b w:val="0"/>
          <w:color w:val="auto"/>
          <w:sz w:val="22"/>
        </w:rPr>
        <w:t xml:space="preserve">pn. „Południowe Mazury” wyraziły również władze gmin OF podpisując </w:t>
      </w:r>
      <w:r w:rsidR="00B44406">
        <w:rPr>
          <w:b w:val="0"/>
          <w:color w:val="auto"/>
          <w:sz w:val="22"/>
        </w:rPr>
        <w:t xml:space="preserve">w lipcu </w:t>
      </w:r>
      <w:r w:rsidRPr="00D65F75">
        <w:rPr>
          <w:b w:val="0"/>
          <w:color w:val="auto"/>
          <w:sz w:val="22"/>
        </w:rPr>
        <w:t>2019 roku Wniosek poparcia dla projektu pn. „Południowe Mazury”.</w:t>
      </w:r>
    </w:p>
    <w:p w14:paraId="0D8DCF5A" w14:textId="7E82881B" w:rsidR="00D675C8" w:rsidRPr="00D65F75" w:rsidRDefault="00D675C8" w:rsidP="00F76286">
      <w:pPr>
        <w:pStyle w:val="Norm"/>
        <w:spacing w:after="240"/>
        <w:rPr>
          <w:b w:val="0"/>
          <w:color w:val="auto"/>
          <w:sz w:val="22"/>
        </w:rPr>
      </w:pPr>
      <w:r w:rsidRPr="00D65F75">
        <w:rPr>
          <w:b w:val="0"/>
          <w:color w:val="auto"/>
          <w:sz w:val="22"/>
        </w:rPr>
        <w:t xml:space="preserve">Wymiar zarządzania strategicznego w odniesieniu do nieformalnej struktury Obszaru Funkcjonalnego odnosi się do procesów decyzyjnych w zakresie wyznaczania kierunków współpracy, modyfikowania </w:t>
      </w:r>
      <w:r w:rsidR="00785962">
        <w:rPr>
          <w:b w:val="0"/>
          <w:color w:val="auto"/>
          <w:sz w:val="22"/>
        </w:rPr>
        <w:br/>
      </w:r>
      <w:r w:rsidRPr="00D65F75">
        <w:rPr>
          <w:b w:val="0"/>
          <w:color w:val="auto"/>
          <w:sz w:val="22"/>
        </w:rPr>
        <w:t xml:space="preserve">(lub wyznaczania nowych) głównych celów działania oraz horyzontalnej oceny skuteczności </w:t>
      </w:r>
      <w:r w:rsidR="00785962">
        <w:rPr>
          <w:b w:val="0"/>
          <w:color w:val="auto"/>
          <w:sz w:val="22"/>
        </w:rPr>
        <w:br/>
      </w:r>
      <w:r w:rsidRPr="00D65F75">
        <w:rPr>
          <w:b w:val="0"/>
          <w:color w:val="auto"/>
          <w:sz w:val="22"/>
        </w:rPr>
        <w:t>ich osiągania.</w:t>
      </w:r>
    </w:p>
    <w:p w14:paraId="145855D6" w14:textId="5FCC38D4" w:rsidR="001A3F2E" w:rsidRPr="00D65F75" w:rsidRDefault="00D675C8" w:rsidP="00F76286">
      <w:pPr>
        <w:pStyle w:val="Norm"/>
        <w:spacing w:after="240"/>
        <w:rPr>
          <w:b w:val="0"/>
          <w:color w:val="auto"/>
          <w:sz w:val="22"/>
        </w:rPr>
      </w:pPr>
      <w:r w:rsidRPr="00D65F75">
        <w:rPr>
          <w:b w:val="0"/>
          <w:color w:val="auto"/>
          <w:sz w:val="22"/>
        </w:rPr>
        <w:t xml:space="preserve">OF jako porozumienie samorządów podejmuje działania w ramach realizacji niniejszej strategii dzięki zaangażowaniu samorządów. Stąd też zarządzanie strategiczne strukturą OF należeć musi </w:t>
      </w:r>
      <w:r w:rsidR="003979DD" w:rsidRPr="00D65F75">
        <w:rPr>
          <w:b w:val="0"/>
          <w:color w:val="auto"/>
          <w:sz w:val="22"/>
        </w:rPr>
        <w:br/>
      </w:r>
      <w:r w:rsidRPr="00D65F75">
        <w:rPr>
          <w:b w:val="0"/>
          <w:color w:val="auto"/>
          <w:sz w:val="22"/>
        </w:rPr>
        <w:t>do zgromadzenia władz samorządowych poszczególnych jednostek</w:t>
      </w:r>
      <w:r w:rsidR="00E81AEF" w:rsidRPr="00D65F75">
        <w:rPr>
          <w:b w:val="0"/>
          <w:color w:val="auto"/>
          <w:sz w:val="22"/>
        </w:rPr>
        <w:t xml:space="preserve"> - </w:t>
      </w:r>
      <w:r w:rsidRPr="00D65F75">
        <w:rPr>
          <w:b w:val="0"/>
          <w:color w:val="auto"/>
          <w:sz w:val="22"/>
        </w:rPr>
        <w:t xml:space="preserve">sygnatariuszy Porozumienia </w:t>
      </w:r>
      <w:r w:rsidR="003979DD" w:rsidRPr="00D65F75">
        <w:rPr>
          <w:b w:val="0"/>
          <w:color w:val="auto"/>
          <w:sz w:val="22"/>
        </w:rPr>
        <w:br/>
      </w:r>
      <w:r w:rsidRPr="00D65F75">
        <w:rPr>
          <w:b w:val="0"/>
          <w:color w:val="auto"/>
          <w:sz w:val="22"/>
        </w:rPr>
        <w:t xml:space="preserve">z 28 czerwca 2019 roku. Rekomenduje się, aby zgromadzenie organów wykonawczych władz poszczególnych samorządów odbywało się przynajmniej raz w ciągu roku. </w:t>
      </w:r>
      <w:r w:rsidR="00977BB5" w:rsidRPr="00977BB5">
        <w:rPr>
          <w:b w:val="0"/>
          <w:color w:val="auto"/>
          <w:sz w:val="22"/>
        </w:rPr>
        <w:t xml:space="preserve">Od strony wykonawczej </w:t>
      </w:r>
      <w:r w:rsidR="00977BB5">
        <w:rPr>
          <w:b w:val="0"/>
          <w:color w:val="auto"/>
          <w:sz w:val="22"/>
        </w:rPr>
        <w:br/>
      </w:r>
      <w:r w:rsidR="00977BB5" w:rsidRPr="00977BB5">
        <w:rPr>
          <w:b w:val="0"/>
          <w:color w:val="auto"/>
          <w:sz w:val="22"/>
        </w:rPr>
        <w:t>– w wymiarze operacyjnym – za realizację Strategii będzie odpowiadał Pełnomocnik ds. Obszaru Funkcjonalnego oraz Zespół ds. Rozwoju Obszaru Funkcjonalnego Południowe Mazury, skupiający koordynatorów wyznaczonych z ramienia poszczególnych samor</w:t>
      </w:r>
      <w:r w:rsidR="00977BB5">
        <w:rPr>
          <w:b w:val="0"/>
          <w:color w:val="auto"/>
          <w:sz w:val="22"/>
        </w:rPr>
        <w:t>ządów</w:t>
      </w:r>
      <w:r w:rsidRPr="00D65F75">
        <w:rPr>
          <w:b w:val="0"/>
          <w:color w:val="auto"/>
          <w:sz w:val="22"/>
        </w:rPr>
        <w:t>. Spotkanie władz samorządów skupionych w OF każdorazowo organizuje Pełnomocnik, który również uzgadnia uprzednio program obrad oraz jest odpowiedzialny za upowszechnianie jego ustaleń i wyników. Poza wymiarem upowszechniania i promocji Obszaru Funkcjonalnego oraz podejmowaniem kluczowych decyzji strategicznych podstawową formą działania OF jest realizacja projektów.</w:t>
      </w:r>
    </w:p>
    <w:p w14:paraId="1BE1B7AE" w14:textId="77777777" w:rsidR="001A3F2E" w:rsidRDefault="001A3F2E" w:rsidP="002C7D64">
      <w:pPr>
        <w:pStyle w:val="Norm"/>
      </w:pPr>
    </w:p>
    <w:p w14:paraId="3D5045E2" w14:textId="2B6DF502" w:rsidR="00B97034" w:rsidRDefault="004A6B2F" w:rsidP="004A6B2F">
      <w:pPr>
        <w:pStyle w:val="Nagwek2"/>
        <w:spacing w:before="0"/>
        <w:jc w:val="both"/>
        <w:rPr>
          <w:rFonts w:cstheme="majorHAnsi"/>
        </w:rPr>
      </w:pPr>
      <w:bookmarkStart w:id="115" w:name="_Toc77070639"/>
      <w:r>
        <w:t xml:space="preserve">12.2 </w:t>
      </w:r>
      <w:r w:rsidR="009D4D96">
        <w:t>System monitoringu i ewaluacji, wskaźniki realizacji</w:t>
      </w:r>
      <w:bookmarkEnd w:id="115"/>
    </w:p>
    <w:p w14:paraId="4B95C75E" w14:textId="77777777" w:rsidR="00B97034" w:rsidRDefault="00B97034" w:rsidP="002C7D64">
      <w:pPr>
        <w:pStyle w:val="Norm"/>
      </w:pPr>
    </w:p>
    <w:p w14:paraId="4C0E39F0" w14:textId="77777777" w:rsidR="009D4D96" w:rsidRPr="00A774E0" w:rsidRDefault="009D4D96" w:rsidP="002C7D64">
      <w:pPr>
        <w:pStyle w:val="Norm"/>
      </w:pPr>
      <w:r w:rsidRPr="00A774E0">
        <w:t xml:space="preserve">Procedury monitorowania i ewaluacji Strategii uwzględniają specyfikę współpracy samorządów przy braku formalnej struktury. </w:t>
      </w:r>
    </w:p>
    <w:p w14:paraId="7A76DC0C" w14:textId="77777777" w:rsidR="009D4D96" w:rsidRPr="004A6B2F" w:rsidRDefault="009D4D96" w:rsidP="004A6B2F">
      <w:pPr>
        <w:pStyle w:val="Mayrozdzia"/>
      </w:pPr>
      <w:r w:rsidRPr="004A6B2F">
        <w:t>Monitoring</w:t>
      </w:r>
    </w:p>
    <w:p w14:paraId="3CE4A7B4" w14:textId="2FB55CFC" w:rsidR="00817CA8" w:rsidRDefault="00817CA8" w:rsidP="00817CA8">
      <w:pPr>
        <w:spacing w:line="276" w:lineRule="auto"/>
        <w:jc w:val="both"/>
        <w:rPr>
          <w:rFonts w:asciiTheme="majorHAnsi" w:hAnsiTheme="majorHAnsi" w:cstheme="majorHAnsi"/>
          <w:iCs/>
        </w:rPr>
      </w:pPr>
      <w:r w:rsidRPr="001C0789">
        <w:rPr>
          <w:rFonts w:asciiTheme="majorHAnsi" w:hAnsiTheme="majorHAnsi" w:cstheme="majorHAnsi"/>
          <w:iCs/>
          <w:szCs w:val="20"/>
        </w:rPr>
        <w:t xml:space="preserve">System monitorowania Strategii jest procesem ciągłym, mającym na celu analizę stanu zaawansowania wdrażania zapisów dokumentu. Obejmuje on monitorowanie działań zarówno podmiotów prywatnych jak i publicznych. Istotą systemu monitorowania i ewaluacji jest ocena stopnia i skutków wdrażania działań strategicznych. Przeprowadzony monitoring powinien dać odpowiedź na pytanie o stopień realizacji określonych zadań i osiągania celów, zaś systematyczna obserwacja zmian zachodzących w ramach poszczególnych celów i zadań pozwoli na ewaluację zapisów dokumentu, co może stać </w:t>
      </w:r>
      <w:r w:rsidR="00785962">
        <w:rPr>
          <w:rFonts w:asciiTheme="majorHAnsi" w:hAnsiTheme="majorHAnsi" w:cstheme="majorHAnsi"/>
          <w:iCs/>
          <w:szCs w:val="20"/>
        </w:rPr>
        <w:br/>
      </w:r>
      <w:r w:rsidRPr="001C0789">
        <w:rPr>
          <w:rFonts w:asciiTheme="majorHAnsi" w:hAnsiTheme="majorHAnsi" w:cstheme="majorHAnsi"/>
          <w:iCs/>
          <w:szCs w:val="20"/>
        </w:rPr>
        <w:t xml:space="preserve">się </w:t>
      </w:r>
      <w:r w:rsidRPr="001C0789">
        <w:rPr>
          <w:rFonts w:asciiTheme="majorHAnsi" w:hAnsiTheme="majorHAnsi" w:cstheme="majorHAnsi"/>
          <w:iCs/>
        </w:rPr>
        <w:t>podstawą do jego aktualizacji.</w:t>
      </w:r>
    </w:p>
    <w:p w14:paraId="2B027B3C" w14:textId="4898F9D6" w:rsidR="009D4D96" w:rsidRPr="009D4D96" w:rsidRDefault="009D4D96" w:rsidP="001D4A3F">
      <w:pPr>
        <w:spacing w:line="276" w:lineRule="auto"/>
        <w:jc w:val="both"/>
        <w:rPr>
          <w:rFonts w:asciiTheme="majorHAnsi" w:hAnsiTheme="majorHAnsi" w:cstheme="majorHAnsi"/>
        </w:rPr>
      </w:pPr>
      <w:r w:rsidRPr="009D4D96">
        <w:rPr>
          <w:rFonts w:asciiTheme="majorHAnsi" w:hAnsiTheme="majorHAnsi" w:cstheme="majorHAnsi"/>
        </w:rPr>
        <w:t xml:space="preserve">Zakłada się monitoring postępów realizacji Strategii w okresach rocznych. Celem tej procedury jest uzyskanie kompletnej informacji dotyczących działań, które zostały podjęte w ramach poszczególnych celów operacyjnych (zarówno na poziomie przygotowania koncepcyjnego, projektowego, </w:t>
      </w:r>
      <w:r w:rsidR="00785962">
        <w:rPr>
          <w:rFonts w:asciiTheme="majorHAnsi" w:hAnsiTheme="majorHAnsi" w:cstheme="majorHAnsi"/>
        </w:rPr>
        <w:br/>
      </w:r>
      <w:r w:rsidRPr="009D4D96">
        <w:rPr>
          <w:rFonts w:asciiTheme="majorHAnsi" w:hAnsiTheme="majorHAnsi" w:cstheme="majorHAnsi"/>
        </w:rPr>
        <w:t xml:space="preserve">jak i na poziomie wdrożeniowym). Koncepcja zarządzania strategicznego zakłada, że działania rozwojowe podejmowane przez </w:t>
      </w:r>
      <w:r w:rsidR="005115C5">
        <w:rPr>
          <w:rFonts w:asciiTheme="majorHAnsi" w:hAnsiTheme="majorHAnsi" w:cstheme="majorHAnsi"/>
        </w:rPr>
        <w:t xml:space="preserve">Obszar Funkcjonalny </w:t>
      </w:r>
      <w:r w:rsidRPr="009D4D96">
        <w:rPr>
          <w:rFonts w:asciiTheme="majorHAnsi" w:hAnsiTheme="majorHAnsi" w:cstheme="majorHAnsi"/>
        </w:rPr>
        <w:t xml:space="preserve">będą każdorazowo przyporządkowane do zdefiniowanych celów strategicznych i operacyjnych. Wynikiem monitoringu prowadzonego w systemie rocznym będzie zatem zestawienie działań (zarówno infrastrukturalnych, jak i społecznych – „miękkich”, podjętych inicjatyw, promocji lub lobbingu na rzecz podjęcia działań przez inne jednostki, itp.), których realizacja została podjęta w ramach każdego z celów strategicznych / operacyjnych zapisanych </w:t>
      </w:r>
      <w:r w:rsidR="00785962">
        <w:rPr>
          <w:rFonts w:asciiTheme="majorHAnsi" w:hAnsiTheme="majorHAnsi" w:cstheme="majorHAnsi"/>
        </w:rPr>
        <w:br/>
      </w:r>
      <w:r w:rsidRPr="009D4D96">
        <w:rPr>
          <w:rFonts w:asciiTheme="majorHAnsi" w:hAnsiTheme="majorHAnsi" w:cstheme="majorHAnsi"/>
        </w:rPr>
        <w:t>w Strategii. Wymagane jest zatem</w:t>
      </w:r>
      <w:r w:rsidR="005115C5">
        <w:rPr>
          <w:rFonts w:asciiTheme="majorHAnsi" w:hAnsiTheme="majorHAnsi" w:cstheme="majorHAnsi"/>
        </w:rPr>
        <w:t xml:space="preserve"> </w:t>
      </w:r>
      <w:r w:rsidRPr="009D4D96">
        <w:rPr>
          <w:rFonts w:asciiTheme="majorHAnsi" w:hAnsiTheme="majorHAnsi" w:cstheme="majorHAnsi"/>
        </w:rPr>
        <w:t>systematyczne monitorowa</w:t>
      </w:r>
      <w:r w:rsidR="004B26ED">
        <w:rPr>
          <w:rFonts w:asciiTheme="majorHAnsi" w:hAnsiTheme="majorHAnsi" w:cstheme="majorHAnsi"/>
        </w:rPr>
        <w:t>nie podejmowanych</w:t>
      </w:r>
      <w:r w:rsidRPr="009D4D96">
        <w:rPr>
          <w:rFonts w:asciiTheme="majorHAnsi" w:hAnsiTheme="majorHAnsi" w:cstheme="majorHAnsi"/>
        </w:rPr>
        <w:t xml:space="preserve"> działa</w:t>
      </w:r>
      <w:r w:rsidR="004B26ED">
        <w:rPr>
          <w:rFonts w:asciiTheme="majorHAnsi" w:hAnsiTheme="majorHAnsi" w:cstheme="majorHAnsi"/>
        </w:rPr>
        <w:t>ń</w:t>
      </w:r>
      <w:r w:rsidRPr="009D4D96">
        <w:rPr>
          <w:rFonts w:asciiTheme="majorHAnsi" w:hAnsiTheme="majorHAnsi" w:cstheme="majorHAnsi"/>
        </w:rPr>
        <w:t xml:space="preserve"> poprzez przyporządkowywanie ich do poszczególnych celów strategicznych i operacyjnych. </w:t>
      </w:r>
    </w:p>
    <w:p w14:paraId="193E7448" w14:textId="77777777" w:rsidR="009D4D96" w:rsidRDefault="009D4D96" w:rsidP="001D4A3F">
      <w:pPr>
        <w:spacing w:line="276" w:lineRule="auto"/>
        <w:jc w:val="both"/>
        <w:rPr>
          <w:lang w:eastAsia="pl-PL"/>
        </w:rPr>
      </w:pPr>
      <w:r w:rsidRPr="009D4D96">
        <w:rPr>
          <w:rFonts w:asciiTheme="majorHAnsi" w:hAnsiTheme="majorHAnsi" w:cstheme="majorHAnsi"/>
        </w:rPr>
        <w:t xml:space="preserve">Zestawienie działań podejmowanych w ramach Subregionu jest corocznie prezentowane na zgromadzeniu władz zaangażowanych samorządów. Taka formuła pozwala także na dokonanie bieżącej oceny postępów realizacji Strategii oraz wprowadzenia modyfikacji w zakresie celów operacyjnych (w uzasadnionych przypadkach także celach strategicznych). </w:t>
      </w:r>
    </w:p>
    <w:p w14:paraId="0BFFAC93" w14:textId="77777777" w:rsidR="009D4D96" w:rsidRDefault="009D4D96" w:rsidP="002C7D64">
      <w:pPr>
        <w:pStyle w:val="Norm"/>
      </w:pPr>
    </w:p>
    <w:p w14:paraId="6A8C42A4" w14:textId="77777777" w:rsidR="00B97034" w:rsidRPr="005E4AE3" w:rsidRDefault="00B97034" w:rsidP="004A6B2F">
      <w:pPr>
        <w:pStyle w:val="Mayrozdzia"/>
      </w:pPr>
      <w:r w:rsidRPr="005E4AE3">
        <w:t xml:space="preserve">Ewaluacja </w:t>
      </w:r>
    </w:p>
    <w:p w14:paraId="21E5731C" w14:textId="77777777" w:rsidR="0060753F" w:rsidRPr="0060753F" w:rsidRDefault="0060753F" w:rsidP="00FC7062">
      <w:pPr>
        <w:spacing w:after="0" w:line="276" w:lineRule="auto"/>
        <w:jc w:val="both"/>
        <w:rPr>
          <w:rFonts w:asciiTheme="majorHAnsi" w:hAnsiTheme="majorHAnsi" w:cstheme="majorHAnsi"/>
          <w:szCs w:val="20"/>
        </w:rPr>
      </w:pPr>
      <w:r w:rsidRPr="0060753F">
        <w:rPr>
          <w:rFonts w:asciiTheme="majorHAnsi" w:hAnsiTheme="majorHAnsi" w:cstheme="majorHAnsi"/>
          <w:szCs w:val="20"/>
        </w:rPr>
        <w:t>Ewaluacja Strategii czyli ocena stopnia realizacji jej celów i efektów powinna być dokonana według metodologii Unii Europejskiej. Według Komisji Europejskiej ewaluacja to ocena interwencji publicznej pod kątem jej rezultatów, oddziaływania oraz potrzeb, które ma spełniać/miała zaspokoić. Zgodnie z wytycznymi i praktyką europejską w badaniu ewaluacyjnym stosować należy pięć kryteriów ewaluacyjnych:</w:t>
      </w:r>
    </w:p>
    <w:tbl>
      <w:tblPr>
        <w:tblStyle w:val="Tabela-Siatka"/>
        <w:tblW w:w="9072" w:type="dxa"/>
        <w:tblInd w:w="-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75"/>
        <w:gridCol w:w="6197"/>
      </w:tblGrid>
      <w:tr w:rsidR="0060753F" w:rsidRPr="001C0789" w14:paraId="7C25B865" w14:textId="77777777" w:rsidTr="00A858C3">
        <w:trPr>
          <w:trHeight w:val="624"/>
        </w:trPr>
        <w:tc>
          <w:tcPr>
            <w:tcW w:w="28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C249"/>
            <w:vAlign w:val="center"/>
          </w:tcPr>
          <w:p w14:paraId="7A7DB15D" w14:textId="77777777" w:rsidR="0060753F" w:rsidRPr="001C0789" w:rsidRDefault="0060753F" w:rsidP="00FC7062">
            <w:pPr>
              <w:spacing w:line="276" w:lineRule="auto"/>
              <w:jc w:val="center"/>
              <w:rPr>
                <w:rFonts w:asciiTheme="majorHAnsi" w:hAnsiTheme="majorHAnsi" w:cstheme="majorHAnsi"/>
                <w:b/>
                <w:bCs/>
                <w:color w:val="FFFFFF" w:themeColor="background1"/>
                <w:sz w:val="20"/>
                <w:szCs w:val="20"/>
                <w:lang w:eastAsia="pl-PL"/>
              </w:rPr>
            </w:pPr>
            <w:r w:rsidRPr="001C0789">
              <w:rPr>
                <w:rFonts w:asciiTheme="majorHAnsi" w:hAnsiTheme="majorHAnsi" w:cstheme="majorHAnsi"/>
                <w:b/>
                <w:bCs/>
                <w:color w:val="FFFFFF" w:themeColor="background1"/>
                <w:sz w:val="20"/>
                <w:szCs w:val="20"/>
                <w:lang w:eastAsia="pl-PL"/>
              </w:rPr>
              <w:t>Trafność</w:t>
            </w:r>
          </w:p>
        </w:tc>
        <w:tc>
          <w:tcPr>
            <w:tcW w:w="6197" w:type="dxa"/>
            <w:tcBorders>
              <w:top w:val="single" w:sz="4" w:space="0" w:color="FFFFFF" w:themeColor="background1"/>
              <w:left w:val="single" w:sz="4" w:space="0" w:color="FFFFFF" w:themeColor="background1"/>
              <w:bottom w:val="single" w:sz="4" w:space="0" w:color="A5C249"/>
            </w:tcBorders>
            <w:vAlign w:val="center"/>
          </w:tcPr>
          <w:p w14:paraId="430A45D4" w14:textId="7F0A8650" w:rsidR="0060753F" w:rsidRPr="001C0789" w:rsidRDefault="0060753F" w:rsidP="001D4A3F">
            <w:pPr>
              <w:spacing w:line="276" w:lineRule="auto"/>
              <w:jc w:val="both"/>
              <w:rPr>
                <w:rFonts w:asciiTheme="majorHAnsi" w:hAnsiTheme="majorHAnsi" w:cstheme="majorHAnsi"/>
                <w:sz w:val="18"/>
                <w:szCs w:val="18"/>
                <w:lang w:eastAsia="pl-PL"/>
              </w:rPr>
            </w:pPr>
            <w:r w:rsidRPr="001C0789">
              <w:rPr>
                <w:rFonts w:asciiTheme="majorHAnsi" w:hAnsiTheme="majorHAnsi" w:cstheme="majorHAnsi"/>
                <w:sz w:val="18"/>
                <w:szCs w:val="18"/>
                <w:lang w:eastAsia="pl-PL"/>
              </w:rPr>
              <w:t>zestawienie nakładów np. ilość środków, wysiłków do efektów, określenie czy realizowano możliwie racjonalnymi kosztami</w:t>
            </w:r>
            <w:r w:rsidR="00D36B20">
              <w:rPr>
                <w:rFonts w:asciiTheme="majorHAnsi" w:hAnsiTheme="majorHAnsi" w:cstheme="majorHAnsi"/>
                <w:sz w:val="18"/>
                <w:szCs w:val="18"/>
                <w:lang w:eastAsia="pl-PL"/>
              </w:rPr>
              <w:t>,</w:t>
            </w:r>
            <w:r w:rsidRPr="001C0789">
              <w:rPr>
                <w:rFonts w:asciiTheme="majorHAnsi" w:hAnsiTheme="majorHAnsi" w:cstheme="majorHAnsi"/>
                <w:sz w:val="18"/>
                <w:szCs w:val="18"/>
                <w:lang w:eastAsia="pl-PL"/>
              </w:rPr>
              <w:t xml:space="preserve"> nakładami, czy inne metody byłyby skuteczniejsze.</w:t>
            </w:r>
          </w:p>
        </w:tc>
      </w:tr>
      <w:tr w:rsidR="0060753F" w:rsidRPr="001C0789" w14:paraId="61C979FE" w14:textId="77777777" w:rsidTr="00A858C3">
        <w:trPr>
          <w:trHeight w:val="624"/>
        </w:trPr>
        <w:tc>
          <w:tcPr>
            <w:tcW w:w="28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C249"/>
            <w:vAlign w:val="center"/>
          </w:tcPr>
          <w:p w14:paraId="4E1FE77D" w14:textId="77777777" w:rsidR="0060753F" w:rsidRPr="001C0789" w:rsidRDefault="0060753F" w:rsidP="00FC7062">
            <w:pPr>
              <w:spacing w:line="276" w:lineRule="auto"/>
              <w:jc w:val="center"/>
              <w:rPr>
                <w:rFonts w:asciiTheme="majorHAnsi" w:hAnsiTheme="majorHAnsi" w:cstheme="majorHAnsi"/>
                <w:b/>
                <w:bCs/>
                <w:color w:val="FFFFFF" w:themeColor="background1"/>
                <w:sz w:val="20"/>
                <w:szCs w:val="20"/>
                <w:lang w:eastAsia="pl-PL"/>
              </w:rPr>
            </w:pPr>
            <w:r w:rsidRPr="001C0789">
              <w:rPr>
                <w:rFonts w:asciiTheme="majorHAnsi" w:hAnsiTheme="majorHAnsi" w:cstheme="majorHAnsi"/>
                <w:b/>
                <w:bCs/>
                <w:color w:val="FFFFFF" w:themeColor="background1"/>
                <w:sz w:val="20"/>
                <w:szCs w:val="20"/>
                <w:lang w:eastAsia="pl-PL"/>
              </w:rPr>
              <w:t>Efektywność</w:t>
            </w:r>
          </w:p>
        </w:tc>
        <w:tc>
          <w:tcPr>
            <w:tcW w:w="6197" w:type="dxa"/>
            <w:tcBorders>
              <w:top w:val="single" w:sz="4" w:space="0" w:color="A5C249"/>
              <w:left w:val="single" w:sz="4" w:space="0" w:color="FFFFFF" w:themeColor="background1"/>
              <w:bottom w:val="single" w:sz="4" w:space="0" w:color="A5C249"/>
            </w:tcBorders>
            <w:vAlign w:val="center"/>
          </w:tcPr>
          <w:p w14:paraId="3900765C" w14:textId="77777777" w:rsidR="0060753F" w:rsidRPr="001C0789" w:rsidRDefault="0060753F" w:rsidP="001D4A3F">
            <w:pPr>
              <w:spacing w:line="276" w:lineRule="auto"/>
              <w:rPr>
                <w:rFonts w:asciiTheme="majorHAnsi" w:hAnsiTheme="majorHAnsi" w:cstheme="majorHAnsi"/>
                <w:noProof/>
                <w:sz w:val="18"/>
                <w:szCs w:val="18"/>
                <w:lang w:eastAsia="pl-PL"/>
              </w:rPr>
            </w:pPr>
            <w:r w:rsidRPr="001C0789">
              <w:rPr>
                <w:rFonts w:asciiTheme="majorHAnsi" w:hAnsiTheme="majorHAnsi" w:cstheme="majorHAnsi"/>
                <w:noProof/>
                <w:sz w:val="18"/>
                <w:szCs w:val="18"/>
                <w:lang w:eastAsia="pl-PL"/>
              </w:rPr>
              <w:t>oznacza odwołanie do zadań powiatu, ustawy, przepisów, określenie czy</w:t>
            </w:r>
            <w:r w:rsidR="001D4A3F">
              <w:rPr>
                <w:rFonts w:asciiTheme="majorHAnsi" w:hAnsiTheme="majorHAnsi" w:cstheme="majorHAnsi"/>
                <w:noProof/>
                <w:sz w:val="18"/>
                <w:szCs w:val="18"/>
                <w:lang w:eastAsia="pl-PL"/>
              </w:rPr>
              <w:t xml:space="preserve"> </w:t>
            </w:r>
            <w:r w:rsidRPr="001C0789">
              <w:rPr>
                <w:rFonts w:asciiTheme="majorHAnsi" w:hAnsiTheme="majorHAnsi" w:cstheme="majorHAnsi"/>
                <w:noProof/>
                <w:sz w:val="18"/>
                <w:szCs w:val="18"/>
                <w:lang w:eastAsia="pl-PL"/>
              </w:rPr>
              <w:t>działanie odpowiada potrzebom, uzasadnienie merytorycznego działania.</w:t>
            </w:r>
          </w:p>
        </w:tc>
      </w:tr>
      <w:tr w:rsidR="0060753F" w:rsidRPr="001C0789" w14:paraId="1A67B63E" w14:textId="77777777" w:rsidTr="00A858C3">
        <w:trPr>
          <w:trHeight w:val="624"/>
        </w:trPr>
        <w:tc>
          <w:tcPr>
            <w:tcW w:w="28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C249"/>
            <w:vAlign w:val="center"/>
          </w:tcPr>
          <w:p w14:paraId="0959E58F" w14:textId="77777777" w:rsidR="0060753F" w:rsidRPr="001C0789" w:rsidRDefault="0060753F" w:rsidP="00FC7062">
            <w:pPr>
              <w:spacing w:line="276" w:lineRule="auto"/>
              <w:jc w:val="center"/>
              <w:rPr>
                <w:rFonts w:asciiTheme="majorHAnsi" w:hAnsiTheme="majorHAnsi" w:cstheme="majorHAnsi"/>
                <w:b/>
                <w:bCs/>
                <w:color w:val="FFFFFF" w:themeColor="background1"/>
                <w:sz w:val="20"/>
                <w:szCs w:val="20"/>
                <w:lang w:eastAsia="pl-PL"/>
              </w:rPr>
            </w:pPr>
            <w:r w:rsidRPr="001C0789">
              <w:rPr>
                <w:rFonts w:asciiTheme="majorHAnsi" w:hAnsiTheme="majorHAnsi" w:cstheme="majorHAnsi"/>
                <w:b/>
                <w:bCs/>
                <w:color w:val="FFFFFF" w:themeColor="background1"/>
                <w:sz w:val="20"/>
                <w:szCs w:val="20"/>
                <w:lang w:eastAsia="pl-PL"/>
              </w:rPr>
              <w:t>Skuteczność</w:t>
            </w:r>
          </w:p>
        </w:tc>
        <w:tc>
          <w:tcPr>
            <w:tcW w:w="6197" w:type="dxa"/>
            <w:tcBorders>
              <w:top w:val="single" w:sz="4" w:space="0" w:color="A5C249"/>
              <w:left w:val="single" w:sz="4" w:space="0" w:color="FFFFFF" w:themeColor="background1"/>
              <w:bottom w:val="single" w:sz="4" w:space="0" w:color="A5C249"/>
            </w:tcBorders>
            <w:vAlign w:val="center"/>
          </w:tcPr>
          <w:p w14:paraId="58C86215" w14:textId="77777777" w:rsidR="0060753F" w:rsidRPr="001C0789" w:rsidRDefault="0060753F" w:rsidP="001D4A3F">
            <w:pPr>
              <w:spacing w:line="276" w:lineRule="auto"/>
              <w:jc w:val="both"/>
              <w:rPr>
                <w:rFonts w:asciiTheme="majorHAnsi" w:hAnsiTheme="majorHAnsi" w:cstheme="majorHAnsi"/>
                <w:sz w:val="18"/>
                <w:szCs w:val="18"/>
              </w:rPr>
            </w:pPr>
            <w:r w:rsidRPr="001C0789">
              <w:rPr>
                <w:rFonts w:asciiTheme="majorHAnsi" w:hAnsiTheme="majorHAnsi" w:cstheme="majorHAnsi"/>
                <w:sz w:val="18"/>
                <w:szCs w:val="18"/>
              </w:rPr>
              <w:t>określenie na ile osiągnięto zamierzone cele, stopień realizacji (częściowo,</w:t>
            </w:r>
            <w:r w:rsidR="001D4A3F">
              <w:rPr>
                <w:rFonts w:asciiTheme="majorHAnsi" w:hAnsiTheme="majorHAnsi" w:cstheme="majorHAnsi"/>
                <w:sz w:val="18"/>
                <w:szCs w:val="18"/>
              </w:rPr>
              <w:t xml:space="preserve"> </w:t>
            </w:r>
            <w:r w:rsidRPr="001C0789">
              <w:rPr>
                <w:rFonts w:asciiTheme="majorHAnsi" w:hAnsiTheme="majorHAnsi" w:cstheme="majorHAnsi"/>
                <w:sz w:val="18"/>
                <w:szCs w:val="18"/>
              </w:rPr>
              <w:t>w pełni).</w:t>
            </w:r>
          </w:p>
        </w:tc>
      </w:tr>
      <w:tr w:rsidR="0060753F" w:rsidRPr="001C0789" w14:paraId="5A7948CE" w14:textId="77777777" w:rsidTr="00A858C3">
        <w:trPr>
          <w:trHeight w:val="624"/>
        </w:trPr>
        <w:tc>
          <w:tcPr>
            <w:tcW w:w="28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C249"/>
            <w:vAlign w:val="center"/>
          </w:tcPr>
          <w:p w14:paraId="17C7309B" w14:textId="77777777" w:rsidR="0060753F" w:rsidRPr="001C0789" w:rsidRDefault="0060753F" w:rsidP="00FC7062">
            <w:pPr>
              <w:spacing w:line="276" w:lineRule="auto"/>
              <w:jc w:val="center"/>
              <w:rPr>
                <w:rFonts w:asciiTheme="majorHAnsi" w:hAnsiTheme="majorHAnsi" w:cstheme="majorHAnsi"/>
                <w:b/>
                <w:bCs/>
                <w:color w:val="FFFFFF" w:themeColor="background1"/>
                <w:sz w:val="20"/>
                <w:szCs w:val="20"/>
                <w:lang w:eastAsia="pl-PL"/>
              </w:rPr>
            </w:pPr>
            <w:r w:rsidRPr="001C0789">
              <w:rPr>
                <w:rFonts w:asciiTheme="majorHAnsi" w:hAnsiTheme="majorHAnsi" w:cstheme="majorHAnsi"/>
                <w:b/>
                <w:bCs/>
                <w:color w:val="FFFFFF" w:themeColor="background1"/>
                <w:sz w:val="20"/>
                <w:szCs w:val="20"/>
                <w:lang w:eastAsia="pl-PL"/>
              </w:rPr>
              <w:t>Użyteczność (przydatność)</w:t>
            </w:r>
          </w:p>
        </w:tc>
        <w:tc>
          <w:tcPr>
            <w:tcW w:w="6197" w:type="dxa"/>
            <w:tcBorders>
              <w:top w:val="single" w:sz="4" w:space="0" w:color="A5C249"/>
              <w:left w:val="single" w:sz="4" w:space="0" w:color="FFFFFF" w:themeColor="background1"/>
              <w:bottom w:val="single" w:sz="4" w:space="0" w:color="A5C249"/>
            </w:tcBorders>
            <w:vAlign w:val="center"/>
          </w:tcPr>
          <w:p w14:paraId="4FA07A1B" w14:textId="77777777" w:rsidR="0060753F" w:rsidRPr="001C0789" w:rsidRDefault="0060753F" w:rsidP="00FC7062">
            <w:pPr>
              <w:spacing w:line="276" w:lineRule="auto"/>
              <w:rPr>
                <w:rFonts w:asciiTheme="majorHAnsi" w:hAnsiTheme="majorHAnsi" w:cstheme="majorHAnsi"/>
                <w:sz w:val="18"/>
                <w:szCs w:val="18"/>
              </w:rPr>
            </w:pPr>
            <w:r w:rsidRPr="001C0789">
              <w:rPr>
                <w:rFonts w:asciiTheme="majorHAnsi" w:hAnsiTheme="majorHAnsi" w:cstheme="majorHAnsi"/>
                <w:sz w:val="18"/>
                <w:szCs w:val="18"/>
              </w:rPr>
              <w:t>określenie dla jakich konkretnie grup działanie jest użyteczne</w:t>
            </w:r>
          </w:p>
        </w:tc>
      </w:tr>
      <w:tr w:rsidR="0060753F" w:rsidRPr="001C0789" w14:paraId="671AC06C" w14:textId="77777777" w:rsidTr="00A858C3">
        <w:trPr>
          <w:trHeight w:val="624"/>
        </w:trPr>
        <w:tc>
          <w:tcPr>
            <w:tcW w:w="28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5C249"/>
            <w:vAlign w:val="center"/>
          </w:tcPr>
          <w:p w14:paraId="79EAEF5C" w14:textId="77777777" w:rsidR="0060753F" w:rsidRPr="001C0789" w:rsidRDefault="0060753F" w:rsidP="00FC7062">
            <w:pPr>
              <w:spacing w:line="276" w:lineRule="auto"/>
              <w:jc w:val="center"/>
              <w:rPr>
                <w:rFonts w:asciiTheme="majorHAnsi" w:hAnsiTheme="majorHAnsi" w:cstheme="majorHAnsi"/>
                <w:b/>
                <w:bCs/>
                <w:color w:val="FFFFFF" w:themeColor="background1"/>
                <w:sz w:val="20"/>
                <w:szCs w:val="20"/>
                <w:lang w:eastAsia="pl-PL"/>
              </w:rPr>
            </w:pPr>
            <w:r w:rsidRPr="001C0789">
              <w:rPr>
                <w:rFonts w:asciiTheme="majorHAnsi" w:hAnsiTheme="majorHAnsi" w:cstheme="majorHAnsi"/>
                <w:b/>
                <w:bCs/>
                <w:color w:val="FFFFFF" w:themeColor="background1"/>
                <w:sz w:val="20"/>
                <w:szCs w:val="20"/>
                <w:lang w:eastAsia="pl-PL"/>
              </w:rPr>
              <w:t>Trwałość</w:t>
            </w:r>
          </w:p>
        </w:tc>
        <w:tc>
          <w:tcPr>
            <w:tcW w:w="6197" w:type="dxa"/>
            <w:tcBorders>
              <w:top w:val="single" w:sz="4" w:space="0" w:color="A5C249"/>
              <w:left w:val="single" w:sz="4" w:space="0" w:color="FFFFFF" w:themeColor="background1"/>
              <w:bottom w:val="single" w:sz="4" w:space="0" w:color="A5C249"/>
            </w:tcBorders>
            <w:vAlign w:val="center"/>
          </w:tcPr>
          <w:p w14:paraId="44ED852C" w14:textId="77777777" w:rsidR="0060753F" w:rsidRPr="001C0789" w:rsidRDefault="0060753F" w:rsidP="001D4A3F">
            <w:pPr>
              <w:spacing w:line="276" w:lineRule="auto"/>
              <w:jc w:val="both"/>
              <w:rPr>
                <w:rFonts w:asciiTheme="majorHAnsi" w:hAnsiTheme="majorHAnsi" w:cstheme="majorHAnsi"/>
                <w:sz w:val="18"/>
                <w:szCs w:val="18"/>
              </w:rPr>
            </w:pPr>
            <w:r w:rsidRPr="001C0789">
              <w:rPr>
                <w:rFonts w:asciiTheme="majorHAnsi" w:hAnsiTheme="majorHAnsi" w:cstheme="majorHAnsi"/>
                <w:sz w:val="18"/>
                <w:szCs w:val="18"/>
              </w:rPr>
              <w:t>określenie czy działanie jest trwałe, czy zachowana jest ciągłość działań, jego długookresowość.</w:t>
            </w:r>
          </w:p>
        </w:tc>
      </w:tr>
    </w:tbl>
    <w:p w14:paraId="0854EE77" w14:textId="77777777" w:rsidR="0060753F" w:rsidRDefault="0060753F" w:rsidP="00FC7062">
      <w:pPr>
        <w:pStyle w:val="Akapitzlist"/>
        <w:spacing w:after="0" w:line="276" w:lineRule="auto"/>
        <w:ind w:left="360"/>
        <w:rPr>
          <w:rFonts w:asciiTheme="majorHAnsi" w:hAnsiTheme="majorHAnsi" w:cstheme="majorHAnsi"/>
          <w:szCs w:val="20"/>
        </w:rPr>
      </w:pPr>
    </w:p>
    <w:p w14:paraId="3D4D0F0B" w14:textId="2D646D95" w:rsidR="00333169" w:rsidRPr="00333169" w:rsidRDefault="00333169" w:rsidP="001D4A3F">
      <w:pPr>
        <w:spacing w:after="0" w:line="276" w:lineRule="auto"/>
        <w:jc w:val="both"/>
        <w:rPr>
          <w:rFonts w:asciiTheme="majorHAnsi" w:hAnsiTheme="majorHAnsi" w:cstheme="majorHAnsi"/>
        </w:rPr>
      </w:pPr>
      <w:r w:rsidRPr="00333169">
        <w:rPr>
          <w:rFonts w:asciiTheme="majorHAnsi" w:hAnsiTheme="majorHAnsi" w:cstheme="majorHAnsi"/>
          <w:szCs w:val="20"/>
        </w:rPr>
        <w:t>W 2025</w:t>
      </w:r>
      <w:r w:rsidR="00F7062F">
        <w:rPr>
          <w:rFonts w:asciiTheme="majorHAnsi" w:hAnsiTheme="majorHAnsi" w:cstheme="majorHAnsi"/>
          <w:szCs w:val="20"/>
        </w:rPr>
        <w:t>r.</w:t>
      </w:r>
      <w:r w:rsidRPr="00333169">
        <w:rPr>
          <w:rFonts w:asciiTheme="majorHAnsi" w:hAnsiTheme="majorHAnsi" w:cstheme="majorHAnsi"/>
          <w:szCs w:val="20"/>
        </w:rPr>
        <w:t xml:space="preserve"> przewiduje się dokonanie okresowej ewaluac</w:t>
      </w:r>
      <w:r w:rsidR="00D36B20">
        <w:rPr>
          <w:rFonts w:asciiTheme="majorHAnsi" w:hAnsiTheme="majorHAnsi" w:cstheme="majorHAnsi"/>
          <w:szCs w:val="20"/>
        </w:rPr>
        <w:t>ji</w:t>
      </w:r>
      <w:r>
        <w:rPr>
          <w:rFonts w:asciiTheme="majorHAnsi" w:hAnsiTheme="majorHAnsi" w:cstheme="majorHAnsi"/>
          <w:szCs w:val="20"/>
        </w:rPr>
        <w:t xml:space="preserve"> stopnia realizacji Strategii. </w:t>
      </w:r>
      <w:r w:rsidRPr="00333169">
        <w:rPr>
          <w:rFonts w:asciiTheme="majorHAnsi" w:hAnsiTheme="majorHAnsi" w:cstheme="majorHAnsi"/>
        </w:rPr>
        <w:t>Wynikiem procesu ewaluacji będzie szczegółowy raport zawierający podsumowanie zestawień wyników uzyskanych w</w:t>
      </w:r>
      <w:r w:rsidR="007B7167">
        <w:rPr>
          <w:rFonts w:asciiTheme="majorHAnsi" w:hAnsiTheme="majorHAnsi" w:cstheme="majorHAnsi"/>
        </w:rPr>
        <w:t> </w:t>
      </w:r>
      <w:r w:rsidRPr="00333169">
        <w:rPr>
          <w:rFonts w:asciiTheme="majorHAnsi" w:hAnsiTheme="majorHAnsi" w:cstheme="majorHAnsi"/>
        </w:rPr>
        <w:t>ramach monitoringu (informacje roczne) wraz z oceną poziomu realizacji poszczególnych celów operacyjnych i strategicznych. Każdorazowo celem ewaluacji jest obiektywna krytyka wyników wdrażania programu, co pozwala ocenić również jakość samego systemu wdrażania i monitorowania. Przeglądy ewaluacyjne strategiczne mają na celu uzyskanie odpowiedzi na pytanie, w jaki sposób założenia i cele przekładane są na działania oraz wskazanie konieczności dokonania korekt (aktualizacji), także w kontekście projektowania kolejnego okresu planowania rozwoju Subregionu. Istotne jest aby procedura ewaluacji uwzględniała:</w:t>
      </w:r>
    </w:p>
    <w:p w14:paraId="5046DB3B" w14:textId="0B5EB1A7" w:rsidR="00333169" w:rsidRPr="00333169" w:rsidRDefault="00333169" w:rsidP="00624F1F">
      <w:pPr>
        <w:pStyle w:val="Akapitzlist"/>
        <w:numPr>
          <w:ilvl w:val="0"/>
          <w:numId w:val="22"/>
        </w:numPr>
        <w:spacing w:after="0" w:line="276" w:lineRule="auto"/>
        <w:jc w:val="both"/>
        <w:rPr>
          <w:rFonts w:asciiTheme="majorHAnsi" w:hAnsiTheme="majorHAnsi" w:cstheme="majorHAnsi"/>
        </w:rPr>
      </w:pPr>
      <w:r w:rsidRPr="00333169">
        <w:rPr>
          <w:rFonts w:asciiTheme="majorHAnsi" w:hAnsiTheme="majorHAnsi" w:cstheme="majorHAnsi"/>
        </w:rPr>
        <w:t xml:space="preserve">Aktualizację danych zawartych w diagnozie, </w:t>
      </w:r>
      <w:r w:rsidR="00E27393">
        <w:rPr>
          <w:rFonts w:asciiTheme="majorHAnsi" w:hAnsiTheme="majorHAnsi" w:cstheme="majorHAnsi"/>
        </w:rPr>
        <w:t>w</w:t>
      </w:r>
      <w:r w:rsidRPr="00333169">
        <w:rPr>
          <w:rFonts w:asciiTheme="majorHAnsi" w:hAnsiTheme="majorHAnsi" w:cstheme="majorHAnsi"/>
        </w:rPr>
        <w:t xml:space="preserve"> tym w szczególności analiz</w:t>
      </w:r>
      <w:r w:rsidR="00E27393">
        <w:rPr>
          <w:rFonts w:asciiTheme="majorHAnsi" w:hAnsiTheme="majorHAnsi" w:cstheme="majorHAnsi"/>
        </w:rPr>
        <w:t xml:space="preserve">ę </w:t>
      </w:r>
      <w:r w:rsidRPr="00333169">
        <w:rPr>
          <w:rFonts w:asciiTheme="majorHAnsi" w:hAnsiTheme="majorHAnsi" w:cstheme="majorHAnsi"/>
        </w:rPr>
        <w:t>źródeł wtórnych stanowiącej jeden z elementów strategii,</w:t>
      </w:r>
    </w:p>
    <w:p w14:paraId="49555627" w14:textId="77777777" w:rsidR="00333169" w:rsidRPr="00333169" w:rsidRDefault="00333169" w:rsidP="00624F1F">
      <w:pPr>
        <w:pStyle w:val="Akapitzlist"/>
        <w:numPr>
          <w:ilvl w:val="0"/>
          <w:numId w:val="22"/>
        </w:numPr>
        <w:spacing w:after="120" w:line="276" w:lineRule="auto"/>
        <w:jc w:val="both"/>
        <w:rPr>
          <w:rFonts w:asciiTheme="majorHAnsi" w:hAnsiTheme="majorHAnsi" w:cstheme="majorHAnsi"/>
        </w:rPr>
      </w:pPr>
      <w:r w:rsidRPr="00333169">
        <w:rPr>
          <w:rFonts w:asciiTheme="majorHAnsi" w:hAnsiTheme="majorHAnsi" w:cstheme="majorHAnsi"/>
        </w:rPr>
        <w:t xml:space="preserve">Raporty z przeglądów strategicznych są prezentowane na zgromadzeniu władz samorządowych Subregionu wraz z rekomendacjami korekt, aktualizacji, uzupełnienia zawartości Strategii </w:t>
      </w:r>
    </w:p>
    <w:p w14:paraId="74C279E8" w14:textId="77777777" w:rsidR="00333169" w:rsidRDefault="00333169" w:rsidP="001D4A3F">
      <w:pPr>
        <w:spacing w:line="276" w:lineRule="auto"/>
        <w:jc w:val="both"/>
        <w:rPr>
          <w:rFonts w:asciiTheme="majorHAnsi" w:hAnsiTheme="majorHAnsi" w:cstheme="majorHAnsi"/>
        </w:rPr>
      </w:pPr>
      <w:r w:rsidRPr="00333169">
        <w:rPr>
          <w:rFonts w:asciiTheme="majorHAnsi" w:hAnsiTheme="majorHAnsi" w:cstheme="majorHAnsi"/>
        </w:rPr>
        <w:t xml:space="preserve">Zmiany w Strategii Rozwoju </w:t>
      </w:r>
      <w:r w:rsidR="00AA1955">
        <w:rPr>
          <w:rFonts w:asciiTheme="majorHAnsi" w:hAnsiTheme="majorHAnsi" w:cstheme="majorHAnsi"/>
        </w:rPr>
        <w:t>OF</w:t>
      </w:r>
      <w:r w:rsidRPr="00333169">
        <w:rPr>
          <w:rFonts w:asciiTheme="majorHAnsi" w:hAnsiTheme="majorHAnsi" w:cstheme="majorHAnsi"/>
        </w:rPr>
        <w:t xml:space="preserve"> dokonywane będą podczas posiedzenia władz samorządów – sygnatariuszy porozumienia, na</w:t>
      </w:r>
      <w:r w:rsidR="00AA1955">
        <w:rPr>
          <w:rFonts w:asciiTheme="majorHAnsi" w:hAnsiTheme="majorHAnsi" w:cstheme="majorHAnsi"/>
        </w:rPr>
        <w:t xml:space="preserve"> </w:t>
      </w:r>
      <w:r w:rsidRPr="00333169">
        <w:rPr>
          <w:rFonts w:asciiTheme="majorHAnsi" w:hAnsiTheme="majorHAnsi" w:cstheme="majorHAnsi"/>
        </w:rPr>
        <w:t xml:space="preserve">wniosek </w:t>
      </w:r>
      <w:r w:rsidR="00D63965">
        <w:rPr>
          <w:rFonts w:asciiTheme="majorHAnsi" w:hAnsiTheme="majorHAnsi" w:cstheme="majorHAnsi"/>
        </w:rPr>
        <w:t>Pełnomocnika</w:t>
      </w:r>
      <w:r w:rsidR="00D63965" w:rsidRPr="00D63965">
        <w:rPr>
          <w:rFonts w:asciiTheme="majorHAnsi" w:hAnsiTheme="majorHAnsi" w:cstheme="majorHAnsi"/>
        </w:rPr>
        <w:t xml:space="preserve"> ds. Obszaru Funkcjonalnego</w:t>
      </w:r>
      <w:r w:rsidR="00D63965">
        <w:rPr>
          <w:rFonts w:asciiTheme="majorHAnsi" w:hAnsiTheme="majorHAnsi" w:cstheme="majorHAnsi"/>
        </w:rPr>
        <w:t>.</w:t>
      </w:r>
      <w:r w:rsidR="00D63965" w:rsidRPr="00D63965">
        <w:rPr>
          <w:rFonts w:asciiTheme="majorHAnsi" w:hAnsiTheme="majorHAnsi" w:cstheme="majorHAnsi"/>
        </w:rPr>
        <w:t xml:space="preserve"> </w:t>
      </w:r>
      <w:r w:rsidRPr="00333169">
        <w:rPr>
          <w:rFonts w:asciiTheme="majorHAnsi" w:hAnsiTheme="majorHAnsi" w:cstheme="majorHAnsi"/>
        </w:rPr>
        <w:t>Wskazane jest, aby rekomendowane zmian</w:t>
      </w:r>
      <w:r w:rsidR="00D65974">
        <w:rPr>
          <w:rFonts w:asciiTheme="majorHAnsi" w:hAnsiTheme="majorHAnsi" w:cstheme="majorHAnsi"/>
        </w:rPr>
        <w:t xml:space="preserve">y były wcześniej konsultowane i </w:t>
      </w:r>
      <w:r w:rsidRPr="00333169">
        <w:rPr>
          <w:rFonts w:asciiTheme="majorHAnsi" w:hAnsiTheme="majorHAnsi" w:cstheme="majorHAnsi"/>
        </w:rPr>
        <w:t>uzyskały akceptację na poziomie koordynatorów z ramienia poszczególnych JST.</w:t>
      </w:r>
    </w:p>
    <w:p w14:paraId="63CBA82C" w14:textId="74B77B34" w:rsidR="00333169" w:rsidRPr="00333169" w:rsidRDefault="00333169" w:rsidP="001D4A3F">
      <w:pPr>
        <w:spacing w:line="276" w:lineRule="auto"/>
        <w:jc w:val="both"/>
        <w:rPr>
          <w:rFonts w:asciiTheme="majorHAnsi" w:hAnsiTheme="majorHAnsi" w:cstheme="majorHAnsi"/>
        </w:rPr>
      </w:pPr>
      <w:r w:rsidRPr="00333169">
        <w:rPr>
          <w:rFonts w:asciiTheme="majorHAnsi" w:hAnsiTheme="majorHAnsi" w:cstheme="majorHAnsi"/>
        </w:rPr>
        <w:t>Celem ewaluacji będzie porównanie założonych w strategii oddziaływań i efektów jej wdrażania z</w:t>
      </w:r>
      <w:r w:rsidR="007B7167">
        <w:rPr>
          <w:rFonts w:asciiTheme="majorHAnsi" w:hAnsiTheme="majorHAnsi" w:cstheme="majorHAnsi"/>
        </w:rPr>
        <w:t> </w:t>
      </w:r>
      <w:r w:rsidRPr="00333169">
        <w:rPr>
          <w:rFonts w:asciiTheme="majorHAnsi" w:hAnsiTheme="majorHAnsi" w:cstheme="majorHAnsi"/>
        </w:rPr>
        <w:t>faktycznie osiągniętymi efektami. Na tej podstawie formułowane będą zalecenia na kolejne lata wdrażania Strategii. Ocena końcowa zostanie przeprowadzona po zakończeniu całego okresu, w jakim realizowane mają być działania ujęte w strategii. Wnioski z oceny (przy wykorzystaniu narzędzi stosowanych w ramach przeglądów strategicznych) posłużą jako rekomendacje dla planowania rozwoju w następny</w:t>
      </w:r>
      <w:r w:rsidR="00E27393">
        <w:rPr>
          <w:rFonts w:asciiTheme="majorHAnsi" w:hAnsiTheme="majorHAnsi" w:cstheme="majorHAnsi"/>
        </w:rPr>
        <w:t>m</w:t>
      </w:r>
      <w:r w:rsidRPr="00333169">
        <w:rPr>
          <w:rFonts w:asciiTheme="majorHAnsi" w:hAnsiTheme="majorHAnsi" w:cstheme="majorHAnsi"/>
        </w:rPr>
        <w:t xml:space="preserve"> okresie planowania strategicznego. Rekomendowana procedura ewaluacji Strategii obejmuje zaangażowanie niezależnych podmiotów zewnętrznych. Ewaluacja może dodatkowo obejmować przeprowadzenie badań sondażowych (w szczególności uwzględniających wykorzystanie elementów narzędzi, które zostały zastosowane na etapie diagnozy w ramach opracowania Strategii</w:t>
      </w:r>
      <w:r w:rsidR="00E27393">
        <w:rPr>
          <w:rFonts w:asciiTheme="majorHAnsi" w:hAnsiTheme="majorHAnsi" w:cstheme="majorHAnsi"/>
        </w:rPr>
        <w:t>)</w:t>
      </w:r>
      <w:r w:rsidRPr="00333169">
        <w:rPr>
          <w:rFonts w:asciiTheme="majorHAnsi" w:hAnsiTheme="majorHAnsi" w:cstheme="majorHAnsi"/>
        </w:rPr>
        <w:t>.</w:t>
      </w:r>
    </w:p>
    <w:p w14:paraId="16FF9999" w14:textId="77777777" w:rsidR="0060753F" w:rsidRPr="0060753F" w:rsidRDefault="0060753F" w:rsidP="00F76286">
      <w:pPr>
        <w:spacing w:line="276" w:lineRule="auto"/>
        <w:jc w:val="both"/>
        <w:rPr>
          <w:rFonts w:asciiTheme="majorHAnsi" w:hAnsiTheme="majorHAnsi" w:cstheme="majorHAnsi"/>
          <w:szCs w:val="20"/>
        </w:rPr>
      </w:pPr>
      <w:r w:rsidRPr="0060753F">
        <w:rPr>
          <w:rFonts w:asciiTheme="majorHAnsi" w:hAnsiTheme="majorHAnsi" w:cstheme="majorHAnsi"/>
          <w:szCs w:val="20"/>
        </w:rPr>
        <w:t xml:space="preserve">Ewaluacja powinna być związana z nową perspektywą finansową Unii Europejskiej (2021-2027). Zmiany w zapisach Strategii Rozwoju </w:t>
      </w:r>
      <w:r>
        <w:rPr>
          <w:rFonts w:asciiTheme="majorHAnsi" w:hAnsiTheme="majorHAnsi" w:cstheme="majorHAnsi"/>
          <w:szCs w:val="20"/>
        </w:rPr>
        <w:t xml:space="preserve">Obszaru Funkcjonalnego </w:t>
      </w:r>
      <w:r w:rsidRPr="0060753F">
        <w:rPr>
          <w:rFonts w:asciiTheme="majorHAnsi" w:hAnsiTheme="majorHAnsi" w:cstheme="majorHAnsi"/>
          <w:szCs w:val="20"/>
        </w:rPr>
        <w:t>mogą wynikać także z powstania nowych dokumentów strategicznych na poziomie kraju i Unii Europejskiej lub pojawienia się nowych, znaczących dla rozwoju powiatu instrumentów prawnych, finansowych itp.</w:t>
      </w:r>
    </w:p>
    <w:p w14:paraId="29685C2F" w14:textId="77777777" w:rsidR="001D4A3F" w:rsidRPr="001D4A3F" w:rsidRDefault="001D4A3F" w:rsidP="001D4A3F">
      <w:pPr>
        <w:spacing w:line="276" w:lineRule="auto"/>
        <w:jc w:val="both"/>
        <w:rPr>
          <w:rFonts w:asciiTheme="majorHAnsi" w:hAnsiTheme="majorHAnsi" w:cstheme="majorHAnsi"/>
        </w:rPr>
      </w:pPr>
      <w:r w:rsidRPr="001D4A3F">
        <w:rPr>
          <w:rFonts w:asciiTheme="majorHAnsi" w:hAnsiTheme="majorHAnsi" w:cstheme="majorHAnsi"/>
        </w:rPr>
        <w:t>Uwzględniając ścisłe powiązania procesu monitoringu oraz oceny okresowej (ewaluacji) struktura zarządzania procesem wdrażania Strategii obejmuje fazy: formułowania / wdrażania / systematycznego monitoringu i ewaluacji. Poniższy schemat ilustruje kluczowe zależności poszczególnych etapów procesu wdrażania Strategii.</w:t>
      </w:r>
    </w:p>
    <w:p w14:paraId="23A54AB2" w14:textId="77777777" w:rsidR="001D4A3F" w:rsidRDefault="001D4A3F" w:rsidP="001D4A3F">
      <w:pPr>
        <w:pStyle w:val="Legenda"/>
        <w:keepNext/>
      </w:pPr>
      <w:bookmarkStart w:id="116" w:name="_Toc399333231"/>
      <w:bookmarkStart w:id="117" w:name="_Toc81301563"/>
      <w:r>
        <w:t xml:space="preserve">Rysunek </w:t>
      </w:r>
      <w:r w:rsidR="002E1EA5">
        <w:rPr>
          <w:noProof/>
        </w:rPr>
        <w:fldChar w:fldCharType="begin"/>
      </w:r>
      <w:r w:rsidR="002E1EA5">
        <w:rPr>
          <w:noProof/>
        </w:rPr>
        <w:instrText xml:space="preserve"> SEQ Rysunek \* ARABIC </w:instrText>
      </w:r>
      <w:r w:rsidR="002E1EA5">
        <w:rPr>
          <w:noProof/>
        </w:rPr>
        <w:fldChar w:fldCharType="separate"/>
      </w:r>
      <w:r w:rsidR="006C7815">
        <w:rPr>
          <w:noProof/>
        </w:rPr>
        <w:t>35</w:t>
      </w:r>
      <w:r w:rsidR="002E1EA5">
        <w:rPr>
          <w:noProof/>
        </w:rPr>
        <w:fldChar w:fldCharType="end"/>
      </w:r>
      <w:r>
        <w:t xml:space="preserve"> Struktura zarządzania procesem wdrażania Strategii</w:t>
      </w:r>
      <w:bookmarkEnd w:id="116"/>
      <w:bookmarkEnd w:id="117"/>
    </w:p>
    <w:p w14:paraId="172F5D6B" w14:textId="77777777" w:rsidR="001D4A3F" w:rsidRDefault="001D4A3F" w:rsidP="001D4A3F">
      <w:r w:rsidRPr="00B26D4E">
        <w:rPr>
          <w:noProof/>
          <w:lang w:eastAsia="pl-PL"/>
        </w:rPr>
        <w:drawing>
          <wp:inline distT="0" distB="0" distL="0" distR="0" wp14:anchorId="2165C322" wp14:editId="57FBAEF7">
            <wp:extent cx="5760720" cy="2952750"/>
            <wp:effectExtent l="0" t="0" r="0" b="0"/>
            <wp:docPr id="449" name="Obraz 449" descr="C:\Users\Mateusz\Desktop\KKSOF\KKSOF - struktura wdrażan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Mateusz\Desktop\KKSOF\KKSOF - struktura wdrażania.pn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760720" cy="2952750"/>
                    </a:xfrm>
                    <a:prstGeom prst="rect">
                      <a:avLst/>
                    </a:prstGeom>
                    <a:noFill/>
                    <a:ln>
                      <a:noFill/>
                    </a:ln>
                  </pic:spPr>
                </pic:pic>
              </a:graphicData>
            </a:graphic>
          </wp:inline>
        </w:drawing>
      </w:r>
    </w:p>
    <w:p w14:paraId="0F1F81AE" w14:textId="77777777" w:rsidR="001D4A3F" w:rsidRDefault="001D4A3F" w:rsidP="001D4A3F">
      <w:pPr>
        <w:pStyle w:val="rdo"/>
      </w:pPr>
      <w:r>
        <w:t>Źródło: opracowanie własne</w:t>
      </w:r>
    </w:p>
    <w:p w14:paraId="46BE9F57" w14:textId="77777777" w:rsidR="001D4A3F" w:rsidRDefault="001D4A3F" w:rsidP="004A6B2F">
      <w:pPr>
        <w:pStyle w:val="Mayrozdzia"/>
      </w:pPr>
    </w:p>
    <w:p w14:paraId="19F3B01D" w14:textId="77777777" w:rsidR="001D4A3F" w:rsidRDefault="001D4A3F" w:rsidP="004A6B2F">
      <w:pPr>
        <w:pStyle w:val="Mayrozdzia"/>
      </w:pPr>
      <w:r>
        <w:t>Wskaźniki</w:t>
      </w:r>
    </w:p>
    <w:p w14:paraId="34B80467" w14:textId="77777777" w:rsidR="001D4A3F" w:rsidRPr="001D4A3F" w:rsidRDefault="001D4A3F" w:rsidP="001D4A3F">
      <w:pPr>
        <w:jc w:val="both"/>
        <w:rPr>
          <w:rFonts w:asciiTheme="majorHAnsi" w:hAnsiTheme="majorHAnsi" w:cstheme="majorHAnsi"/>
        </w:rPr>
      </w:pPr>
      <w:r w:rsidRPr="001D4A3F">
        <w:rPr>
          <w:rFonts w:asciiTheme="majorHAnsi" w:hAnsiTheme="majorHAnsi" w:cstheme="majorHAnsi"/>
        </w:rPr>
        <w:t>Podstawowym źródłem wskaźników proponowanych do wykorzystania na potrzeby procedur monitoringu i</w:t>
      </w:r>
      <w:r w:rsidR="00BF3FA5">
        <w:rPr>
          <w:rFonts w:asciiTheme="majorHAnsi" w:hAnsiTheme="majorHAnsi" w:cstheme="majorHAnsi"/>
        </w:rPr>
        <w:t xml:space="preserve"> ewaluacji wdrażania Strategii </w:t>
      </w:r>
      <w:r w:rsidRPr="001D4A3F">
        <w:rPr>
          <w:rFonts w:asciiTheme="majorHAnsi" w:hAnsiTheme="majorHAnsi" w:cstheme="majorHAnsi"/>
        </w:rPr>
        <w:t>są oficjalne dane statystyczne zapewniane przez system polskiej statystyki publicznej.</w:t>
      </w:r>
      <w:r w:rsidRPr="001D4A3F">
        <w:rPr>
          <w:rStyle w:val="Odwoanieprzypisudolnego"/>
          <w:rFonts w:asciiTheme="majorHAnsi" w:hAnsiTheme="majorHAnsi" w:cstheme="majorHAnsi"/>
        </w:rPr>
        <w:footnoteReference w:id="49"/>
      </w:r>
      <w:r w:rsidRPr="001D4A3F">
        <w:rPr>
          <w:rFonts w:asciiTheme="majorHAnsi" w:hAnsiTheme="majorHAnsi" w:cstheme="majorHAnsi"/>
        </w:rPr>
        <w:t xml:space="preserve"> Wykorzystano metodologię rekomendowaną w ramach projektu systemowego Ministerstwa Infrastruktury i Rozwoju – „Strategicznie dla Rozwoju”.</w:t>
      </w:r>
    </w:p>
    <w:p w14:paraId="128DC248" w14:textId="77777777" w:rsidR="001D4A3F" w:rsidRPr="001D4A3F" w:rsidRDefault="001D4A3F" w:rsidP="00761E14">
      <w:pPr>
        <w:spacing w:after="0"/>
        <w:jc w:val="both"/>
        <w:rPr>
          <w:rFonts w:asciiTheme="majorHAnsi" w:hAnsiTheme="majorHAnsi" w:cstheme="majorHAnsi"/>
        </w:rPr>
      </w:pPr>
      <w:r w:rsidRPr="001D4A3F">
        <w:rPr>
          <w:rFonts w:asciiTheme="majorHAnsi" w:hAnsiTheme="majorHAnsi" w:cstheme="majorHAnsi"/>
        </w:rPr>
        <w:t xml:space="preserve">Jako wartości bazowe dla wskaźników Strategii przyjmuje się dane zawarte w diagnozie społeczno-gospodarczej dla </w:t>
      </w:r>
      <w:r w:rsidR="00761E14">
        <w:rPr>
          <w:rFonts w:asciiTheme="majorHAnsi" w:hAnsiTheme="majorHAnsi" w:cstheme="majorHAnsi"/>
        </w:rPr>
        <w:t>OF</w:t>
      </w:r>
      <w:r w:rsidRPr="001D4A3F">
        <w:rPr>
          <w:rFonts w:asciiTheme="majorHAnsi" w:hAnsiTheme="majorHAnsi" w:cstheme="majorHAnsi"/>
        </w:rPr>
        <w:t xml:space="preserve"> oraz agregację na poziomie Subregionu. Wskaźniki zdefiniowano na poziomie celów strategicznych – każdy z proponowanych wskaźników spełnia dwa podstawowe warunki </w:t>
      </w:r>
      <w:r w:rsidR="00A778ED">
        <w:rPr>
          <w:rFonts w:asciiTheme="majorHAnsi" w:hAnsiTheme="majorHAnsi" w:cstheme="majorHAnsi"/>
        </w:rPr>
        <w:br/>
      </w:r>
      <w:r w:rsidRPr="001D4A3F">
        <w:rPr>
          <w:rFonts w:asciiTheme="majorHAnsi" w:hAnsiTheme="majorHAnsi" w:cstheme="majorHAnsi"/>
        </w:rPr>
        <w:t>dla efektywnego pomiaru postępu realizacji celów (uzyskanych rezultatów interwencji w ramach Strategii):</w:t>
      </w:r>
    </w:p>
    <w:p w14:paraId="6362F5FB" w14:textId="77777777" w:rsidR="001D4A3F" w:rsidRPr="001D4A3F" w:rsidRDefault="001D4A3F" w:rsidP="00624F1F">
      <w:pPr>
        <w:pStyle w:val="Akapitzlist"/>
        <w:numPr>
          <w:ilvl w:val="0"/>
          <w:numId w:val="23"/>
        </w:numPr>
        <w:spacing w:after="0" w:line="276" w:lineRule="auto"/>
        <w:jc w:val="both"/>
        <w:rPr>
          <w:rFonts w:asciiTheme="majorHAnsi" w:hAnsiTheme="majorHAnsi" w:cstheme="majorHAnsi"/>
        </w:rPr>
      </w:pPr>
      <w:r w:rsidRPr="001D4A3F">
        <w:rPr>
          <w:rFonts w:asciiTheme="majorHAnsi" w:hAnsiTheme="majorHAnsi" w:cstheme="majorHAnsi"/>
        </w:rPr>
        <w:t>Umożliwiają pomiar zmiany wartości w wyniku interwencji publicznej,</w:t>
      </w:r>
    </w:p>
    <w:p w14:paraId="6683965E" w14:textId="77777777" w:rsidR="001D4A3F" w:rsidRPr="001D4A3F" w:rsidRDefault="001D4A3F" w:rsidP="00624F1F">
      <w:pPr>
        <w:pStyle w:val="Akapitzlist"/>
        <w:numPr>
          <w:ilvl w:val="0"/>
          <w:numId w:val="23"/>
        </w:numPr>
        <w:spacing w:after="0" w:line="276" w:lineRule="auto"/>
        <w:jc w:val="both"/>
        <w:rPr>
          <w:rFonts w:asciiTheme="majorHAnsi" w:hAnsiTheme="majorHAnsi" w:cstheme="majorHAnsi"/>
        </w:rPr>
      </w:pPr>
      <w:r w:rsidRPr="001D4A3F">
        <w:rPr>
          <w:rFonts w:asciiTheme="majorHAnsi" w:hAnsiTheme="majorHAnsi" w:cstheme="majorHAnsi"/>
        </w:rPr>
        <w:t>Są ściśle skorelowane z treścią celu, do którego są przyporządkowane.</w:t>
      </w:r>
    </w:p>
    <w:p w14:paraId="612C7B79" w14:textId="77777777" w:rsidR="00761E14" w:rsidRDefault="00761E14" w:rsidP="00086C63">
      <w:pPr>
        <w:spacing w:after="0"/>
        <w:jc w:val="both"/>
        <w:rPr>
          <w:rFonts w:asciiTheme="majorHAnsi" w:hAnsiTheme="majorHAnsi" w:cstheme="majorHAnsi"/>
        </w:rPr>
      </w:pPr>
    </w:p>
    <w:p w14:paraId="0289BD4F" w14:textId="6E8E158B" w:rsidR="00AD2EE7" w:rsidRDefault="001D4A3F" w:rsidP="001D4A3F">
      <w:pPr>
        <w:jc w:val="both"/>
        <w:rPr>
          <w:rFonts w:asciiTheme="majorHAnsi" w:hAnsiTheme="majorHAnsi" w:cstheme="majorHAnsi"/>
        </w:rPr>
      </w:pPr>
      <w:r w:rsidRPr="001D4A3F">
        <w:rPr>
          <w:rFonts w:asciiTheme="majorHAnsi" w:hAnsiTheme="majorHAnsi" w:cstheme="majorHAnsi"/>
        </w:rPr>
        <w:t>Nie zdefiniowano wartości docelowych dla poszczególnych wskaźników, gdyż proponowane kierunki interwencji strategicznej są zbyt mocno powiązane z jednostkowymi działaniami podejmowanymi na poziomie lokalnym (samorządy gminne i powiatowe) oraz na poziomie makro – samorząd województwa, instytucje krajowe. Jednocześnie wskaźniki proponowane dają możliwość uzyskania rzetelnego i</w:t>
      </w:r>
      <w:r w:rsidR="007B7167">
        <w:rPr>
          <w:rFonts w:asciiTheme="majorHAnsi" w:hAnsiTheme="majorHAnsi" w:cstheme="majorHAnsi"/>
        </w:rPr>
        <w:t> </w:t>
      </w:r>
      <w:r w:rsidRPr="001D4A3F">
        <w:rPr>
          <w:rFonts w:asciiTheme="majorHAnsi" w:hAnsiTheme="majorHAnsi" w:cstheme="majorHAnsi"/>
        </w:rPr>
        <w:t xml:space="preserve">wiarygodnego obrazu zmian zachodzących w </w:t>
      </w:r>
      <w:r w:rsidR="00903F3B">
        <w:rPr>
          <w:rFonts w:asciiTheme="majorHAnsi" w:hAnsiTheme="majorHAnsi" w:cstheme="majorHAnsi"/>
        </w:rPr>
        <w:t>OF</w:t>
      </w:r>
      <w:r w:rsidRPr="001D4A3F">
        <w:rPr>
          <w:rFonts w:asciiTheme="majorHAnsi" w:hAnsiTheme="majorHAnsi" w:cstheme="majorHAnsi"/>
        </w:rPr>
        <w:t xml:space="preserve"> w kontekście wdrażania projektów (w tym w</w:t>
      </w:r>
      <w:r w:rsidR="007B7167">
        <w:rPr>
          <w:rFonts w:asciiTheme="majorHAnsi" w:hAnsiTheme="majorHAnsi" w:cstheme="majorHAnsi"/>
        </w:rPr>
        <w:t> </w:t>
      </w:r>
      <w:r w:rsidRPr="001D4A3F">
        <w:rPr>
          <w:rFonts w:asciiTheme="majorHAnsi" w:hAnsiTheme="majorHAnsi" w:cstheme="majorHAnsi"/>
        </w:rPr>
        <w:t>szczególności działań i projektów o charakterze zintegrowanym) w ramach Strategii Rozwoju.</w:t>
      </w:r>
    </w:p>
    <w:p w14:paraId="5BDD78B2" w14:textId="77777777" w:rsidR="00AD2EE7" w:rsidRDefault="00AD2EE7">
      <w:pPr>
        <w:rPr>
          <w:rFonts w:asciiTheme="majorHAnsi" w:hAnsiTheme="majorHAnsi" w:cstheme="majorHAnsi"/>
        </w:rPr>
      </w:pPr>
      <w:r>
        <w:rPr>
          <w:rFonts w:asciiTheme="majorHAnsi" w:hAnsiTheme="majorHAnsi" w:cstheme="majorHAnsi"/>
        </w:rPr>
        <w:br w:type="page"/>
      </w:r>
    </w:p>
    <w:p w14:paraId="1BB7A051" w14:textId="77777777" w:rsidR="001D4A3F" w:rsidRPr="001D4A3F" w:rsidRDefault="001D4A3F" w:rsidP="001D4A3F">
      <w:pPr>
        <w:jc w:val="both"/>
        <w:rPr>
          <w:rFonts w:asciiTheme="majorHAnsi" w:hAnsiTheme="majorHAnsi" w:cstheme="majorHAnsi"/>
        </w:rPr>
      </w:pPr>
    </w:p>
    <w:p w14:paraId="793025D6" w14:textId="3BE3F65A" w:rsidR="00903F3B" w:rsidRDefault="00575FF9" w:rsidP="00575FF9">
      <w:pPr>
        <w:pStyle w:val="nad"/>
      </w:pPr>
      <w:bookmarkStart w:id="118" w:name="_Toc81300555"/>
      <w:r>
        <w:t xml:space="preserve">Tabela </w:t>
      </w:r>
      <w:r w:rsidR="004B0800">
        <w:rPr>
          <w:noProof/>
        </w:rPr>
        <w:fldChar w:fldCharType="begin"/>
      </w:r>
      <w:r w:rsidR="004B0800">
        <w:rPr>
          <w:noProof/>
        </w:rPr>
        <w:instrText xml:space="preserve"> SEQ Tabela \* ARABIC </w:instrText>
      </w:r>
      <w:r w:rsidR="004B0800">
        <w:rPr>
          <w:noProof/>
        </w:rPr>
        <w:fldChar w:fldCharType="separate"/>
      </w:r>
      <w:r w:rsidR="006C7815">
        <w:rPr>
          <w:noProof/>
        </w:rPr>
        <w:t>29</w:t>
      </w:r>
      <w:r w:rsidR="004B0800">
        <w:rPr>
          <w:noProof/>
        </w:rPr>
        <w:fldChar w:fldCharType="end"/>
      </w:r>
      <w:r>
        <w:t xml:space="preserve"> </w:t>
      </w:r>
      <w:r w:rsidR="00C92F2D" w:rsidRPr="00C92F2D">
        <w:t>System monitorowania realizacji strategii w podziale na cele strategiczne</w:t>
      </w:r>
      <w:bookmarkEnd w:id="118"/>
    </w:p>
    <w:tbl>
      <w:tblPr>
        <w:tblStyle w:val="Tabela-Siatka"/>
        <w:tblW w:w="5000" w:type="pct"/>
        <w:jc w:val="center"/>
        <w:tblBorders>
          <w:top w:val="single" w:sz="4" w:space="0" w:color="A6A6A6" w:themeColor="background1" w:themeShade="A6"/>
          <w:left w:val="single" w:sz="18" w:space="0" w:color="FFFFFF" w:themeColor="background1"/>
          <w:bottom w:val="single" w:sz="4" w:space="0" w:color="A6A6A6" w:themeColor="background1" w:themeShade="A6"/>
          <w:right w:val="single" w:sz="18" w:space="0" w:color="FFFFFF" w:themeColor="background1"/>
          <w:insideH w:val="single" w:sz="4" w:space="0" w:color="A6A6A6" w:themeColor="background1" w:themeShade="A6"/>
          <w:insideV w:val="single" w:sz="4" w:space="0" w:color="A6A6A6" w:themeColor="background1" w:themeShade="A6"/>
        </w:tblBorders>
        <w:tblCellMar>
          <w:top w:w="85" w:type="dxa"/>
          <w:bottom w:w="57" w:type="dxa"/>
        </w:tblCellMar>
        <w:tblLook w:val="04A0" w:firstRow="1" w:lastRow="0" w:firstColumn="1" w:lastColumn="0" w:noHBand="0" w:noVBand="1"/>
      </w:tblPr>
      <w:tblGrid>
        <w:gridCol w:w="2255"/>
        <w:gridCol w:w="2258"/>
        <w:gridCol w:w="2834"/>
        <w:gridCol w:w="1677"/>
      </w:tblGrid>
      <w:tr w:rsidR="00C92F2D" w:rsidRPr="00C92F2D" w14:paraId="24DE1A31" w14:textId="77777777" w:rsidTr="001676E7">
        <w:trPr>
          <w:trHeight w:val="113"/>
          <w:jc w:val="center"/>
        </w:trPr>
        <w:tc>
          <w:tcPr>
            <w:tcW w:w="1250" w:type="pct"/>
            <w:shd w:val="clear" w:color="auto" w:fill="FFFFFF" w:themeFill="background1"/>
            <w:vAlign w:val="center"/>
          </w:tcPr>
          <w:p w14:paraId="5B9D5CB9" w14:textId="77777777" w:rsidR="00C92F2D" w:rsidRPr="00991965" w:rsidRDefault="00C92F2D" w:rsidP="00575FF9">
            <w:pPr>
              <w:jc w:val="center"/>
              <w:rPr>
                <w:rFonts w:asciiTheme="majorHAnsi" w:hAnsiTheme="majorHAnsi" w:cstheme="majorHAnsi"/>
                <w:b/>
                <w:sz w:val="18"/>
                <w:szCs w:val="18"/>
              </w:rPr>
            </w:pPr>
            <w:r w:rsidRPr="00991965">
              <w:rPr>
                <w:rFonts w:asciiTheme="majorHAnsi" w:hAnsiTheme="majorHAnsi" w:cstheme="majorHAnsi"/>
                <w:b/>
                <w:sz w:val="18"/>
                <w:szCs w:val="18"/>
              </w:rPr>
              <w:t>Nazwa wskaźnika</w:t>
            </w:r>
          </w:p>
        </w:tc>
        <w:tc>
          <w:tcPr>
            <w:tcW w:w="1251" w:type="pct"/>
            <w:shd w:val="clear" w:color="auto" w:fill="FFFFFF" w:themeFill="background1"/>
            <w:vAlign w:val="center"/>
          </w:tcPr>
          <w:p w14:paraId="3EFAF980" w14:textId="77777777" w:rsidR="00C92F2D" w:rsidRPr="00991965" w:rsidRDefault="00C92F2D" w:rsidP="00575FF9">
            <w:pPr>
              <w:jc w:val="center"/>
              <w:rPr>
                <w:rFonts w:asciiTheme="majorHAnsi" w:hAnsiTheme="majorHAnsi" w:cstheme="majorHAnsi"/>
                <w:b/>
                <w:sz w:val="18"/>
                <w:szCs w:val="18"/>
              </w:rPr>
            </w:pPr>
            <w:r w:rsidRPr="00991965">
              <w:rPr>
                <w:rFonts w:asciiTheme="majorHAnsi" w:hAnsiTheme="majorHAnsi" w:cstheme="majorHAnsi"/>
                <w:b/>
                <w:sz w:val="18"/>
                <w:szCs w:val="18"/>
              </w:rPr>
              <w:t>Źródło danych</w:t>
            </w:r>
          </w:p>
        </w:tc>
        <w:tc>
          <w:tcPr>
            <w:tcW w:w="1570" w:type="pct"/>
            <w:shd w:val="clear" w:color="auto" w:fill="FFFFFF" w:themeFill="background1"/>
            <w:vAlign w:val="center"/>
          </w:tcPr>
          <w:p w14:paraId="3D428A9A" w14:textId="77777777" w:rsidR="00C92F2D" w:rsidRPr="00991965" w:rsidRDefault="00C92F2D" w:rsidP="00575FF9">
            <w:pPr>
              <w:jc w:val="center"/>
              <w:rPr>
                <w:rFonts w:asciiTheme="majorHAnsi" w:hAnsiTheme="majorHAnsi" w:cstheme="majorHAnsi"/>
                <w:b/>
                <w:sz w:val="18"/>
                <w:szCs w:val="18"/>
              </w:rPr>
            </w:pPr>
            <w:r w:rsidRPr="00991965">
              <w:rPr>
                <w:rFonts w:asciiTheme="majorHAnsi" w:hAnsiTheme="majorHAnsi" w:cstheme="majorHAnsi"/>
                <w:b/>
                <w:sz w:val="18"/>
                <w:szCs w:val="18"/>
              </w:rPr>
              <w:t>Wartość bazowa (na podstawie danych roku 2019 oraz roku 2018)</w:t>
            </w:r>
          </w:p>
        </w:tc>
        <w:tc>
          <w:tcPr>
            <w:tcW w:w="929" w:type="pct"/>
            <w:shd w:val="clear" w:color="auto" w:fill="FFFFFF" w:themeFill="background1"/>
            <w:vAlign w:val="center"/>
          </w:tcPr>
          <w:p w14:paraId="3CCC0D63" w14:textId="77777777" w:rsidR="00C92F2D" w:rsidRPr="00991965" w:rsidRDefault="00C92F2D" w:rsidP="00575FF9">
            <w:pPr>
              <w:jc w:val="center"/>
              <w:rPr>
                <w:rFonts w:asciiTheme="majorHAnsi" w:hAnsiTheme="majorHAnsi" w:cstheme="majorHAnsi"/>
                <w:b/>
                <w:sz w:val="18"/>
                <w:szCs w:val="18"/>
              </w:rPr>
            </w:pPr>
            <w:r w:rsidRPr="00991965">
              <w:rPr>
                <w:rFonts w:asciiTheme="majorHAnsi" w:hAnsiTheme="majorHAnsi" w:cstheme="majorHAnsi"/>
                <w:b/>
                <w:sz w:val="18"/>
                <w:szCs w:val="18"/>
              </w:rPr>
              <w:t>Wartość docelowa</w:t>
            </w:r>
          </w:p>
          <w:p w14:paraId="7B2A67D4" w14:textId="77777777" w:rsidR="00C92F2D" w:rsidRPr="00C92F2D" w:rsidRDefault="00C92F2D" w:rsidP="00575FF9">
            <w:pPr>
              <w:jc w:val="center"/>
              <w:rPr>
                <w:rFonts w:asciiTheme="majorHAnsi" w:hAnsiTheme="majorHAnsi" w:cstheme="majorHAnsi"/>
                <w:b/>
                <w:sz w:val="18"/>
                <w:szCs w:val="18"/>
              </w:rPr>
            </w:pPr>
            <w:r w:rsidRPr="00991965">
              <w:rPr>
                <w:rFonts w:asciiTheme="majorHAnsi" w:hAnsiTheme="majorHAnsi" w:cstheme="majorHAnsi"/>
                <w:b/>
                <w:sz w:val="18"/>
                <w:szCs w:val="18"/>
              </w:rPr>
              <w:t>2030 (tendencja)</w:t>
            </w:r>
          </w:p>
        </w:tc>
      </w:tr>
      <w:tr w:rsidR="00C92F2D" w:rsidRPr="00C92F2D" w14:paraId="3ECF04DC" w14:textId="77777777" w:rsidTr="00575FF9">
        <w:trPr>
          <w:trHeight w:val="113"/>
          <w:jc w:val="center"/>
        </w:trPr>
        <w:tc>
          <w:tcPr>
            <w:tcW w:w="5000" w:type="pct"/>
            <w:gridSpan w:val="4"/>
            <w:shd w:val="clear" w:color="auto" w:fill="5B9BD5"/>
            <w:vAlign w:val="center"/>
          </w:tcPr>
          <w:p w14:paraId="779F8C1C" w14:textId="77777777" w:rsidR="00C92F2D" w:rsidRPr="00C92F2D" w:rsidRDefault="00C92F2D" w:rsidP="00575FF9">
            <w:pPr>
              <w:jc w:val="center"/>
              <w:rPr>
                <w:rFonts w:asciiTheme="majorHAnsi" w:hAnsiTheme="majorHAnsi" w:cstheme="majorHAnsi"/>
                <w:sz w:val="18"/>
                <w:szCs w:val="18"/>
              </w:rPr>
            </w:pPr>
            <w:r w:rsidRPr="00C92F2D">
              <w:rPr>
                <w:rFonts w:asciiTheme="majorHAnsi" w:hAnsiTheme="majorHAnsi" w:cstheme="majorHAnsi"/>
                <w:sz w:val="18"/>
                <w:szCs w:val="18"/>
              </w:rPr>
              <w:t>Cel strategiczny 1 Tworzenie warunków dla dynamicznego wzrostu gospodarczego w oparciu o wydajny układ komunikacyjny i tworzenie atrakcyjnych terenów inwestycyjnych</w:t>
            </w:r>
          </w:p>
        </w:tc>
      </w:tr>
      <w:tr w:rsidR="00C92F2D" w:rsidRPr="00C92F2D" w14:paraId="4C1F92C3" w14:textId="77777777" w:rsidTr="001676E7">
        <w:trPr>
          <w:trHeight w:val="113"/>
          <w:jc w:val="center"/>
        </w:trPr>
        <w:tc>
          <w:tcPr>
            <w:tcW w:w="1250" w:type="pct"/>
            <w:shd w:val="clear" w:color="auto" w:fill="FFFFFF" w:themeFill="background1"/>
            <w:vAlign w:val="center"/>
          </w:tcPr>
          <w:p w14:paraId="26FA3AF9" w14:textId="77777777" w:rsidR="00C92F2D" w:rsidRPr="00575FF9" w:rsidRDefault="00C92F2D" w:rsidP="00575FF9">
            <w:pPr>
              <w:jc w:val="center"/>
              <w:rPr>
                <w:rFonts w:asciiTheme="majorHAnsi" w:hAnsiTheme="majorHAnsi" w:cstheme="majorHAnsi"/>
                <w:sz w:val="18"/>
                <w:szCs w:val="18"/>
              </w:rPr>
            </w:pPr>
            <w:r w:rsidRPr="00575FF9">
              <w:rPr>
                <w:rFonts w:asciiTheme="majorHAnsi" w:hAnsiTheme="majorHAnsi" w:cstheme="majorHAnsi"/>
                <w:sz w:val="18"/>
                <w:szCs w:val="18"/>
              </w:rPr>
              <w:t>Długość wybudowanych / zmodernizowanych dróg ponadregionalnych [km]</w:t>
            </w:r>
          </w:p>
        </w:tc>
        <w:tc>
          <w:tcPr>
            <w:tcW w:w="1251" w:type="pct"/>
            <w:shd w:val="clear" w:color="auto" w:fill="FFFFFF" w:themeFill="background1"/>
            <w:vAlign w:val="center"/>
          </w:tcPr>
          <w:p w14:paraId="68B52E22" w14:textId="77777777" w:rsidR="00C92F2D" w:rsidRPr="00C92F2D" w:rsidRDefault="00C92F2D" w:rsidP="00575FF9">
            <w:pPr>
              <w:jc w:val="center"/>
              <w:rPr>
                <w:rFonts w:asciiTheme="majorHAnsi" w:hAnsiTheme="majorHAnsi" w:cstheme="majorHAnsi"/>
                <w:sz w:val="18"/>
                <w:szCs w:val="18"/>
              </w:rPr>
            </w:pPr>
            <w:r w:rsidRPr="00C92F2D">
              <w:rPr>
                <w:rFonts w:asciiTheme="majorHAnsi" w:hAnsiTheme="majorHAnsi" w:cstheme="majorHAnsi"/>
                <w:sz w:val="18"/>
                <w:szCs w:val="18"/>
              </w:rPr>
              <w:t>Starostwa powiatowe wchodzące w skład Mazur Południowych</w:t>
            </w:r>
          </w:p>
        </w:tc>
        <w:tc>
          <w:tcPr>
            <w:tcW w:w="1570" w:type="pct"/>
            <w:shd w:val="clear" w:color="auto" w:fill="FFFFFF" w:themeFill="background1"/>
            <w:vAlign w:val="center"/>
          </w:tcPr>
          <w:p w14:paraId="09B7B9BA" w14:textId="77777777" w:rsidR="00C92F2D" w:rsidRPr="00C92F2D" w:rsidRDefault="00C92F2D" w:rsidP="00575FF9">
            <w:pPr>
              <w:jc w:val="center"/>
              <w:rPr>
                <w:rFonts w:asciiTheme="majorHAnsi" w:hAnsiTheme="majorHAnsi" w:cstheme="majorHAnsi"/>
                <w:sz w:val="18"/>
                <w:szCs w:val="18"/>
              </w:rPr>
            </w:pPr>
            <w:r w:rsidRPr="00C92F2D">
              <w:rPr>
                <w:rFonts w:asciiTheme="majorHAnsi" w:hAnsiTheme="majorHAnsi" w:cstheme="majorHAnsi"/>
                <w:sz w:val="18"/>
                <w:szCs w:val="18"/>
              </w:rPr>
              <w:t>0</w:t>
            </w:r>
          </w:p>
        </w:tc>
        <w:tc>
          <w:tcPr>
            <w:tcW w:w="929" w:type="pct"/>
            <w:shd w:val="clear" w:color="auto" w:fill="FFFFFF" w:themeFill="background1"/>
            <w:vAlign w:val="center"/>
          </w:tcPr>
          <w:p w14:paraId="685CD335" w14:textId="77777777" w:rsidR="00C92F2D" w:rsidRPr="00C92F2D" w:rsidRDefault="00C92F2D" w:rsidP="00575FF9">
            <w:pPr>
              <w:jc w:val="center"/>
              <w:rPr>
                <w:rFonts w:asciiTheme="majorHAnsi" w:hAnsiTheme="majorHAnsi" w:cstheme="majorHAnsi"/>
                <w:sz w:val="18"/>
                <w:szCs w:val="18"/>
              </w:rPr>
            </w:pPr>
            <w:r w:rsidRPr="00C92F2D">
              <w:rPr>
                <w:rFonts w:asciiTheme="majorHAnsi" w:hAnsiTheme="majorHAnsi" w:cstheme="majorHAnsi"/>
                <w:sz w:val="18"/>
                <w:szCs w:val="18"/>
              </w:rPr>
              <w:t>Wzrost</w:t>
            </w:r>
          </w:p>
        </w:tc>
      </w:tr>
      <w:tr w:rsidR="00C92F2D" w:rsidRPr="00C92F2D" w14:paraId="4F029252" w14:textId="77777777" w:rsidTr="001676E7">
        <w:trPr>
          <w:trHeight w:val="113"/>
          <w:jc w:val="center"/>
        </w:trPr>
        <w:tc>
          <w:tcPr>
            <w:tcW w:w="1250" w:type="pct"/>
            <w:shd w:val="clear" w:color="auto" w:fill="FFFFFF" w:themeFill="background1"/>
            <w:vAlign w:val="center"/>
          </w:tcPr>
          <w:p w14:paraId="724E1C00" w14:textId="77777777" w:rsidR="00C92F2D" w:rsidRPr="00575FF9" w:rsidRDefault="00C92F2D" w:rsidP="00575FF9">
            <w:pPr>
              <w:rPr>
                <w:rFonts w:asciiTheme="majorHAnsi" w:hAnsiTheme="majorHAnsi" w:cstheme="majorHAnsi"/>
                <w:sz w:val="18"/>
                <w:szCs w:val="18"/>
              </w:rPr>
            </w:pPr>
            <w:r w:rsidRPr="00575FF9">
              <w:rPr>
                <w:rFonts w:asciiTheme="majorHAnsi" w:hAnsiTheme="majorHAnsi" w:cstheme="majorHAnsi"/>
                <w:sz w:val="18"/>
                <w:szCs w:val="18"/>
              </w:rPr>
              <w:t>Długość wybudowanych / zmodernizowanych dróg powiatowych [km]</w:t>
            </w:r>
          </w:p>
        </w:tc>
        <w:tc>
          <w:tcPr>
            <w:tcW w:w="1251" w:type="pct"/>
            <w:shd w:val="clear" w:color="auto" w:fill="FFFFFF" w:themeFill="background1"/>
            <w:vAlign w:val="center"/>
          </w:tcPr>
          <w:p w14:paraId="3995320C" w14:textId="77777777" w:rsidR="00C92F2D" w:rsidRPr="00C92F2D" w:rsidRDefault="00C92F2D" w:rsidP="00575FF9">
            <w:pPr>
              <w:jc w:val="center"/>
              <w:rPr>
                <w:rFonts w:asciiTheme="majorHAnsi" w:hAnsiTheme="majorHAnsi" w:cstheme="majorHAnsi"/>
                <w:sz w:val="18"/>
                <w:szCs w:val="18"/>
              </w:rPr>
            </w:pPr>
            <w:r w:rsidRPr="00C92F2D">
              <w:rPr>
                <w:rFonts w:asciiTheme="majorHAnsi" w:hAnsiTheme="majorHAnsi" w:cstheme="majorHAnsi"/>
                <w:sz w:val="18"/>
                <w:szCs w:val="18"/>
              </w:rPr>
              <w:t>Starostwa powiatowe wchodzące w skład Mazur Południowych</w:t>
            </w:r>
          </w:p>
        </w:tc>
        <w:tc>
          <w:tcPr>
            <w:tcW w:w="1570" w:type="pct"/>
            <w:shd w:val="clear" w:color="auto" w:fill="FFFFFF" w:themeFill="background1"/>
            <w:vAlign w:val="center"/>
          </w:tcPr>
          <w:p w14:paraId="2BADCE8D" w14:textId="77777777" w:rsidR="00C92F2D" w:rsidRPr="00C92F2D" w:rsidRDefault="00C92F2D" w:rsidP="00575FF9">
            <w:pPr>
              <w:jc w:val="center"/>
              <w:rPr>
                <w:rFonts w:asciiTheme="majorHAnsi" w:hAnsiTheme="majorHAnsi" w:cstheme="majorHAnsi"/>
                <w:sz w:val="18"/>
                <w:szCs w:val="18"/>
              </w:rPr>
            </w:pPr>
            <w:r w:rsidRPr="00C92F2D">
              <w:rPr>
                <w:rFonts w:asciiTheme="majorHAnsi" w:hAnsiTheme="majorHAnsi" w:cstheme="majorHAnsi"/>
                <w:sz w:val="18"/>
                <w:szCs w:val="18"/>
              </w:rPr>
              <w:t>0</w:t>
            </w:r>
          </w:p>
        </w:tc>
        <w:tc>
          <w:tcPr>
            <w:tcW w:w="929" w:type="pct"/>
            <w:shd w:val="clear" w:color="auto" w:fill="FFFFFF" w:themeFill="background1"/>
            <w:vAlign w:val="center"/>
          </w:tcPr>
          <w:p w14:paraId="45D9C90B" w14:textId="77777777" w:rsidR="00C92F2D" w:rsidRPr="00C92F2D" w:rsidRDefault="00C92F2D" w:rsidP="00575FF9">
            <w:pPr>
              <w:jc w:val="center"/>
              <w:rPr>
                <w:rFonts w:asciiTheme="majorHAnsi" w:hAnsiTheme="majorHAnsi" w:cstheme="majorHAnsi"/>
                <w:sz w:val="18"/>
                <w:szCs w:val="18"/>
              </w:rPr>
            </w:pPr>
            <w:r w:rsidRPr="00C92F2D">
              <w:rPr>
                <w:rFonts w:asciiTheme="majorHAnsi" w:hAnsiTheme="majorHAnsi" w:cstheme="majorHAnsi"/>
                <w:sz w:val="18"/>
                <w:szCs w:val="18"/>
              </w:rPr>
              <w:t>Wzrost</w:t>
            </w:r>
          </w:p>
        </w:tc>
      </w:tr>
      <w:tr w:rsidR="00C92F2D" w:rsidRPr="00C92F2D" w14:paraId="0E0D4B38" w14:textId="77777777" w:rsidTr="00575FF9">
        <w:trPr>
          <w:trHeight w:val="113"/>
          <w:jc w:val="center"/>
        </w:trPr>
        <w:tc>
          <w:tcPr>
            <w:tcW w:w="5000" w:type="pct"/>
            <w:gridSpan w:val="4"/>
            <w:shd w:val="clear" w:color="auto" w:fill="5B9BD5"/>
            <w:vAlign w:val="center"/>
          </w:tcPr>
          <w:p w14:paraId="30B44023" w14:textId="77777777" w:rsidR="00C92F2D" w:rsidRPr="00C92F2D" w:rsidRDefault="00C92F2D" w:rsidP="00575FF9">
            <w:pPr>
              <w:jc w:val="center"/>
              <w:rPr>
                <w:rFonts w:asciiTheme="majorHAnsi" w:hAnsiTheme="majorHAnsi" w:cstheme="majorHAnsi"/>
                <w:sz w:val="18"/>
                <w:szCs w:val="18"/>
              </w:rPr>
            </w:pPr>
            <w:r w:rsidRPr="00C92F2D">
              <w:rPr>
                <w:rFonts w:asciiTheme="majorHAnsi" w:hAnsiTheme="majorHAnsi" w:cstheme="majorHAnsi"/>
                <w:sz w:val="18"/>
                <w:szCs w:val="18"/>
              </w:rPr>
              <w:t>Cel strategiczny 2 Zapewnienie wysokiej jakości życia mieszkańców poprzez efektywną gospodarkę energetyczną, ochronę gleb, powietrza i środowiska naturalnego</w:t>
            </w:r>
          </w:p>
        </w:tc>
      </w:tr>
      <w:tr w:rsidR="00C92F2D" w:rsidRPr="00C92F2D" w14:paraId="1428B31F" w14:textId="77777777" w:rsidTr="001676E7">
        <w:trPr>
          <w:trHeight w:val="113"/>
          <w:jc w:val="center"/>
        </w:trPr>
        <w:tc>
          <w:tcPr>
            <w:tcW w:w="1250" w:type="pct"/>
            <w:shd w:val="clear" w:color="auto" w:fill="FFFFFF" w:themeFill="background1"/>
            <w:vAlign w:val="center"/>
          </w:tcPr>
          <w:p w14:paraId="2F0B6847" w14:textId="77777777" w:rsidR="00C92F2D" w:rsidRPr="00575FF9" w:rsidRDefault="00C92F2D" w:rsidP="00575FF9">
            <w:pPr>
              <w:jc w:val="center"/>
              <w:rPr>
                <w:rFonts w:asciiTheme="majorHAnsi" w:hAnsiTheme="majorHAnsi" w:cstheme="majorHAnsi"/>
                <w:sz w:val="18"/>
                <w:szCs w:val="18"/>
              </w:rPr>
            </w:pPr>
            <w:r w:rsidRPr="00575FF9">
              <w:rPr>
                <w:rFonts w:asciiTheme="majorHAnsi" w:hAnsiTheme="majorHAnsi" w:cstheme="majorHAnsi"/>
                <w:sz w:val="18"/>
                <w:szCs w:val="18"/>
              </w:rPr>
              <w:t>Ludność gmin Subregionu korzystająca z sieci kanalizacyjnej w % ogółem ludności [%]</w:t>
            </w:r>
          </w:p>
        </w:tc>
        <w:tc>
          <w:tcPr>
            <w:tcW w:w="1251" w:type="pct"/>
            <w:shd w:val="clear" w:color="auto" w:fill="FFFFFF" w:themeFill="background1"/>
            <w:vAlign w:val="center"/>
          </w:tcPr>
          <w:p w14:paraId="63AC49D3" w14:textId="77777777" w:rsidR="00C92F2D" w:rsidRPr="00C92F2D" w:rsidRDefault="00C92F2D" w:rsidP="00575FF9">
            <w:pPr>
              <w:jc w:val="center"/>
              <w:rPr>
                <w:rFonts w:asciiTheme="majorHAnsi" w:hAnsiTheme="majorHAnsi" w:cstheme="majorHAnsi"/>
                <w:sz w:val="18"/>
                <w:szCs w:val="18"/>
              </w:rPr>
            </w:pPr>
            <w:r w:rsidRPr="00575FF9">
              <w:rPr>
                <w:rFonts w:asciiTheme="majorHAnsi" w:hAnsiTheme="majorHAnsi" w:cstheme="majorHAnsi"/>
                <w:sz w:val="18"/>
                <w:szCs w:val="18"/>
              </w:rPr>
              <w:t>Bank Danych Lokalnych Głównego Urzędu Statystycznego</w:t>
            </w:r>
          </w:p>
        </w:tc>
        <w:tc>
          <w:tcPr>
            <w:tcW w:w="1570" w:type="pct"/>
            <w:shd w:val="clear" w:color="auto" w:fill="FFFFFF" w:themeFill="background1"/>
            <w:vAlign w:val="center"/>
          </w:tcPr>
          <w:p w14:paraId="63992248" w14:textId="03BDBFB3" w:rsidR="00C92F2D" w:rsidRPr="00C92F2D" w:rsidRDefault="00C92F2D" w:rsidP="00575FF9">
            <w:pPr>
              <w:pStyle w:val="Akapitzlist"/>
              <w:ind w:left="360"/>
              <w:jc w:val="center"/>
              <w:rPr>
                <w:rFonts w:asciiTheme="majorHAnsi" w:hAnsiTheme="majorHAnsi" w:cstheme="majorHAnsi"/>
                <w:sz w:val="18"/>
                <w:szCs w:val="18"/>
              </w:rPr>
            </w:pPr>
            <w:r w:rsidRPr="00C92F2D">
              <w:rPr>
                <w:rFonts w:asciiTheme="majorHAnsi" w:hAnsiTheme="majorHAnsi" w:cstheme="majorHAnsi"/>
                <w:sz w:val="18"/>
                <w:szCs w:val="18"/>
              </w:rPr>
              <w:t>65,42</w:t>
            </w:r>
          </w:p>
        </w:tc>
        <w:tc>
          <w:tcPr>
            <w:tcW w:w="929" w:type="pct"/>
            <w:shd w:val="clear" w:color="auto" w:fill="FFFFFF" w:themeFill="background1"/>
            <w:vAlign w:val="center"/>
          </w:tcPr>
          <w:p w14:paraId="04C4FCF3" w14:textId="77777777" w:rsidR="00C92F2D" w:rsidRPr="00C92F2D" w:rsidRDefault="00C92F2D" w:rsidP="00575FF9">
            <w:pPr>
              <w:pStyle w:val="Akapitzlist"/>
              <w:ind w:left="360"/>
              <w:jc w:val="center"/>
              <w:rPr>
                <w:rFonts w:asciiTheme="majorHAnsi" w:hAnsiTheme="majorHAnsi" w:cstheme="majorHAnsi"/>
                <w:sz w:val="18"/>
                <w:szCs w:val="18"/>
              </w:rPr>
            </w:pPr>
            <w:r w:rsidRPr="00C92F2D">
              <w:rPr>
                <w:rFonts w:asciiTheme="majorHAnsi" w:hAnsiTheme="majorHAnsi" w:cstheme="majorHAnsi"/>
                <w:sz w:val="18"/>
                <w:szCs w:val="18"/>
              </w:rPr>
              <w:t>Wzrost</w:t>
            </w:r>
          </w:p>
        </w:tc>
      </w:tr>
      <w:tr w:rsidR="00C92F2D" w:rsidRPr="00C92F2D" w14:paraId="7C5737A2" w14:textId="77777777" w:rsidTr="001676E7">
        <w:trPr>
          <w:trHeight w:val="113"/>
          <w:jc w:val="center"/>
        </w:trPr>
        <w:tc>
          <w:tcPr>
            <w:tcW w:w="1250" w:type="pct"/>
            <w:shd w:val="clear" w:color="auto" w:fill="FFFFFF" w:themeFill="background1"/>
            <w:vAlign w:val="center"/>
          </w:tcPr>
          <w:p w14:paraId="786C729E" w14:textId="7DF1ECB7" w:rsidR="00C92F2D" w:rsidRPr="00575FF9" w:rsidRDefault="0032342C" w:rsidP="00575FF9">
            <w:pPr>
              <w:jc w:val="center"/>
              <w:rPr>
                <w:rFonts w:asciiTheme="majorHAnsi" w:hAnsiTheme="majorHAnsi" w:cstheme="majorHAnsi"/>
                <w:sz w:val="18"/>
                <w:szCs w:val="18"/>
              </w:rPr>
            </w:pPr>
            <w:r w:rsidRPr="00575FF9">
              <w:rPr>
                <w:rFonts w:asciiTheme="majorHAnsi" w:hAnsiTheme="majorHAnsi" w:cstheme="majorHAnsi"/>
                <w:sz w:val="18"/>
                <w:szCs w:val="18"/>
              </w:rPr>
              <w:t>Ludność gmin Subregionu korzystająca z sieci wodociągowej w % ogółem ludności [%]</w:t>
            </w:r>
          </w:p>
        </w:tc>
        <w:tc>
          <w:tcPr>
            <w:tcW w:w="1251" w:type="pct"/>
            <w:shd w:val="clear" w:color="auto" w:fill="FFFFFF" w:themeFill="background1"/>
            <w:vAlign w:val="center"/>
          </w:tcPr>
          <w:p w14:paraId="737606BD" w14:textId="77777777" w:rsidR="00C92F2D" w:rsidRPr="0032342C" w:rsidRDefault="00C92F2D" w:rsidP="00575FF9">
            <w:pPr>
              <w:jc w:val="center"/>
              <w:rPr>
                <w:rFonts w:asciiTheme="majorHAnsi" w:hAnsiTheme="majorHAnsi" w:cstheme="majorHAnsi"/>
                <w:sz w:val="18"/>
                <w:szCs w:val="18"/>
              </w:rPr>
            </w:pPr>
            <w:r w:rsidRPr="00575FF9">
              <w:rPr>
                <w:rFonts w:asciiTheme="majorHAnsi" w:hAnsiTheme="majorHAnsi" w:cstheme="majorHAnsi"/>
                <w:sz w:val="18"/>
                <w:szCs w:val="18"/>
              </w:rPr>
              <w:t>Bank Danych Lokalnych Głównego Urzędu Statystycznego</w:t>
            </w:r>
          </w:p>
        </w:tc>
        <w:tc>
          <w:tcPr>
            <w:tcW w:w="1570" w:type="pct"/>
            <w:shd w:val="clear" w:color="auto" w:fill="FFFFFF" w:themeFill="background1"/>
            <w:vAlign w:val="center"/>
          </w:tcPr>
          <w:p w14:paraId="11ED7DDE" w14:textId="685443E6" w:rsidR="00C92F2D" w:rsidRPr="00E16CFC" w:rsidRDefault="00E16CFC" w:rsidP="00575FF9">
            <w:pPr>
              <w:pStyle w:val="Akapitzlist"/>
              <w:ind w:left="360"/>
              <w:jc w:val="center"/>
              <w:rPr>
                <w:rFonts w:asciiTheme="majorHAnsi" w:hAnsiTheme="majorHAnsi" w:cstheme="majorHAnsi"/>
                <w:sz w:val="18"/>
                <w:szCs w:val="18"/>
              </w:rPr>
            </w:pPr>
            <w:r w:rsidRPr="00E16CFC">
              <w:rPr>
                <w:rFonts w:asciiTheme="majorHAnsi" w:hAnsiTheme="majorHAnsi" w:cstheme="majorHAnsi"/>
                <w:sz w:val="18"/>
                <w:szCs w:val="18"/>
              </w:rPr>
              <w:t>91,24</w:t>
            </w:r>
          </w:p>
        </w:tc>
        <w:tc>
          <w:tcPr>
            <w:tcW w:w="929" w:type="pct"/>
            <w:shd w:val="clear" w:color="auto" w:fill="FFFFFF" w:themeFill="background1"/>
            <w:vAlign w:val="center"/>
          </w:tcPr>
          <w:p w14:paraId="5F027534" w14:textId="77777777" w:rsidR="00C92F2D" w:rsidRPr="00575FF9" w:rsidRDefault="00C92F2D" w:rsidP="00575FF9">
            <w:pPr>
              <w:pStyle w:val="Akapitzlist"/>
              <w:ind w:left="360"/>
              <w:jc w:val="center"/>
              <w:rPr>
                <w:rFonts w:asciiTheme="majorHAnsi" w:hAnsiTheme="majorHAnsi" w:cstheme="majorHAnsi"/>
                <w:sz w:val="18"/>
                <w:szCs w:val="18"/>
              </w:rPr>
            </w:pPr>
            <w:r w:rsidRPr="00575FF9">
              <w:rPr>
                <w:rFonts w:asciiTheme="majorHAnsi" w:hAnsiTheme="majorHAnsi" w:cstheme="majorHAnsi"/>
                <w:sz w:val="18"/>
                <w:szCs w:val="18"/>
              </w:rPr>
              <w:t>Wzrost</w:t>
            </w:r>
          </w:p>
        </w:tc>
      </w:tr>
      <w:tr w:rsidR="00C92F2D" w:rsidRPr="00C92F2D" w14:paraId="0E5E17A5" w14:textId="77777777" w:rsidTr="00575FF9">
        <w:trPr>
          <w:trHeight w:val="113"/>
          <w:jc w:val="center"/>
        </w:trPr>
        <w:tc>
          <w:tcPr>
            <w:tcW w:w="5000" w:type="pct"/>
            <w:gridSpan w:val="4"/>
            <w:shd w:val="clear" w:color="auto" w:fill="92D050"/>
            <w:vAlign w:val="center"/>
          </w:tcPr>
          <w:p w14:paraId="38FE49B3" w14:textId="77777777" w:rsidR="00C92F2D" w:rsidRPr="00C92F2D" w:rsidRDefault="00C92F2D" w:rsidP="00575FF9">
            <w:pPr>
              <w:jc w:val="center"/>
              <w:rPr>
                <w:rFonts w:asciiTheme="majorHAnsi" w:hAnsiTheme="majorHAnsi" w:cstheme="majorHAnsi"/>
                <w:sz w:val="18"/>
                <w:szCs w:val="18"/>
              </w:rPr>
            </w:pPr>
            <w:r w:rsidRPr="00C92F2D">
              <w:rPr>
                <w:rFonts w:asciiTheme="majorHAnsi" w:hAnsiTheme="majorHAnsi" w:cstheme="majorHAnsi"/>
                <w:sz w:val="18"/>
                <w:szCs w:val="18"/>
              </w:rPr>
              <w:t>Cel strategiczny 3 Dywersyfikacja struktury gospodarczej Obszaru Funkcjonalnego przy wykorzystaniu unikatowego potencjału zasobów lokalnych - dziedzictwa przyrody i kultury</w:t>
            </w:r>
          </w:p>
        </w:tc>
      </w:tr>
      <w:tr w:rsidR="00C92F2D" w:rsidRPr="00C92F2D" w14:paraId="1E496E04" w14:textId="77777777" w:rsidTr="001676E7">
        <w:trPr>
          <w:trHeight w:val="113"/>
          <w:jc w:val="center"/>
        </w:trPr>
        <w:tc>
          <w:tcPr>
            <w:tcW w:w="1250" w:type="pct"/>
            <w:shd w:val="clear" w:color="auto" w:fill="FFFFFF" w:themeFill="background1"/>
            <w:vAlign w:val="center"/>
          </w:tcPr>
          <w:p w14:paraId="4ABDD096" w14:textId="77777777" w:rsidR="00C92F2D" w:rsidRPr="00575FF9" w:rsidRDefault="00C92F2D" w:rsidP="00575FF9">
            <w:pPr>
              <w:jc w:val="center"/>
              <w:rPr>
                <w:rFonts w:asciiTheme="majorHAnsi" w:hAnsiTheme="majorHAnsi" w:cstheme="majorHAnsi"/>
                <w:sz w:val="18"/>
                <w:szCs w:val="18"/>
              </w:rPr>
            </w:pPr>
            <w:r w:rsidRPr="00575FF9">
              <w:rPr>
                <w:rFonts w:asciiTheme="majorHAnsi" w:hAnsiTheme="majorHAnsi" w:cstheme="majorHAnsi"/>
                <w:sz w:val="18"/>
                <w:szCs w:val="18"/>
              </w:rPr>
              <w:t>Podmioty wpisane do rejestru REGON na 1000 osób ogółem [jedn. gosp.]</w:t>
            </w:r>
          </w:p>
        </w:tc>
        <w:tc>
          <w:tcPr>
            <w:tcW w:w="1251" w:type="pct"/>
            <w:shd w:val="clear" w:color="auto" w:fill="FFFFFF" w:themeFill="background1"/>
            <w:vAlign w:val="center"/>
          </w:tcPr>
          <w:p w14:paraId="6EF7D472" w14:textId="77777777" w:rsidR="00C92F2D" w:rsidRPr="00C92F2D" w:rsidRDefault="00C92F2D" w:rsidP="00575FF9">
            <w:pPr>
              <w:jc w:val="center"/>
              <w:rPr>
                <w:rFonts w:asciiTheme="majorHAnsi" w:hAnsiTheme="majorHAnsi" w:cstheme="majorHAnsi"/>
                <w:sz w:val="18"/>
                <w:szCs w:val="18"/>
              </w:rPr>
            </w:pPr>
            <w:r w:rsidRPr="00575FF9">
              <w:rPr>
                <w:rFonts w:asciiTheme="majorHAnsi" w:hAnsiTheme="majorHAnsi" w:cstheme="majorHAnsi"/>
                <w:sz w:val="18"/>
                <w:szCs w:val="18"/>
              </w:rPr>
              <w:t>Bank Danych Lokalnych Głównego Urzędu Statystycznego</w:t>
            </w:r>
          </w:p>
        </w:tc>
        <w:tc>
          <w:tcPr>
            <w:tcW w:w="1570" w:type="pct"/>
            <w:shd w:val="clear" w:color="auto" w:fill="FFFFFF" w:themeFill="background1"/>
            <w:vAlign w:val="center"/>
          </w:tcPr>
          <w:p w14:paraId="349DFDF8" w14:textId="77777777" w:rsidR="00C92F2D" w:rsidRPr="00C92F2D" w:rsidRDefault="00C92F2D" w:rsidP="00575FF9">
            <w:pPr>
              <w:pStyle w:val="Akapitzlist"/>
              <w:ind w:left="360"/>
              <w:jc w:val="center"/>
              <w:rPr>
                <w:rFonts w:asciiTheme="majorHAnsi" w:hAnsiTheme="majorHAnsi" w:cstheme="majorHAnsi"/>
                <w:sz w:val="18"/>
                <w:szCs w:val="18"/>
              </w:rPr>
            </w:pPr>
            <w:r w:rsidRPr="00C92F2D">
              <w:rPr>
                <w:rFonts w:asciiTheme="majorHAnsi" w:hAnsiTheme="majorHAnsi" w:cstheme="majorHAnsi"/>
                <w:sz w:val="18"/>
                <w:szCs w:val="18"/>
              </w:rPr>
              <w:t>74,80</w:t>
            </w:r>
          </w:p>
        </w:tc>
        <w:tc>
          <w:tcPr>
            <w:tcW w:w="929" w:type="pct"/>
            <w:shd w:val="clear" w:color="auto" w:fill="FFFFFF" w:themeFill="background1"/>
            <w:vAlign w:val="center"/>
          </w:tcPr>
          <w:p w14:paraId="2C24E3F1" w14:textId="77777777" w:rsidR="00C92F2D" w:rsidRPr="00C92F2D" w:rsidRDefault="00C92F2D" w:rsidP="00575FF9">
            <w:pPr>
              <w:pStyle w:val="Akapitzlist"/>
              <w:ind w:left="45" w:hanging="45"/>
              <w:jc w:val="center"/>
              <w:rPr>
                <w:rFonts w:asciiTheme="majorHAnsi" w:hAnsiTheme="majorHAnsi" w:cstheme="majorHAnsi"/>
                <w:sz w:val="18"/>
                <w:szCs w:val="18"/>
              </w:rPr>
            </w:pPr>
            <w:r w:rsidRPr="00C92F2D">
              <w:rPr>
                <w:rFonts w:asciiTheme="majorHAnsi" w:hAnsiTheme="majorHAnsi" w:cstheme="majorHAnsi"/>
                <w:sz w:val="18"/>
                <w:szCs w:val="18"/>
              </w:rPr>
              <w:t>Wzrost</w:t>
            </w:r>
          </w:p>
        </w:tc>
      </w:tr>
      <w:tr w:rsidR="00C92F2D" w:rsidRPr="00C92F2D" w14:paraId="59CC303D" w14:textId="77777777" w:rsidTr="001676E7">
        <w:trPr>
          <w:trHeight w:val="113"/>
          <w:jc w:val="center"/>
        </w:trPr>
        <w:tc>
          <w:tcPr>
            <w:tcW w:w="1250" w:type="pct"/>
            <w:shd w:val="clear" w:color="auto" w:fill="FFFFFF" w:themeFill="background1"/>
            <w:vAlign w:val="center"/>
          </w:tcPr>
          <w:p w14:paraId="2BAD4BAD" w14:textId="77777777" w:rsidR="00C92F2D" w:rsidRPr="00575FF9" w:rsidRDefault="00C92F2D" w:rsidP="00575FF9">
            <w:pPr>
              <w:jc w:val="center"/>
              <w:rPr>
                <w:rFonts w:asciiTheme="majorHAnsi" w:hAnsiTheme="majorHAnsi" w:cstheme="majorHAnsi"/>
                <w:sz w:val="18"/>
                <w:szCs w:val="18"/>
              </w:rPr>
            </w:pPr>
            <w:r w:rsidRPr="00575FF9">
              <w:rPr>
                <w:rFonts w:asciiTheme="majorHAnsi" w:hAnsiTheme="majorHAnsi" w:cstheme="majorHAnsi"/>
                <w:sz w:val="18"/>
                <w:szCs w:val="18"/>
              </w:rPr>
              <w:t>Stopa bezrobocia na [%]</w:t>
            </w:r>
          </w:p>
        </w:tc>
        <w:tc>
          <w:tcPr>
            <w:tcW w:w="1251" w:type="pct"/>
            <w:shd w:val="clear" w:color="auto" w:fill="FFFFFF" w:themeFill="background1"/>
            <w:vAlign w:val="center"/>
          </w:tcPr>
          <w:p w14:paraId="323CE53E" w14:textId="77777777" w:rsidR="00C92F2D" w:rsidRPr="00C92F2D" w:rsidRDefault="00C92F2D" w:rsidP="00575FF9">
            <w:pPr>
              <w:jc w:val="center"/>
              <w:rPr>
                <w:rFonts w:asciiTheme="majorHAnsi" w:hAnsiTheme="majorHAnsi" w:cstheme="majorHAnsi"/>
                <w:sz w:val="18"/>
                <w:szCs w:val="18"/>
              </w:rPr>
            </w:pPr>
            <w:r w:rsidRPr="00575FF9">
              <w:rPr>
                <w:rFonts w:asciiTheme="majorHAnsi" w:hAnsiTheme="majorHAnsi" w:cstheme="majorHAnsi"/>
                <w:sz w:val="18"/>
                <w:szCs w:val="18"/>
              </w:rPr>
              <w:t>Bank Danych Lokalnych Głównego Urzędu Statystycznego</w:t>
            </w:r>
          </w:p>
        </w:tc>
        <w:tc>
          <w:tcPr>
            <w:tcW w:w="1570" w:type="pct"/>
            <w:shd w:val="clear" w:color="auto" w:fill="FFFFFF" w:themeFill="background1"/>
            <w:vAlign w:val="center"/>
          </w:tcPr>
          <w:p w14:paraId="65335A9B" w14:textId="77777777" w:rsidR="00C92F2D" w:rsidRPr="00C92F2D" w:rsidRDefault="00C92F2D" w:rsidP="00575FF9">
            <w:pPr>
              <w:pStyle w:val="Akapitzlist"/>
              <w:ind w:left="360"/>
              <w:jc w:val="center"/>
              <w:rPr>
                <w:rFonts w:asciiTheme="majorHAnsi" w:hAnsiTheme="majorHAnsi" w:cstheme="majorHAnsi"/>
                <w:sz w:val="18"/>
                <w:szCs w:val="18"/>
              </w:rPr>
            </w:pPr>
            <w:r w:rsidRPr="00C92F2D">
              <w:rPr>
                <w:rFonts w:asciiTheme="majorHAnsi" w:hAnsiTheme="majorHAnsi" w:cstheme="majorHAnsi"/>
                <w:sz w:val="18"/>
                <w:szCs w:val="18"/>
              </w:rPr>
              <w:t>10,3%</w:t>
            </w:r>
          </w:p>
        </w:tc>
        <w:tc>
          <w:tcPr>
            <w:tcW w:w="929" w:type="pct"/>
            <w:shd w:val="clear" w:color="auto" w:fill="FFFFFF" w:themeFill="background1"/>
            <w:vAlign w:val="center"/>
          </w:tcPr>
          <w:p w14:paraId="7E27D967" w14:textId="26E71069" w:rsidR="00C92F2D" w:rsidRPr="00C92F2D" w:rsidRDefault="00C92F2D" w:rsidP="00575FF9">
            <w:pPr>
              <w:ind w:left="45" w:hanging="45"/>
              <w:jc w:val="center"/>
              <w:rPr>
                <w:rFonts w:asciiTheme="majorHAnsi" w:hAnsiTheme="majorHAnsi" w:cstheme="majorHAnsi"/>
                <w:sz w:val="18"/>
                <w:szCs w:val="18"/>
              </w:rPr>
            </w:pPr>
            <w:r w:rsidRPr="00C92F2D">
              <w:rPr>
                <w:rFonts w:asciiTheme="majorHAnsi" w:hAnsiTheme="majorHAnsi" w:cstheme="majorHAnsi"/>
                <w:sz w:val="18"/>
                <w:szCs w:val="18"/>
              </w:rPr>
              <w:t>Spadek</w:t>
            </w:r>
          </w:p>
        </w:tc>
      </w:tr>
      <w:tr w:rsidR="00C92F2D" w:rsidRPr="00C92F2D" w14:paraId="1EE80106" w14:textId="77777777" w:rsidTr="001676E7">
        <w:trPr>
          <w:trHeight w:val="113"/>
          <w:jc w:val="center"/>
        </w:trPr>
        <w:tc>
          <w:tcPr>
            <w:tcW w:w="1250" w:type="pct"/>
            <w:shd w:val="clear" w:color="auto" w:fill="FFFFFF" w:themeFill="background1"/>
            <w:vAlign w:val="center"/>
          </w:tcPr>
          <w:p w14:paraId="09637CB0" w14:textId="77777777" w:rsidR="00C92F2D" w:rsidRPr="00575FF9" w:rsidRDefault="00C92F2D" w:rsidP="00575FF9">
            <w:pPr>
              <w:jc w:val="center"/>
              <w:rPr>
                <w:rFonts w:asciiTheme="majorHAnsi" w:hAnsiTheme="majorHAnsi" w:cstheme="majorHAnsi"/>
                <w:sz w:val="18"/>
                <w:szCs w:val="18"/>
              </w:rPr>
            </w:pPr>
            <w:r w:rsidRPr="00575FF9">
              <w:rPr>
                <w:rFonts w:asciiTheme="majorHAnsi" w:hAnsiTheme="majorHAnsi" w:cstheme="majorHAnsi"/>
                <w:sz w:val="18"/>
                <w:szCs w:val="18"/>
              </w:rPr>
              <w:t>Pracujący na 1000 osób w wieku produkcyjnym [os.]</w:t>
            </w:r>
          </w:p>
        </w:tc>
        <w:tc>
          <w:tcPr>
            <w:tcW w:w="1251" w:type="pct"/>
            <w:shd w:val="clear" w:color="auto" w:fill="FFFFFF" w:themeFill="background1"/>
            <w:vAlign w:val="center"/>
          </w:tcPr>
          <w:p w14:paraId="48B32E53" w14:textId="77777777" w:rsidR="00C92F2D" w:rsidRPr="00C92F2D" w:rsidRDefault="00C92F2D" w:rsidP="00575FF9">
            <w:pPr>
              <w:jc w:val="center"/>
              <w:rPr>
                <w:rFonts w:asciiTheme="majorHAnsi" w:hAnsiTheme="majorHAnsi" w:cstheme="majorHAnsi"/>
                <w:sz w:val="18"/>
                <w:szCs w:val="18"/>
              </w:rPr>
            </w:pPr>
            <w:r w:rsidRPr="00575FF9">
              <w:rPr>
                <w:rFonts w:asciiTheme="majorHAnsi" w:hAnsiTheme="majorHAnsi" w:cstheme="majorHAnsi"/>
                <w:sz w:val="18"/>
                <w:szCs w:val="18"/>
              </w:rPr>
              <w:t>Bank Danych Lokalnych Głównego Urzędu Statystycznego</w:t>
            </w:r>
          </w:p>
        </w:tc>
        <w:tc>
          <w:tcPr>
            <w:tcW w:w="1570" w:type="pct"/>
            <w:shd w:val="clear" w:color="auto" w:fill="FFFFFF" w:themeFill="background1"/>
            <w:vAlign w:val="center"/>
          </w:tcPr>
          <w:p w14:paraId="1D04FD72" w14:textId="77777777" w:rsidR="00C92F2D" w:rsidRPr="00C92F2D" w:rsidRDefault="00C92F2D" w:rsidP="00575FF9">
            <w:pPr>
              <w:pStyle w:val="Akapitzlist"/>
              <w:ind w:left="360"/>
              <w:jc w:val="center"/>
              <w:rPr>
                <w:rFonts w:asciiTheme="majorHAnsi" w:hAnsiTheme="majorHAnsi" w:cstheme="majorHAnsi"/>
                <w:sz w:val="18"/>
                <w:szCs w:val="18"/>
              </w:rPr>
            </w:pPr>
            <w:r w:rsidRPr="00C92F2D">
              <w:rPr>
                <w:rFonts w:asciiTheme="majorHAnsi" w:hAnsiTheme="majorHAnsi" w:cstheme="majorHAnsi"/>
                <w:sz w:val="18"/>
                <w:szCs w:val="18"/>
              </w:rPr>
              <w:t>166</w:t>
            </w:r>
          </w:p>
        </w:tc>
        <w:tc>
          <w:tcPr>
            <w:tcW w:w="929" w:type="pct"/>
            <w:shd w:val="clear" w:color="auto" w:fill="FFFFFF" w:themeFill="background1"/>
            <w:vAlign w:val="center"/>
          </w:tcPr>
          <w:p w14:paraId="637BC957" w14:textId="77777777" w:rsidR="00C92F2D" w:rsidRPr="00C92F2D" w:rsidRDefault="00C92F2D" w:rsidP="00575FF9">
            <w:pPr>
              <w:ind w:left="45" w:hanging="45"/>
              <w:jc w:val="center"/>
              <w:rPr>
                <w:rFonts w:asciiTheme="majorHAnsi" w:hAnsiTheme="majorHAnsi" w:cstheme="majorHAnsi"/>
                <w:sz w:val="18"/>
                <w:szCs w:val="18"/>
              </w:rPr>
            </w:pPr>
            <w:r w:rsidRPr="00C92F2D">
              <w:rPr>
                <w:rFonts w:asciiTheme="majorHAnsi" w:hAnsiTheme="majorHAnsi" w:cstheme="majorHAnsi"/>
                <w:sz w:val="18"/>
                <w:szCs w:val="18"/>
              </w:rPr>
              <w:t>Wzrost</w:t>
            </w:r>
          </w:p>
        </w:tc>
      </w:tr>
      <w:tr w:rsidR="00C92F2D" w:rsidRPr="00C92F2D" w14:paraId="7B4397DA" w14:textId="77777777" w:rsidTr="001676E7">
        <w:trPr>
          <w:trHeight w:val="113"/>
          <w:jc w:val="center"/>
        </w:trPr>
        <w:tc>
          <w:tcPr>
            <w:tcW w:w="1250" w:type="pct"/>
            <w:shd w:val="clear" w:color="auto" w:fill="FFFFFF" w:themeFill="background1"/>
            <w:vAlign w:val="center"/>
          </w:tcPr>
          <w:p w14:paraId="457C04AB" w14:textId="77777777" w:rsidR="00C92F2D" w:rsidRPr="00575FF9" w:rsidRDefault="00C92F2D" w:rsidP="00575FF9">
            <w:pPr>
              <w:jc w:val="center"/>
              <w:rPr>
                <w:rFonts w:asciiTheme="majorHAnsi" w:hAnsiTheme="majorHAnsi" w:cstheme="majorHAnsi"/>
                <w:sz w:val="18"/>
                <w:szCs w:val="18"/>
              </w:rPr>
            </w:pPr>
            <w:r w:rsidRPr="00575FF9">
              <w:rPr>
                <w:rFonts w:asciiTheme="majorHAnsi" w:hAnsiTheme="majorHAnsi" w:cstheme="majorHAnsi"/>
                <w:sz w:val="18"/>
                <w:szCs w:val="18"/>
              </w:rPr>
              <w:t>Turystyczne obiekty noclegowe (obiekty hotelowe i inne obiekty noclegowe) [ob.]</w:t>
            </w:r>
          </w:p>
        </w:tc>
        <w:tc>
          <w:tcPr>
            <w:tcW w:w="1251" w:type="pct"/>
            <w:shd w:val="clear" w:color="auto" w:fill="FFFFFF" w:themeFill="background1"/>
            <w:vAlign w:val="center"/>
          </w:tcPr>
          <w:p w14:paraId="41CBE485" w14:textId="77777777" w:rsidR="00C92F2D" w:rsidRPr="00C92F2D" w:rsidRDefault="00C92F2D" w:rsidP="00575FF9">
            <w:pPr>
              <w:jc w:val="center"/>
              <w:rPr>
                <w:rFonts w:asciiTheme="majorHAnsi" w:hAnsiTheme="majorHAnsi" w:cstheme="majorHAnsi"/>
                <w:sz w:val="18"/>
                <w:szCs w:val="18"/>
              </w:rPr>
            </w:pPr>
            <w:r w:rsidRPr="00575FF9">
              <w:rPr>
                <w:rFonts w:asciiTheme="majorHAnsi" w:hAnsiTheme="majorHAnsi" w:cstheme="majorHAnsi"/>
                <w:sz w:val="18"/>
                <w:szCs w:val="18"/>
              </w:rPr>
              <w:t>Bank Danych Lokalnych Głównego Urzędu Statystycznego</w:t>
            </w:r>
          </w:p>
        </w:tc>
        <w:tc>
          <w:tcPr>
            <w:tcW w:w="1570" w:type="pct"/>
            <w:shd w:val="clear" w:color="auto" w:fill="FFFFFF" w:themeFill="background1"/>
            <w:vAlign w:val="center"/>
          </w:tcPr>
          <w:p w14:paraId="460A9856" w14:textId="77777777" w:rsidR="00C92F2D" w:rsidRPr="00C92F2D" w:rsidRDefault="00C92F2D" w:rsidP="00575FF9">
            <w:pPr>
              <w:pStyle w:val="Akapitzlist"/>
              <w:ind w:left="360"/>
              <w:jc w:val="center"/>
              <w:rPr>
                <w:rFonts w:asciiTheme="majorHAnsi" w:hAnsiTheme="majorHAnsi" w:cstheme="majorHAnsi"/>
                <w:sz w:val="18"/>
                <w:szCs w:val="18"/>
              </w:rPr>
            </w:pPr>
            <w:r w:rsidRPr="00C92F2D">
              <w:rPr>
                <w:rFonts w:asciiTheme="majorHAnsi" w:hAnsiTheme="majorHAnsi" w:cstheme="majorHAnsi"/>
                <w:sz w:val="18"/>
                <w:szCs w:val="18"/>
              </w:rPr>
              <w:t>24</w:t>
            </w:r>
          </w:p>
        </w:tc>
        <w:tc>
          <w:tcPr>
            <w:tcW w:w="929" w:type="pct"/>
            <w:shd w:val="clear" w:color="auto" w:fill="FFFFFF" w:themeFill="background1"/>
            <w:vAlign w:val="center"/>
          </w:tcPr>
          <w:p w14:paraId="1F82E2CD" w14:textId="77777777" w:rsidR="00C92F2D" w:rsidRPr="00C92F2D" w:rsidRDefault="00C92F2D" w:rsidP="00575FF9">
            <w:pPr>
              <w:ind w:left="45" w:hanging="45"/>
              <w:jc w:val="center"/>
              <w:rPr>
                <w:rFonts w:asciiTheme="majorHAnsi" w:hAnsiTheme="majorHAnsi" w:cstheme="majorHAnsi"/>
                <w:sz w:val="18"/>
                <w:szCs w:val="18"/>
              </w:rPr>
            </w:pPr>
            <w:r w:rsidRPr="00C92F2D">
              <w:rPr>
                <w:rFonts w:asciiTheme="majorHAnsi" w:hAnsiTheme="majorHAnsi" w:cstheme="majorHAnsi"/>
                <w:sz w:val="18"/>
                <w:szCs w:val="18"/>
              </w:rPr>
              <w:t>Wzrost</w:t>
            </w:r>
          </w:p>
        </w:tc>
      </w:tr>
      <w:tr w:rsidR="00C92F2D" w:rsidRPr="00C92F2D" w14:paraId="58729BB3" w14:textId="77777777" w:rsidTr="001676E7">
        <w:trPr>
          <w:trHeight w:val="113"/>
          <w:jc w:val="center"/>
        </w:trPr>
        <w:tc>
          <w:tcPr>
            <w:tcW w:w="1250" w:type="pct"/>
            <w:shd w:val="clear" w:color="auto" w:fill="FFFFFF" w:themeFill="background1"/>
            <w:vAlign w:val="center"/>
          </w:tcPr>
          <w:p w14:paraId="6B258E0A" w14:textId="77777777" w:rsidR="00C92F2D" w:rsidRPr="00575FF9" w:rsidRDefault="00C92F2D" w:rsidP="00575FF9">
            <w:pPr>
              <w:jc w:val="center"/>
              <w:rPr>
                <w:rFonts w:asciiTheme="majorHAnsi" w:hAnsiTheme="majorHAnsi" w:cstheme="majorHAnsi"/>
                <w:sz w:val="18"/>
                <w:szCs w:val="18"/>
              </w:rPr>
            </w:pPr>
            <w:r w:rsidRPr="00575FF9">
              <w:rPr>
                <w:rFonts w:asciiTheme="majorHAnsi" w:hAnsiTheme="majorHAnsi" w:cstheme="majorHAnsi"/>
                <w:sz w:val="18"/>
                <w:szCs w:val="18"/>
              </w:rPr>
              <w:t>Turyści polscy i zagraniczni korzystający z noclegów [os.]</w:t>
            </w:r>
          </w:p>
        </w:tc>
        <w:tc>
          <w:tcPr>
            <w:tcW w:w="1251" w:type="pct"/>
            <w:shd w:val="clear" w:color="auto" w:fill="FFFFFF" w:themeFill="background1"/>
            <w:vAlign w:val="center"/>
          </w:tcPr>
          <w:p w14:paraId="1AC6FB9D" w14:textId="77777777" w:rsidR="00C92F2D" w:rsidRPr="00C92F2D" w:rsidRDefault="00C92F2D" w:rsidP="00575FF9">
            <w:pPr>
              <w:jc w:val="center"/>
              <w:rPr>
                <w:rFonts w:asciiTheme="majorHAnsi" w:hAnsiTheme="majorHAnsi" w:cstheme="majorHAnsi"/>
                <w:sz w:val="18"/>
                <w:szCs w:val="18"/>
              </w:rPr>
            </w:pPr>
            <w:r w:rsidRPr="00575FF9">
              <w:rPr>
                <w:rFonts w:asciiTheme="majorHAnsi" w:hAnsiTheme="majorHAnsi" w:cstheme="majorHAnsi"/>
                <w:sz w:val="18"/>
                <w:szCs w:val="18"/>
              </w:rPr>
              <w:t>Bank Danych Lokalnych Głównego Urzędu Statystycznego</w:t>
            </w:r>
          </w:p>
        </w:tc>
        <w:tc>
          <w:tcPr>
            <w:tcW w:w="1570" w:type="pct"/>
            <w:shd w:val="clear" w:color="auto" w:fill="FFFFFF" w:themeFill="background1"/>
            <w:vAlign w:val="center"/>
          </w:tcPr>
          <w:p w14:paraId="5EAF71C0" w14:textId="77777777" w:rsidR="00C92F2D" w:rsidRPr="00C92F2D" w:rsidRDefault="00C92F2D" w:rsidP="00575FF9">
            <w:pPr>
              <w:pStyle w:val="Akapitzlist"/>
              <w:ind w:left="360"/>
              <w:jc w:val="center"/>
              <w:rPr>
                <w:rFonts w:asciiTheme="majorHAnsi" w:hAnsiTheme="majorHAnsi" w:cstheme="majorHAnsi"/>
                <w:sz w:val="18"/>
                <w:szCs w:val="18"/>
              </w:rPr>
            </w:pPr>
            <w:r w:rsidRPr="00C92F2D">
              <w:rPr>
                <w:rFonts w:asciiTheme="majorHAnsi" w:hAnsiTheme="majorHAnsi" w:cstheme="majorHAnsi"/>
                <w:sz w:val="18"/>
                <w:szCs w:val="18"/>
              </w:rPr>
              <w:t>36784</w:t>
            </w:r>
          </w:p>
        </w:tc>
        <w:tc>
          <w:tcPr>
            <w:tcW w:w="929" w:type="pct"/>
            <w:shd w:val="clear" w:color="auto" w:fill="FFFFFF" w:themeFill="background1"/>
            <w:vAlign w:val="center"/>
          </w:tcPr>
          <w:p w14:paraId="0BABCA0A" w14:textId="77777777" w:rsidR="00C92F2D" w:rsidRPr="00C92F2D" w:rsidRDefault="00C92F2D" w:rsidP="00575FF9">
            <w:pPr>
              <w:ind w:left="45" w:hanging="45"/>
              <w:jc w:val="center"/>
              <w:rPr>
                <w:rFonts w:asciiTheme="majorHAnsi" w:hAnsiTheme="majorHAnsi" w:cstheme="majorHAnsi"/>
                <w:sz w:val="18"/>
                <w:szCs w:val="18"/>
              </w:rPr>
            </w:pPr>
            <w:r w:rsidRPr="00C92F2D">
              <w:rPr>
                <w:rFonts w:asciiTheme="majorHAnsi" w:hAnsiTheme="majorHAnsi" w:cstheme="majorHAnsi"/>
                <w:sz w:val="18"/>
                <w:szCs w:val="18"/>
              </w:rPr>
              <w:t>Wzrost</w:t>
            </w:r>
          </w:p>
        </w:tc>
      </w:tr>
      <w:tr w:rsidR="00C92F2D" w:rsidRPr="00C92F2D" w14:paraId="3D1F8FC5" w14:textId="77777777" w:rsidTr="001676E7">
        <w:trPr>
          <w:trHeight w:val="113"/>
          <w:jc w:val="center"/>
        </w:trPr>
        <w:tc>
          <w:tcPr>
            <w:tcW w:w="1250" w:type="pct"/>
            <w:shd w:val="clear" w:color="auto" w:fill="FFFFFF" w:themeFill="background1"/>
            <w:vAlign w:val="center"/>
          </w:tcPr>
          <w:p w14:paraId="3FCC1977" w14:textId="77777777" w:rsidR="00C92F2D" w:rsidRPr="00575FF9" w:rsidRDefault="00C92F2D" w:rsidP="00575FF9">
            <w:pPr>
              <w:jc w:val="center"/>
              <w:rPr>
                <w:rFonts w:asciiTheme="majorHAnsi" w:hAnsiTheme="majorHAnsi" w:cstheme="majorHAnsi"/>
                <w:sz w:val="18"/>
                <w:szCs w:val="18"/>
              </w:rPr>
            </w:pPr>
            <w:r w:rsidRPr="00575FF9">
              <w:rPr>
                <w:rFonts w:asciiTheme="majorHAnsi" w:hAnsiTheme="majorHAnsi" w:cstheme="majorHAnsi"/>
                <w:sz w:val="18"/>
                <w:szCs w:val="18"/>
              </w:rPr>
              <w:t>Ścieżki rowerowe na obszarze Subregionu [km]</w:t>
            </w:r>
          </w:p>
        </w:tc>
        <w:tc>
          <w:tcPr>
            <w:tcW w:w="1251" w:type="pct"/>
            <w:shd w:val="clear" w:color="auto" w:fill="FFFFFF" w:themeFill="background1"/>
            <w:vAlign w:val="center"/>
          </w:tcPr>
          <w:p w14:paraId="13F9B23D" w14:textId="77777777" w:rsidR="00C92F2D" w:rsidRPr="00C92F2D" w:rsidRDefault="00C92F2D" w:rsidP="00575FF9">
            <w:pPr>
              <w:jc w:val="center"/>
              <w:rPr>
                <w:rFonts w:asciiTheme="majorHAnsi" w:hAnsiTheme="majorHAnsi" w:cstheme="majorHAnsi"/>
                <w:sz w:val="18"/>
                <w:szCs w:val="18"/>
              </w:rPr>
            </w:pPr>
            <w:r w:rsidRPr="00575FF9">
              <w:rPr>
                <w:rFonts w:asciiTheme="majorHAnsi" w:hAnsiTheme="majorHAnsi" w:cstheme="majorHAnsi"/>
                <w:sz w:val="18"/>
                <w:szCs w:val="18"/>
              </w:rPr>
              <w:t>Bank Danych Lokalnych Głównego Urzędu Statystycznego</w:t>
            </w:r>
          </w:p>
        </w:tc>
        <w:tc>
          <w:tcPr>
            <w:tcW w:w="1570" w:type="pct"/>
            <w:shd w:val="clear" w:color="auto" w:fill="FFFFFF" w:themeFill="background1"/>
            <w:vAlign w:val="center"/>
          </w:tcPr>
          <w:p w14:paraId="6D3796FD" w14:textId="77777777" w:rsidR="00C92F2D" w:rsidRPr="00C92F2D" w:rsidRDefault="00C92F2D" w:rsidP="00575FF9">
            <w:pPr>
              <w:pStyle w:val="Akapitzlist"/>
              <w:ind w:left="360"/>
              <w:jc w:val="center"/>
              <w:rPr>
                <w:rFonts w:asciiTheme="majorHAnsi" w:hAnsiTheme="majorHAnsi" w:cstheme="majorHAnsi"/>
                <w:sz w:val="18"/>
                <w:szCs w:val="18"/>
              </w:rPr>
            </w:pPr>
            <w:r w:rsidRPr="00C92F2D">
              <w:rPr>
                <w:rFonts w:asciiTheme="majorHAnsi" w:hAnsiTheme="majorHAnsi" w:cstheme="majorHAnsi"/>
                <w:sz w:val="18"/>
                <w:szCs w:val="18"/>
              </w:rPr>
              <w:t>24</w:t>
            </w:r>
          </w:p>
        </w:tc>
        <w:tc>
          <w:tcPr>
            <w:tcW w:w="929" w:type="pct"/>
            <w:shd w:val="clear" w:color="auto" w:fill="FFFFFF" w:themeFill="background1"/>
            <w:vAlign w:val="center"/>
          </w:tcPr>
          <w:p w14:paraId="08A85708" w14:textId="77777777" w:rsidR="00C92F2D" w:rsidRPr="00C92F2D" w:rsidRDefault="00C92F2D" w:rsidP="00575FF9">
            <w:pPr>
              <w:ind w:left="45" w:hanging="45"/>
              <w:jc w:val="center"/>
              <w:rPr>
                <w:rFonts w:asciiTheme="majorHAnsi" w:hAnsiTheme="majorHAnsi" w:cstheme="majorHAnsi"/>
                <w:sz w:val="18"/>
                <w:szCs w:val="18"/>
              </w:rPr>
            </w:pPr>
            <w:r w:rsidRPr="00C92F2D">
              <w:rPr>
                <w:rFonts w:asciiTheme="majorHAnsi" w:hAnsiTheme="majorHAnsi" w:cstheme="majorHAnsi"/>
                <w:sz w:val="18"/>
                <w:szCs w:val="18"/>
              </w:rPr>
              <w:t>Wzrost</w:t>
            </w:r>
          </w:p>
        </w:tc>
      </w:tr>
      <w:tr w:rsidR="00C92F2D" w:rsidRPr="00C92F2D" w14:paraId="3D03E7D4" w14:textId="77777777" w:rsidTr="00575FF9">
        <w:trPr>
          <w:trHeight w:val="113"/>
          <w:jc w:val="center"/>
        </w:trPr>
        <w:tc>
          <w:tcPr>
            <w:tcW w:w="5000" w:type="pct"/>
            <w:gridSpan w:val="4"/>
            <w:shd w:val="clear" w:color="auto" w:fill="BFBFBF" w:themeFill="background1" w:themeFillShade="BF"/>
            <w:vAlign w:val="center"/>
          </w:tcPr>
          <w:p w14:paraId="7EDB4570" w14:textId="77777777" w:rsidR="00C92F2D" w:rsidRPr="00C92F2D" w:rsidRDefault="00C92F2D" w:rsidP="00575FF9">
            <w:pPr>
              <w:jc w:val="center"/>
              <w:rPr>
                <w:rFonts w:asciiTheme="majorHAnsi" w:hAnsiTheme="majorHAnsi" w:cstheme="majorHAnsi"/>
                <w:sz w:val="18"/>
                <w:szCs w:val="18"/>
              </w:rPr>
            </w:pPr>
            <w:r w:rsidRPr="00C92F2D">
              <w:rPr>
                <w:rFonts w:asciiTheme="majorHAnsi" w:hAnsiTheme="majorHAnsi" w:cstheme="majorHAnsi"/>
                <w:sz w:val="18"/>
                <w:szCs w:val="18"/>
              </w:rPr>
              <w:t>Cel strategiczny 4 Budowa zintegrowanego systemu wyspecjalizowanych usług publicznych w obszarach zabezpieczenia społecznego, opieki senioralnej, ochrony zdrowia</w:t>
            </w:r>
          </w:p>
        </w:tc>
      </w:tr>
      <w:tr w:rsidR="00C92F2D" w:rsidRPr="00C92F2D" w14:paraId="4BD5910D" w14:textId="77777777" w:rsidTr="001676E7">
        <w:trPr>
          <w:trHeight w:val="113"/>
          <w:jc w:val="center"/>
        </w:trPr>
        <w:tc>
          <w:tcPr>
            <w:tcW w:w="1250" w:type="pct"/>
            <w:shd w:val="clear" w:color="auto" w:fill="FFFFFF" w:themeFill="background1"/>
            <w:vAlign w:val="center"/>
          </w:tcPr>
          <w:p w14:paraId="59E17985" w14:textId="77777777" w:rsidR="00C92F2D" w:rsidRPr="00575FF9" w:rsidRDefault="00C92F2D" w:rsidP="00575FF9">
            <w:pPr>
              <w:jc w:val="center"/>
              <w:rPr>
                <w:rFonts w:asciiTheme="majorHAnsi" w:hAnsiTheme="majorHAnsi" w:cstheme="majorHAnsi"/>
                <w:sz w:val="18"/>
                <w:szCs w:val="18"/>
              </w:rPr>
            </w:pPr>
            <w:r w:rsidRPr="00575FF9">
              <w:rPr>
                <w:rFonts w:asciiTheme="majorHAnsi" w:hAnsiTheme="majorHAnsi" w:cstheme="majorHAnsi"/>
                <w:sz w:val="18"/>
                <w:szCs w:val="18"/>
              </w:rPr>
              <w:t>Miejsca w placówkach stacjonarnej pomocy społecznej [szt.]</w:t>
            </w:r>
          </w:p>
        </w:tc>
        <w:tc>
          <w:tcPr>
            <w:tcW w:w="1251" w:type="pct"/>
            <w:shd w:val="clear" w:color="auto" w:fill="FFFFFF" w:themeFill="background1"/>
            <w:vAlign w:val="center"/>
          </w:tcPr>
          <w:p w14:paraId="39FFC46D" w14:textId="77777777" w:rsidR="00C92F2D" w:rsidRPr="00575FF9" w:rsidRDefault="00C92F2D" w:rsidP="00575FF9">
            <w:pPr>
              <w:jc w:val="center"/>
              <w:rPr>
                <w:rFonts w:asciiTheme="majorHAnsi" w:hAnsiTheme="majorHAnsi" w:cstheme="majorHAnsi"/>
                <w:sz w:val="18"/>
                <w:szCs w:val="18"/>
              </w:rPr>
            </w:pPr>
            <w:r w:rsidRPr="00575FF9">
              <w:rPr>
                <w:rFonts w:asciiTheme="majorHAnsi" w:hAnsiTheme="majorHAnsi" w:cstheme="majorHAnsi"/>
                <w:sz w:val="18"/>
                <w:szCs w:val="18"/>
              </w:rPr>
              <w:t>Bank Danych Lokalnych Głównego Urzędu Statystycznego</w:t>
            </w:r>
          </w:p>
        </w:tc>
        <w:tc>
          <w:tcPr>
            <w:tcW w:w="1570" w:type="pct"/>
            <w:shd w:val="clear" w:color="auto" w:fill="FFFFFF" w:themeFill="background1"/>
            <w:vAlign w:val="center"/>
          </w:tcPr>
          <w:p w14:paraId="241F4CA9" w14:textId="77777777" w:rsidR="00C92F2D" w:rsidRPr="00575FF9" w:rsidRDefault="00C92F2D" w:rsidP="00575FF9">
            <w:pPr>
              <w:pStyle w:val="Akapitzlist"/>
              <w:ind w:left="360"/>
              <w:jc w:val="center"/>
              <w:rPr>
                <w:rFonts w:asciiTheme="majorHAnsi" w:hAnsiTheme="majorHAnsi" w:cstheme="majorHAnsi"/>
                <w:sz w:val="18"/>
                <w:szCs w:val="18"/>
              </w:rPr>
            </w:pPr>
            <w:r w:rsidRPr="00575FF9">
              <w:rPr>
                <w:rFonts w:asciiTheme="majorHAnsi" w:hAnsiTheme="majorHAnsi" w:cstheme="majorHAnsi"/>
                <w:sz w:val="18"/>
                <w:szCs w:val="18"/>
              </w:rPr>
              <w:t>402</w:t>
            </w:r>
          </w:p>
        </w:tc>
        <w:tc>
          <w:tcPr>
            <w:tcW w:w="929" w:type="pct"/>
            <w:shd w:val="clear" w:color="auto" w:fill="FFFFFF" w:themeFill="background1"/>
            <w:vAlign w:val="center"/>
          </w:tcPr>
          <w:p w14:paraId="5FCCB8AC" w14:textId="77777777" w:rsidR="00C92F2D" w:rsidRPr="00575FF9" w:rsidRDefault="00C92F2D" w:rsidP="00575FF9">
            <w:pPr>
              <w:jc w:val="center"/>
              <w:rPr>
                <w:rFonts w:asciiTheme="majorHAnsi" w:hAnsiTheme="majorHAnsi" w:cstheme="majorHAnsi"/>
                <w:sz w:val="18"/>
                <w:szCs w:val="18"/>
              </w:rPr>
            </w:pPr>
            <w:r w:rsidRPr="00575FF9">
              <w:rPr>
                <w:rFonts w:asciiTheme="majorHAnsi" w:hAnsiTheme="majorHAnsi" w:cstheme="majorHAnsi"/>
                <w:sz w:val="18"/>
                <w:szCs w:val="18"/>
              </w:rPr>
              <w:t>Wzrost</w:t>
            </w:r>
          </w:p>
        </w:tc>
      </w:tr>
      <w:tr w:rsidR="00C92F2D" w:rsidRPr="00C92F2D" w14:paraId="66E129E7" w14:textId="77777777" w:rsidTr="001676E7">
        <w:trPr>
          <w:trHeight w:val="113"/>
          <w:jc w:val="center"/>
        </w:trPr>
        <w:tc>
          <w:tcPr>
            <w:tcW w:w="1250" w:type="pct"/>
            <w:shd w:val="clear" w:color="auto" w:fill="FFFFFF" w:themeFill="background1"/>
            <w:vAlign w:val="center"/>
          </w:tcPr>
          <w:p w14:paraId="554DEB52" w14:textId="77777777" w:rsidR="00C92F2D" w:rsidRPr="00575FF9" w:rsidRDefault="00C92F2D" w:rsidP="00575FF9">
            <w:pPr>
              <w:jc w:val="center"/>
              <w:rPr>
                <w:rFonts w:asciiTheme="majorHAnsi" w:hAnsiTheme="majorHAnsi" w:cstheme="majorHAnsi"/>
                <w:sz w:val="18"/>
                <w:szCs w:val="18"/>
              </w:rPr>
            </w:pPr>
            <w:r w:rsidRPr="00575FF9">
              <w:rPr>
                <w:rFonts w:asciiTheme="majorHAnsi" w:hAnsiTheme="majorHAnsi" w:cstheme="majorHAnsi"/>
                <w:sz w:val="18"/>
                <w:szCs w:val="18"/>
              </w:rPr>
              <w:t>Placówki ambulatoryjnej opieki zdrowotnej na 10 tys. mieszkańców [ob.]</w:t>
            </w:r>
          </w:p>
        </w:tc>
        <w:tc>
          <w:tcPr>
            <w:tcW w:w="1251" w:type="pct"/>
            <w:shd w:val="clear" w:color="auto" w:fill="FFFFFF" w:themeFill="background1"/>
            <w:vAlign w:val="center"/>
          </w:tcPr>
          <w:p w14:paraId="294991D7" w14:textId="77777777" w:rsidR="00C92F2D" w:rsidRPr="00575FF9" w:rsidRDefault="00C92F2D" w:rsidP="00575FF9">
            <w:pPr>
              <w:jc w:val="center"/>
              <w:rPr>
                <w:rFonts w:asciiTheme="majorHAnsi" w:hAnsiTheme="majorHAnsi" w:cstheme="majorHAnsi"/>
                <w:sz w:val="18"/>
                <w:szCs w:val="18"/>
              </w:rPr>
            </w:pPr>
            <w:r w:rsidRPr="00575FF9">
              <w:rPr>
                <w:rFonts w:asciiTheme="majorHAnsi" w:hAnsiTheme="majorHAnsi" w:cstheme="majorHAnsi"/>
                <w:sz w:val="18"/>
                <w:szCs w:val="18"/>
              </w:rPr>
              <w:t>Bank Danych Lokalnych Głównego Urzędu Statystycznego</w:t>
            </w:r>
          </w:p>
        </w:tc>
        <w:tc>
          <w:tcPr>
            <w:tcW w:w="1570" w:type="pct"/>
            <w:shd w:val="clear" w:color="auto" w:fill="FFFFFF" w:themeFill="background1"/>
            <w:vAlign w:val="center"/>
          </w:tcPr>
          <w:p w14:paraId="066CB1E9" w14:textId="77777777" w:rsidR="00C92F2D" w:rsidRPr="00575FF9" w:rsidRDefault="00C92F2D" w:rsidP="00575FF9">
            <w:pPr>
              <w:pStyle w:val="Akapitzlist"/>
              <w:ind w:left="360"/>
              <w:jc w:val="center"/>
              <w:rPr>
                <w:rFonts w:asciiTheme="majorHAnsi" w:hAnsiTheme="majorHAnsi" w:cstheme="majorHAnsi"/>
                <w:sz w:val="18"/>
                <w:szCs w:val="18"/>
              </w:rPr>
            </w:pPr>
            <w:r w:rsidRPr="00575FF9">
              <w:rPr>
                <w:rFonts w:asciiTheme="majorHAnsi" w:hAnsiTheme="majorHAnsi" w:cstheme="majorHAnsi"/>
                <w:sz w:val="18"/>
                <w:szCs w:val="18"/>
              </w:rPr>
              <w:t>6,22</w:t>
            </w:r>
          </w:p>
        </w:tc>
        <w:tc>
          <w:tcPr>
            <w:tcW w:w="929" w:type="pct"/>
            <w:shd w:val="clear" w:color="auto" w:fill="FFFFFF" w:themeFill="background1"/>
            <w:vAlign w:val="center"/>
          </w:tcPr>
          <w:p w14:paraId="12F1F217" w14:textId="77777777" w:rsidR="00C92F2D" w:rsidRPr="00575FF9" w:rsidRDefault="00C92F2D" w:rsidP="00575FF9">
            <w:pPr>
              <w:jc w:val="center"/>
              <w:rPr>
                <w:rFonts w:asciiTheme="majorHAnsi" w:hAnsiTheme="majorHAnsi" w:cstheme="majorHAnsi"/>
                <w:sz w:val="18"/>
                <w:szCs w:val="18"/>
              </w:rPr>
            </w:pPr>
            <w:r w:rsidRPr="00575FF9">
              <w:rPr>
                <w:rFonts w:asciiTheme="majorHAnsi" w:hAnsiTheme="majorHAnsi" w:cstheme="majorHAnsi"/>
                <w:sz w:val="18"/>
                <w:szCs w:val="18"/>
              </w:rPr>
              <w:t>Wzrost</w:t>
            </w:r>
          </w:p>
        </w:tc>
      </w:tr>
      <w:tr w:rsidR="00C92F2D" w:rsidRPr="00C92F2D" w14:paraId="5A88D9CC" w14:textId="77777777" w:rsidTr="001676E7">
        <w:trPr>
          <w:trHeight w:val="113"/>
          <w:jc w:val="center"/>
        </w:trPr>
        <w:tc>
          <w:tcPr>
            <w:tcW w:w="1250" w:type="pct"/>
            <w:shd w:val="clear" w:color="auto" w:fill="FFFFFF" w:themeFill="background1"/>
            <w:vAlign w:val="center"/>
          </w:tcPr>
          <w:p w14:paraId="6711830B" w14:textId="77777777" w:rsidR="00C92F2D" w:rsidRPr="00575FF9" w:rsidRDefault="00C92F2D" w:rsidP="00575FF9">
            <w:pPr>
              <w:jc w:val="center"/>
              <w:rPr>
                <w:rFonts w:asciiTheme="majorHAnsi" w:hAnsiTheme="majorHAnsi" w:cstheme="majorHAnsi"/>
                <w:sz w:val="18"/>
                <w:szCs w:val="18"/>
              </w:rPr>
            </w:pPr>
            <w:r w:rsidRPr="00575FF9">
              <w:rPr>
                <w:rFonts w:asciiTheme="majorHAnsi" w:hAnsiTheme="majorHAnsi" w:cstheme="majorHAnsi"/>
                <w:sz w:val="18"/>
                <w:szCs w:val="18"/>
              </w:rPr>
              <w:t xml:space="preserve">Współczynnik </w:t>
            </w:r>
            <w:proofErr w:type="spellStart"/>
            <w:r w:rsidRPr="00575FF9">
              <w:rPr>
                <w:rFonts w:asciiTheme="majorHAnsi" w:hAnsiTheme="majorHAnsi" w:cstheme="majorHAnsi"/>
                <w:sz w:val="18"/>
                <w:szCs w:val="18"/>
              </w:rPr>
              <w:t>skolaryzacji</w:t>
            </w:r>
            <w:proofErr w:type="spellEnd"/>
            <w:r w:rsidRPr="00575FF9">
              <w:rPr>
                <w:rFonts w:asciiTheme="majorHAnsi" w:hAnsiTheme="majorHAnsi" w:cstheme="majorHAnsi"/>
                <w:sz w:val="18"/>
                <w:szCs w:val="18"/>
              </w:rPr>
              <w:t xml:space="preserve"> netto dla szkół podstawowych [%]</w:t>
            </w:r>
          </w:p>
        </w:tc>
        <w:tc>
          <w:tcPr>
            <w:tcW w:w="1251" w:type="pct"/>
            <w:shd w:val="clear" w:color="auto" w:fill="FFFFFF" w:themeFill="background1"/>
            <w:vAlign w:val="center"/>
          </w:tcPr>
          <w:p w14:paraId="25DD2E11" w14:textId="77777777" w:rsidR="00C92F2D" w:rsidRPr="00575FF9" w:rsidRDefault="00C92F2D" w:rsidP="00575FF9">
            <w:pPr>
              <w:jc w:val="center"/>
              <w:rPr>
                <w:rFonts w:asciiTheme="majorHAnsi" w:hAnsiTheme="majorHAnsi" w:cstheme="majorHAnsi"/>
                <w:sz w:val="18"/>
                <w:szCs w:val="18"/>
              </w:rPr>
            </w:pPr>
            <w:r w:rsidRPr="00575FF9">
              <w:rPr>
                <w:rFonts w:asciiTheme="majorHAnsi" w:hAnsiTheme="majorHAnsi" w:cstheme="majorHAnsi"/>
                <w:sz w:val="18"/>
                <w:szCs w:val="18"/>
              </w:rPr>
              <w:t>Bank Danych Lokalnych Głównego Urzędu Statystycznego</w:t>
            </w:r>
          </w:p>
        </w:tc>
        <w:tc>
          <w:tcPr>
            <w:tcW w:w="1570" w:type="pct"/>
            <w:shd w:val="clear" w:color="auto" w:fill="FFFFFF" w:themeFill="background1"/>
            <w:vAlign w:val="center"/>
          </w:tcPr>
          <w:p w14:paraId="313CF953" w14:textId="77777777" w:rsidR="00C92F2D" w:rsidRPr="00575FF9" w:rsidRDefault="00C92F2D" w:rsidP="00575FF9">
            <w:pPr>
              <w:pStyle w:val="Akapitzlist"/>
              <w:ind w:left="360"/>
              <w:jc w:val="center"/>
              <w:rPr>
                <w:rFonts w:asciiTheme="majorHAnsi" w:hAnsiTheme="majorHAnsi" w:cstheme="majorHAnsi"/>
                <w:sz w:val="18"/>
                <w:szCs w:val="18"/>
              </w:rPr>
            </w:pPr>
            <w:r w:rsidRPr="00575FF9">
              <w:rPr>
                <w:rFonts w:asciiTheme="majorHAnsi" w:hAnsiTheme="majorHAnsi" w:cstheme="majorHAnsi"/>
                <w:sz w:val="18"/>
                <w:szCs w:val="18"/>
              </w:rPr>
              <w:t>88,69</w:t>
            </w:r>
          </w:p>
          <w:p w14:paraId="0B35B302" w14:textId="77777777" w:rsidR="00C92F2D" w:rsidRPr="00575FF9" w:rsidRDefault="00C92F2D" w:rsidP="00575FF9">
            <w:pPr>
              <w:pStyle w:val="Akapitzlist"/>
              <w:ind w:left="360"/>
              <w:jc w:val="center"/>
              <w:rPr>
                <w:rFonts w:asciiTheme="majorHAnsi" w:hAnsiTheme="majorHAnsi" w:cstheme="majorHAnsi"/>
                <w:sz w:val="18"/>
                <w:szCs w:val="18"/>
              </w:rPr>
            </w:pPr>
            <w:r w:rsidRPr="00575FF9">
              <w:rPr>
                <w:rFonts w:asciiTheme="majorHAnsi" w:hAnsiTheme="majorHAnsi" w:cstheme="majorHAnsi"/>
                <w:sz w:val="18"/>
                <w:szCs w:val="18"/>
              </w:rPr>
              <w:t>(na podstawie danych roku 2018r)</w:t>
            </w:r>
          </w:p>
        </w:tc>
        <w:tc>
          <w:tcPr>
            <w:tcW w:w="929" w:type="pct"/>
            <w:shd w:val="clear" w:color="auto" w:fill="FFFFFF" w:themeFill="background1"/>
            <w:vAlign w:val="center"/>
          </w:tcPr>
          <w:p w14:paraId="2620FCA4" w14:textId="77777777" w:rsidR="00C92F2D" w:rsidRPr="00575FF9" w:rsidRDefault="00C92F2D" w:rsidP="00575FF9">
            <w:pPr>
              <w:jc w:val="center"/>
              <w:rPr>
                <w:rFonts w:asciiTheme="majorHAnsi" w:hAnsiTheme="majorHAnsi" w:cstheme="majorHAnsi"/>
                <w:sz w:val="18"/>
                <w:szCs w:val="18"/>
              </w:rPr>
            </w:pPr>
            <w:r w:rsidRPr="00575FF9">
              <w:rPr>
                <w:rFonts w:asciiTheme="majorHAnsi" w:hAnsiTheme="majorHAnsi" w:cstheme="majorHAnsi"/>
                <w:sz w:val="18"/>
                <w:szCs w:val="18"/>
              </w:rPr>
              <w:t>Wzrost</w:t>
            </w:r>
          </w:p>
        </w:tc>
      </w:tr>
      <w:tr w:rsidR="00C92F2D" w:rsidRPr="00C92F2D" w14:paraId="1E82E64A" w14:textId="77777777" w:rsidTr="001676E7">
        <w:trPr>
          <w:trHeight w:val="113"/>
          <w:jc w:val="center"/>
        </w:trPr>
        <w:tc>
          <w:tcPr>
            <w:tcW w:w="1250" w:type="pct"/>
            <w:shd w:val="clear" w:color="auto" w:fill="FFFFFF" w:themeFill="background1"/>
            <w:vAlign w:val="center"/>
          </w:tcPr>
          <w:p w14:paraId="4F18461E" w14:textId="77777777" w:rsidR="00C92F2D" w:rsidRPr="00575FF9" w:rsidRDefault="00C92F2D" w:rsidP="00575FF9">
            <w:pPr>
              <w:jc w:val="center"/>
              <w:rPr>
                <w:rFonts w:asciiTheme="majorHAnsi" w:hAnsiTheme="majorHAnsi" w:cstheme="majorHAnsi"/>
                <w:sz w:val="18"/>
                <w:szCs w:val="18"/>
              </w:rPr>
            </w:pPr>
            <w:r w:rsidRPr="00575FF9">
              <w:rPr>
                <w:rFonts w:asciiTheme="majorHAnsi" w:hAnsiTheme="majorHAnsi" w:cstheme="majorHAnsi"/>
                <w:sz w:val="18"/>
                <w:szCs w:val="18"/>
              </w:rPr>
              <w:t>Środki przeznaczane na oświatę i wychowanie w przeliczeniu na jednego mieszkańca [zł]</w:t>
            </w:r>
          </w:p>
        </w:tc>
        <w:tc>
          <w:tcPr>
            <w:tcW w:w="1251" w:type="pct"/>
            <w:shd w:val="clear" w:color="auto" w:fill="FFFFFF" w:themeFill="background1"/>
            <w:vAlign w:val="center"/>
          </w:tcPr>
          <w:p w14:paraId="7146D306" w14:textId="77777777" w:rsidR="00C92F2D" w:rsidRPr="00575FF9" w:rsidRDefault="00C92F2D" w:rsidP="00575FF9">
            <w:pPr>
              <w:jc w:val="center"/>
              <w:rPr>
                <w:rFonts w:asciiTheme="majorHAnsi" w:hAnsiTheme="majorHAnsi" w:cstheme="majorHAnsi"/>
                <w:sz w:val="18"/>
                <w:szCs w:val="18"/>
              </w:rPr>
            </w:pPr>
            <w:r w:rsidRPr="00575FF9">
              <w:rPr>
                <w:rFonts w:asciiTheme="majorHAnsi" w:hAnsiTheme="majorHAnsi" w:cstheme="majorHAnsi"/>
                <w:sz w:val="18"/>
                <w:szCs w:val="18"/>
              </w:rPr>
              <w:t>Bank Danych Lokalnych Głównego Urzędu Statystycznego</w:t>
            </w:r>
          </w:p>
        </w:tc>
        <w:tc>
          <w:tcPr>
            <w:tcW w:w="1570" w:type="pct"/>
            <w:shd w:val="clear" w:color="auto" w:fill="FFFFFF" w:themeFill="background1"/>
            <w:vAlign w:val="center"/>
          </w:tcPr>
          <w:p w14:paraId="451A7D1F" w14:textId="77777777" w:rsidR="00C92F2D" w:rsidRPr="00575FF9" w:rsidRDefault="00C92F2D" w:rsidP="00575FF9">
            <w:pPr>
              <w:pStyle w:val="Akapitzlist"/>
              <w:ind w:left="360"/>
              <w:jc w:val="center"/>
              <w:rPr>
                <w:rFonts w:asciiTheme="majorHAnsi" w:hAnsiTheme="majorHAnsi" w:cstheme="majorHAnsi"/>
                <w:sz w:val="18"/>
                <w:szCs w:val="18"/>
              </w:rPr>
            </w:pPr>
            <w:r w:rsidRPr="00575FF9">
              <w:rPr>
                <w:rFonts w:asciiTheme="majorHAnsi" w:hAnsiTheme="majorHAnsi" w:cstheme="majorHAnsi"/>
                <w:sz w:val="18"/>
                <w:szCs w:val="18"/>
              </w:rPr>
              <w:t>394,51 zł</w:t>
            </w:r>
          </w:p>
        </w:tc>
        <w:tc>
          <w:tcPr>
            <w:tcW w:w="929" w:type="pct"/>
            <w:shd w:val="clear" w:color="auto" w:fill="FFFFFF" w:themeFill="background1"/>
            <w:vAlign w:val="center"/>
          </w:tcPr>
          <w:p w14:paraId="243EF67D" w14:textId="77777777" w:rsidR="00C92F2D" w:rsidRPr="00575FF9" w:rsidRDefault="00C92F2D" w:rsidP="00575FF9">
            <w:pPr>
              <w:jc w:val="center"/>
              <w:rPr>
                <w:rFonts w:asciiTheme="majorHAnsi" w:hAnsiTheme="majorHAnsi" w:cstheme="majorHAnsi"/>
                <w:sz w:val="18"/>
                <w:szCs w:val="18"/>
              </w:rPr>
            </w:pPr>
            <w:r w:rsidRPr="00575FF9">
              <w:rPr>
                <w:rFonts w:asciiTheme="majorHAnsi" w:hAnsiTheme="majorHAnsi" w:cstheme="majorHAnsi"/>
                <w:sz w:val="18"/>
                <w:szCs w:val="18"/>
              </w:rPr>
              <w:t>Wzrost</w:t>
            </w:r>
          </w:p>
        </w:tc>
      </w:tr>
      <w:tr w:rsidR="00C92F2D" w:rsidRPr="00C92F2D" w14:paraId="2F663B0A" w14:textId="77777777" w:rsidTr="00575FF9">
        <w:trPr>
          <w:trHeight w:val="113"/>
          <w:jc w:val="center"/>
        </w:trPr>
        <w:tc>
          <w:tcPr>
            <w:tcW w:w="5000" w:type="pct"/>
            <w:gridSpan w:val="4"/>
            <w:shd w:val="clear" w:color="auto" w:fill="E8D9F3"/>
            <w:vAlign w:val="center"/>
          </w:tcPr>
          <w:p w14:paraId="1EC9664C" w14:textId="77777777" w:rsidR="00C92F2D" w:rsidRPr="00C92F2D" w:rsidRDefault="00C92F2D" w:rsidP="00575FF9">
            <w:pPr>
              <w:jc w:val="center"/>
              <w:rPr>
                <w:rFonts w:asciiTheme="majorHAnsi" w:hAnsiTheme="majorHAnsi" w:cstheme="majorHAnsi"/>
                <w:sz w:val="18"/>
                <w:szCs w:val="18"/>
              </w:rPr>
            </w:pPr>
            <w:r w:rsidRPr="00C92F2D">
              <w:rPr>
                <w:rFonts w:asciiTheme="majorHAnsi" w:hAnsiTheme="majorHAnsi" w:cstheme="majorHAnsi"/>
                <w:sz w:val="18"/>
                <w:szCs w:val="18"/>
              </w:rPr>
              <w:t>Cel strategiczny 5 Wzmacnianie potencjału społeczeństwa obywatelskiego poprzez rozwijanie potencjału kapitału ludzkiego i społecznego oraz rozwój instytucjonalny</w:t>
            </w:r>
          </w:p>
        </w:tc>
      </w:tr>
      <w:tr w:rsidR="00C92F2D" w:rsidRPr="00C92F2D" w14:paraId="46B3D9E4" w14:textId="77777777" w:rsidTr="001676E7">
        <w:trPr>
          <w:trHeight w:val="113"/>
          <w:jc w:val="center"/>
        </w:trPr>
        <w:tc>
          <w:tcPr>
            <w:tcW w:w="1250" w:type="pct"/>
            <w:shd w:val="clear" w:color="auto" w:fill="FFFFFF" w:themeFill="background1"/>
            <w:vAlign w:val="center"/>
          </w:tcPr>
          <w:p w14:paraId="7FF3C8C5" w14:textId="77777777" w:rsidR="00C92F2D" w:rsidRPr="00575FF9" w:rsidRDefault="00C92F2D" w:rsidP="00575FF9">
            <w:pPr>
              <w:jc w:val="center"/>
              <w:rPr>
                <w:rFonts w:asciiTheme="majorHAnsi" w:hAnsiTheme="majorHAnsi" w:cstheme="majorHAnsi"/>
                <w:sz w:val="18"/>
                <w:szCs w:val="18"/>
              </w:rPr>
            </w:pPr>
            <w:r w:rsidRPr="00575FF9">
              <w:rPr>
                <w:rFonts w:asciiTheme="majorHAnsi" w:hAnsiTheme="majorHAnsi" w:cstheme="majorHAnsi"/>
                <w:sz w:val="18"/>
                <w:szCs w:val="18"/>
              </w:rPr>
              <w:t>Liczba organizacji pozarządowych na 10 tys. mieszkańców [jedn.]</w:t>
            </w:r>
          </w:p>
        </w:tc>
        <w:tc>
          <w:tcPr>
            <w:tcW w:w="1251" w:type="pct"/>
            <w:shd w:val="clear" w:color="auto" w:fill="FFFFFF" w:themeFill="background1"/>
            <w:vAlign w:val="center"/>
          </w:tcPr>
          <w:p w14:paraId="466A1B1D" w14:textId="77777777" w:rsidR="00C92F2D" w:rsidRPr="00575FF9" w:rsidRDefault="00C92F2D" w:rsidP="00575FF9">
            <w:pPr>
              <w:jc w:val="center"/>
              <w:rPr>
                <w:rFonts w:asciiTheme="majorHAnsi" w:hAnsiTheme="majorHAnsi" w:cstheme="majorHAnsi"/>
                <w:sz w:val="18"/>
                <w:szCs w:val="18"/>
              </w:rPr>
            </w:pPr>
            <w:r w:rsidRPr="00575FF9">
              <w:rPr>
                <w:rFonts w:asciiTheme="majorHAnsi" w:hAnsiTheme="majorHAnsi" w:cstheme="majorHAnsi"/>
                <w:sz w:val="18"/>
                <w:szCs w:val="18"/>
              </w:rPr>
              <w:t>Bank Danych Lokalnych Głównego Urzędu Statystycznego</w:t>
            </w:r>
          </w:p>
        </w:tc>
        <w:tc>
          <w:tcPr>
            <w:tcW w:w="1570" w:type="pct"/>
            <w:shd w:val="clear" w:color="auto" w:fill="FFFFFF" w:themeFill="background1"/>
            <w:vAlign w:val="center"/>
          </w:tcPr>
          <w:p w14:paraId="6F9EF096" w14:textId="77777777" w:rsidR="00C92F2D" w:rsidRPr="00C92F2D" w:rsidRDefault="00C92F2D" w:rsidP="00575FF9">
            <w:pPr>
              <w:pStyle w:val="Akapitzlist"/>
              <w:ind w:left="360"/>
              <w:jc w:val="center"/>
              <w:rPr>
                <w:rFonts w:asciiTheme="majorHAnsi" w:hAnsiTheme="majorHAnsi" w:cstheme="majorHAnsi"/>
                <w:sz w:val="18"/>
                <w:szCs w:val="18"/>
              </w:rPr>
            </w:pPr>
            <w:r w:rsidRPr="00C92F2D">
              <w:rPr>
                <w:rFonts w:asciiTheme="majorHAnsi" w:hAnsiTheme="majorHAnsi" w:cstheme="majorHAnsi"/>
                <w:sz w:val="18"/>
                <w:szCs w:val="18"/>
              </w:rPr>
              <w:t>34</w:t>
            </w:r>
          </w:p>
        </w:tc>
        <w:tc>
          <w:tcPr>
            <w:tcW w:w="929" w:type="pct"/>
            <w:shd w:val="clear" w:color="auto" w:fill="FFFFFF" w:themeFill="background1"/>
            <w:vAlign w:val="center"/>
          </w:tcPr>
          <w:p w14:paraId="3F80AE84" w14:textId="77777777" w:rsidR="00C92F2D" w:rsidRPr="00C92F2D" w:rsidRDefault="00C92F2D" w:rsidP="00575FF9">
            <w:pPr>
              <w:jc w:val="center"/>
              <w:rPr>
                <w:rFonts w:asciiTheme="majorHAnsi" w:hAnsiTheme="majorHAnsi" w:cstheme="majorHAnsi"/>
                <w:sz w:val="18"/>
                <w:szCs w:val="18"/>
              </w:rPr>
            </w:pPr>
            <w:r w:rsidRPr="00C92F2D">
              <w:rPr>
                <w:rFonts w:asciiTheme="majorHAnsi" w:hAnsiTheme="majorHAnsi" w:cstheme="majorHAnsi"/>
                <w:sz w:val="18"/>
                <w:szCs w:val="18"/>
              </w:rPr>
              <w:t>Wzrost</w:t>
            </w:r>
          </w:p>
        </w:tc>
      </w:tr>
      <w:tr w:rsidR="00C92F2D" w:rsidRPr="00C92F2D" w14:paraId="0CC05F9A" w14:textId="77777777" w:rsidTr="001676E7">
        <w:trPr>
          <w:trHeight w:val="113"/>
          <w:jc w:val="center"/>
        </w:trPr>
        <w:tc>
          <w:tcPr>
            <w:tcW w:w="1250" w:type="pct"/>
            <w:shd w:val="clear" w:color="auto" w:fill="FFFFFF" w:themeFill="background1"/>
            <w:vAlign w:val="center"/>
          </w:tcPr>
          <w:p w14:paraId="7CBAD4CB" w14:textId="77777777" w:rsidR="00C92F2D" w:rsidRPr="00575FF9" w:rsidRDefault="00C92F2D" w:rsidP="00575FF9">
            <w:pPr>
              <w:jc w:val="center"/>
              <w:rPr>
                <w:rFonts w:asciiTheme="majorHAnsi" w:hAnsiTheme="majorHAnsi" w:cstheme="majorHAnsi"/>
                <w:sz w:val="18"/>
                <w:szCs w:val="18"/>
              </w:rPr>
            </w:pPr>
            <w:r w:rsidRPr="00575FF9">
              <w:rPr>
                <w:rFonts w:asciiTheme="majorHAnsi" w:hAnsiTheme="majorHAnsi" w:cstheme="majorHAnsi"/>
                <w:sz w:val="18"/>
                <w:szCs w:val="18"/>
              </w:rPr>
              <w:t>Liczba imprez [szt.] i uczestników imprez [os.] zorganizowanych przez instytucje kultury</w:t>
            </w:r>
          </w:p>
        </w:tc>
        <w:tc>
          <w:tcPr>
            <w:tcW w:w="1251" w:type="pct"/>
            <w:shd w:val="clear" w:color="auto" w:fill="FFFFFF" w:themeFill="background1"/>
            <w:vAlign w:val="center"/>
          </w:tcPr>
          <w:p w14:paraId="26826F33" w14:textId="77777777" w:rsidR="00C92F2D" w:rsidRPr="00C92F2D" w:rsidRDefault="00C92F2D" w:rsidP="00575FF9">
            <w:pPr>
              <w:jc w:val="center"/>
              <w:rPr>
                <w:rFonts w:asciiTheme="majorHAnsi" w:hAnsiTheme="majorHAnsi" w:cstheme="majorHAnsi"/>
                <w:sz w:val="18"/>
                <w:szCs w:val="18"/>
              </w:rPr>
            </w:pPr>
            <w:r w:rsidRPr="00575FF9">
              <w:rPr>
                <w:rFonts w:asciiTheme="majorHAnsi" w:hAnsiTheme="majorHAnsi" w:cstheme="majorHAnsi"/>
                <w:sz w:val="18"/>
                <w:szCs w:val="18"/>
              </w:rPr>
              <w:t>Bank Danych Lokalnych Głównego Urzędu Statystycznego</w:t>
            </w:r>
          </w:p>
        </w:tc>
        <w:tc>
          <w:tcPr>
            <w:tcW w:w="1570" w:type="pct"/>
            <w:shd w:val="clear" w:color="auto" w:fill="FFFFFF" w:themeFill="background1"/>
            <w:vAlign w:val="center"/>
          </w:tcPr>
          <w:p w14:paraId="74F0D051" w14:textId="77777777" w:rsidR="00C92F2D" w:rsidRPr="00C92F2D" w:rsidRDefault="00C92F2D" w:rsidP="00575FF9">
            <w:pPr>
              <w:pStyle w:val="Akapitzlist"/>
              <w:ind w:left="360"/>
              <w:jc w:val="center"/>
              <w:rPr>
                <w:rFonts w:asciiTheme="majorHAnsi" w:hAnsiTheme="majorHAnsi" w:cstheme="majorHAnsi"/>
                <w:sz w:val="18"/>
                <w:szCs w:val="18"/>
              </w:rPr>
            </w:pPr>
            <w:r w:rsidRPr="00C92F2D">
              <w:rPr>
                <w:rFonts w:asciiTheme="majorHAnsi" w:hAnsiTheme="majorHAnsi" w:cstheme="majorHAnsi"/>
                <w:sz w:val="18"/>
                <w:szCs w:val="18"/>
              </w:rPr>
              <w:t>466 [szt.]</w:t>
            </w:r>
          </w:p>
          <w:p w14:paraId="557496A1" w14:textId="77777777" w:rsidR="00C92F2D" w:rsidRPr="00C92F2D" w:rsidRDefault="00C92F2D" w:rsidP="00575FF9">
            <w:pPr>
              <w:pStyle w:val="Akapitzlist"/>
              <w:ind w:left="360"/>
              <w:jc w:val="center"/>
              <w:rPr>
                <w:rFonts w:asciiTheme="majorHAnsi" w:hAnsiTheme="majorHAnsi" w:cstheme="majorHAnsi"/>
                <w:sz w:val="18"/>
                <w:szCs w:val="18"/>
              </w:rPr>
            </w:pPr>
            <w:r w:rsidRPr="00C92F2D">
              <w:rPr>
                <w:rFonts w:asciiTheme="majorHAnsi" w:hAnsiTheme="majorHAnsi" w:cstheme="majorHAnsi"/>
                <w:sz w:val="18"/>
                <w:szCs w:val="18"/>
              </w:rPr>
              <w:t>86321 [os.]</w:t>
            </w:r>
          </w:p>
        </w:tc>
        <w:tc>
          <w:tcPr>
            <w:tcW w:w="929" w:type="pct"/>
            <w:shd w:val="clear" w:color="auto" w:fill="FFFFFF" w:themeFill="background1"/>
            <w:vAlign w:val="center"/>
          </w:tcPr>
          <w:p w14:paraId="74C38B35" w14:textId="77777777" w:rsidR="00C92F2D" w:rsidRPr="00C92F2D" w:rsidRDefault="00C92F2D" w:rsidP="00575FF9">
            <w:pPr>
              <w:jc w:val="center"/>
              <w:rPr>
                <w:rFonts w:asciiTheme="majorHAnsi" w:hAnsiTheme="majorHAnsi" w:cstheme="majorHAnsi"/>
                <w:sz w:val="18"/>
                <w:szCs w:val="18"/>
              </w:rPr>
            </w:pPr>
            <w:r w:rsidRPr="00C92F2D">
              <w:rPr>
                <w:rFonts w:asciiTheme="majorHAnsi" w:hAnsiTheme="majorHAnsi" w:cstheme="majorHAnsi"/>
                <w:sz w:val="18"/>
                <w:szCs w:val="18"/>
              </w:rPr>
              <w:t>Wzrost</w:t>
            </w:r>
          </w:p>
        </w:tc>
      </w:tr>
    </w:tbl>
    <w:p w14:paraId="60B17998" w14:textId="77777777" w:rsidR="00AB3416" w:rsidRDefault="00AB3416" w:rsidP="00AB3416">
      <w:pPr>
        <w:pStyle w:val="rdo"/>
      </w:pPr>
      <w:r>
        <w:t>Źródło: opracowanie własne</w:t>
      </w:r>
    </w:p>
    <w:p w14:paraId="0DCE257F" w14:textId="77777777" w:rsidR="008801E2" w:rsidRPr="00F25EBD" w:rsidRDefault="008801E2" w:rsidP="00FC7062">
      <w:pPr>
        <w:spacing w:line="276" w:lineRule="auto"/>
        <w:rPr>
          <w:rFonts w:asciiTheme="majorHAnsi" w:hAnsiTheme="majorHAnsi" w:cstheme="majorHAnsi"/>
        </w:rPr>
      </w:pPr>
      <w:r w:rsidRPr="00F25EBD">
        <w:rPr>
          <w:rFonts w:asciiTheme="majorHAnsi" w:hAnsiTheme="majorHAnsi" w:cstheme="majorHAnsi"/>
        </w:rPr>
        <w:br w:type="page"/>
      </w:r>
    </w:p>
    <w:p w14:paraId="4C99ABBA" w14:textId="77777777" w:rsidR="00137CDE" w:rsidRPr="00F25EBD" w:rsidRDefault="00137CDE" w:rsidP="008D0730">
      <w:pPr>
        <w:pStyle w:val="Nagwek1"/>
        <w:spacing w:line="276" w:lineRule="auto"/>
        <w:jc w:val="both"/>
        <w:rPr>
          <w:rFonts w:cstheme="majorHAnsi"/>
        </w:rPr>
      </w:pPr>
      <w:bookmarkStart w:id="119" w:name="_Toc77070640"/>
      <w:r w:rsidRPr="00F25EBD">
        <w:rPr>
          <w:rFonts w:cstheme="majorHAnsi"/>
        </w:rPr>
        <w:t>Załącznik</w:t>
      </w:r>
      <w:r w:rsidR="002B418A" w:rsidRPr="00F25EBD">
        <w:rPr>
          <w:rFonts w:cstheme="majorHAnsi"/>
        </w:rPr>
        <w:t xml:space="preserve"> - </w:t>
      </w:r>
      <w:r w:rsidRPr="00F25EBD">
        <w:rPr>
          <w:rFonts w:cstheme="majorHAnsi"/>
        </w:rPr>
        <w:t>Raport z badania mieszkańców</w:t>
      </w:r>
      <w:bookmarkEnd w:id="119"/>
    </w:p>
    <w:p w14:paraId="31E4FE93" w14:textId="4FE268B1" w:rsidR="002B418A" w:rsidRPr="00F25EBD" w:rsidRDefault="002B418A" w:rsidP="00FC7062">
      <w:pPr>
        <w:spacing w:line="276" w:lineRule="auto"/>
        <w:jc w:val="both"/>
        <w:rPr>
          <w:rFonts w:asciiTheme="majorHAnsi" w:hAnsiTheme="majorHAnsi" w:cstheme="majorHAnsi"/>
        </w:rPr>
      </w:pPr>
      <w:r w:rsidRPr="00F25EBD">
        <w:rPr>
          <w:rFonts w:asciiTheme="majorHAnsi" w:hAnsiTheme="majorHAnsi" w:cstheme="majorHAnsi"/>
        </w:rPr>
        <w:t>W związku z przygotowaniem Strategii</w:t>
      </w:r>
      <w:r w:rsidR="005E4E72" w:rsidRPr="00F25EBD">
        <w:rPr>
          <w:rFonts w:asciiTheme="majorHAnsi" w:hAnsiTheme="majorHAnsi" w:cstheme="majorHAnsi"/>
        </w:rPr>
        <w:t xml:space="preserve"> Obszaru Funkcjonalnego Mazury P</w:t>
      </w:r>
      <w:r w:rsidRPr="00F25EBD">
        <w:rPr>
          <w:rFonts w:asciiTheme="majorHAnsi" w:hAnsiTheme="majorHAnsi" w:cstheme="majorHAnsi"/>
        </w:rPr>
        <w:t xml:space="preserve">ołudniowe 2030 w dniach </w:t>
      </w:r>
      <w:r w:rsidR="00785962">
        <w:rPr>
          <w:rFonts w:asciiTheme="majorHAnsi" w:hAnsiTheme="majorHAnsi" w:cstheme="majorHAnsi"/>
        </w:rPr>
        <w:br/>
      </w:r>
      <w:r w:rsidRPr="00F25EBD">
        <w:rPr>
          <w:rFonts w:asciiTheme="majorHAnsi" w:hAnsiTheme="majorHAnsi" w:cstheme="majorHAnsi"/>
        </w:rPr>
        <w:t>1.08</w:t>
      </w:r>
      <w:r w:rsidR="005E4E72" w:rsidRPr="00F25EBD">
        <w:rPr>
          <w:rFonts w:asciiTheme="majorHAnsi" w:hAnsiTheme="majorHAnsi" w:cstheme="majorHAnsi"/>
        </w:rPr>
        <w:t xml:space="preserve"> - </w:t>
      </w:r>
      <w:r w:rsidRPr="00F25EBD">
        <w:rPr>
          <w:rFonts w:asciiTheme="majorHAnsi" w:hAnsiTheme="majorHAnsi" w:cstheme="majorHAnsi"/>
        </w:rPr>
        <w:t>21.08</w:t>
      </w:r>
      <w:r w:rsidR="003B0F8A">
        <w:rPr>
          <w:rFonts w:asciiTheme="majorHAnsi" w:hAnsiTheme="majorHAnsi" w:cstheme="majorHAnsi"/>
        </w:rPr>
        <w:t>.2020</w:t>
      </w:r>
      <w:r w:rsidRPr="00F25EBD">
        <w:rPr>
          <w:rFonts w:asciiTheme="majorHAnsi" w:hAnsiTheme="majorHAnsi" w:cstheme="majorHAnsi"/>
        </w:rPr>
        <w:t xml:space="preserve"> przeprowadzono ankietę dotycząca jakości życia, kluczowych problemów i potrzeb rozwojowych powiatów tworzących OF Mazury Południowe (powiat szczycieński, nidzicki, piski, działdowski). Narzędzie badawcze</w:t>
      </w:r>
      <w:r w:rsidR="005E4E72" w:rsidRPr="00F25EBD">
        <w:rPr>
          <w:rFonts w:asciiTheme="majorHAnsi" w:hAnsiTheme="majorHAnsi" w:cstheme="majorHAnsi"/>
        </w:rPr>
        <w:t xml:space="preserve"> - </w:t>
      </w:r>
      <w:r w:rsidRPr="00F25EBD">
        <w:rPr>
          <w:rFonts w:asciiTheme="majorHAnsi" w:hAnsiTheme="majorHAnsi" w:cstheme="majorHAnsi"/>
        </w:rPr>
        <w:t>kwestionariusz ankiety zawierał 10 pytań oraz metryczkę. Ankieta była dystrybuowana w sposób elektroniczny</w:t>
      </w:r>
      <w:r w:rsidR="005E4E72" w:rsidRPr="00F25EBD">
        <w:rPr>
          <w:rFonts w:asciiTheme="majorHAnsi" w:hAnsiTheme="majorHAnsi" w:cstheme="majorHAnsi"/>
        </w:rPr>
        <w:t xml:space="preserve"> - </w:t>
      </w:r>
      <w:r w:rsidRPr="00F25EBD">
        <w:rPr>
          <w:rFonts w:asciiTheme="majorHAnsi" w:hAnsiTheme="majorHAnsi" w:cstheme="majorHAnsi"/>
        </w:rPr>
        <w:t>poszczególne powiaty zamieszczały prośby o wypełnieni</w:t>
      </w:r>
      <w:r w:rsidR="003B0F8A">
        <w:rPr>
          <w:rFonts w:asciiTheme="majorHAnsi" w:hAnsiTheme="majorHAnsi" w:cstheme="majorHAnsi"/>
        </w:rPr>
        <w:t>e</w:t>
      </w:r>
      <w:r w:rsidRPr="00F25EBD">
        <w:rPr>
          <w:rFonts w:asciiTheme="majorHAnsi" w:hAnsiTheme="majorHAnsi" w:cstheme="majorHAnsi"/>
        </w:rPr>
        <w:t xml:space="preserve"> na swoich stronach internetowych oraz profilach w mediach społecznościowych. </w:t>
      </w:r>
    </w:p>
    <w:p w14:paraId="39072631" w14:textId="549CAD2B" w:rsidR="002B418A" w:rsidRPr="00F25EBD" w:rsidRDefault="002B418A" w:rsidP="00FC7062">
      <w:pPr>
        <w:spacing w:line="276" w:lineRule="auto"/>
        <w:jc w:val="both"/>
        <w:rPr>
          <w:rFonts w:asciiTheme="majorHAnsi" w:hAnsiTheme="majorHAnsi" w:cstheme="majorHAnsi"/>
        </w:rPr>
      </w:pPr>
      <w:r w:rsidRPr="00F25EBD">
        <w:rPr>
          <w:rFonts w:asciiTheme="majorHAnsi" w:hAnsiTheme="majorHAnsi" w:cstheme="majorHAnsi"/>
        </w:rPr>
        <w:t>W badaniu wzięł</w:t>
      </w:r>
      <w:r w:rsidR="003B0F8A">
        <w:rPr>
          <w:rFonts w:asciiTheme="majorHAnsi" w:hAnsiTheme="majorHAnsi" w:cstheme="majorHAnsi"/>
        </w:rPr>
        <w:t>y</w:t>
      </w:r>
      <w:r w:rsidRPr="00F25EBD">
        <w:rPr>
          <w:rFonts w:asciiTheme="majorHAnsi" w:hAnsiTheme="majorHAnsi" w:cstheme="majorHAnsi"/>
        </w:rPr>
        <w:t xml:space="preserve"> łącznie udział 1553 osoby, w większości kobiety (w zależności od powiatu kobiety stanowiły 56%-70% badanych). Ankietowani to w większości osoby pomiędzy 35 a 44 rokiem życia, legitymujące się wykształceniem wyższym, pracujące. Najliczniejszą grupę badanych stanowili mieszkańcy powiatu działdowskiego w następnej kolejności </w:t>
      </w:r>
      <w:proofErr w:type="spellStart"/>
      <w:r w:rsidRPr="00F25EBD">
        <w:rPr>
          <w:rFonts w:asciiTheme="majorHAnsi" w:hAnsiTheme="majorHAnsi" w:cstheme="majorHAnsi"/>
        </w:rPr>
        <w:t>piskiego</w:t>
      </w:r>
      <w:proofErr w:type="spellEnd"/>
      <w:r w:rsidRPr="00F25EBD">
        <w:rPr>
          <w:rFonts w:asciiTheme="majorHAnsi" w:hAnsiTheme="majorHAnsi" w:cstheme="majorHAnsi"/>
        </w:rPr>
        <w:t>, nidzickiego i szczycieńskiego.</w:t>
      </w:r>
      <w:r w:rsidR="007B04A7">
        <w:rPr>
          <w:rFonts w:asciiTheme="majorHAnsi" w:hAnsiTheme="majorHAnsi" w:cstheme="majorHAnsi"/>
        </w:rPr>
        <w:t xml:space="preserve"> </w:t>
      </w:r>
    </w:p>
    <w:p w14:paraId="62510901" w14:textId="77777777" w:rsidR="002B418A" w:rsidRPr="00F25EBD" w:rsidRDefault="002B418A" w:rsidP="000E5B5A">
      <w:pPr>
        <w:pStyle w:val="nad"/>
      </w:pPr>
      <w:bookmarkStart w:id="120" w:name="_Toc81301619"/>
      <w:r w:rsidRPr="00F25EBD">
        <w:t xml:space="preserve">Wykres </w:t>
      </w:r>
      <w:r w:rsidR="002E1EA5">
        <w:rPr>
          <w:noProof/>
        </w:rPr>
        <w:fldChar w:fldCharType="begin"/>
      </w:r>
      <w:r w:rsidR="002E1EA5">
        <w:rPr>
          <w:noProof/>
        </w:rPr>
        <w:instrText xml:space="preserve"> SEQ Wykres \* ARABIC </w:instrText>
      </w:r>
      <w:r w:rsidR="002E1EA5">
        <w:rPr>
          <w:noProof/>
        </w:rPr>
        <w:fldChar w:fldCharType="separate"/>
      </w:r>
      <w:r w:rsidR="006C7815">
        <w:rPr>
          <w:noProof/>
        </w:rPr>
        <w:t>1</w:t>
      </w:r>
      <w:r w:rsidR="002E1EA5">
        <w:rPr>
          <w:noProof/>
        </w:rPr>
        <w:fldChar w:fldCharType="end"/>
      </w:r>
      <w:r w:rsidRPr="00F25EBD">
        <w:t xml:space="preserve"> Udział badanych z poszczególnych powiatów</w:t>
      </w:r>
      <w:bookmarkEnd w:id="120"/>
    </w:p>
    <w:p w14:paraId="59D35815" w14:textId="77777777" w:rsidR="002B418A" w:rsidRPr="00F25EBD" w:rsidRDefault="002B418A" w:rsidP="00FC7062">
      <w:pPr>
        <w:pStyle w:val="Legenda"/>
        <w:spacing w:line="276" w:lineRule="auto"/>
        <w:rPr>
          <w:rFonts w:asciiTheme="majorHAnsi" w:hAnsiTheme="majorHAnsi" w:cstheme="majorHAnsi"/>
        </w:rPr>
      </w:pPr>
      <w:r w:rsidRPr="00F25EBD">
        <w:rPr>
          <w:rFonts w:asciiTheme="majorHAnsi" w:hAnsiTheme="majorHAnsi" w:cstheme="majorHAnsi"/>
          <w:noProof/>
          <w:lang w:eastAsia="pl-PL"/>
        </w:rPr>
        <w:drawing>
          <wp:inline distT="0" distB="0" distL="0" distR="0" wp14:anchorId="6D741BBC" wp14:editId="3FBC9030">
            <wp:extent cx="5759450" cy="2184400"/>
            <wp:effectExtent l="0" t="0" r="12700" b="6350"/>
            <wp:docPr id="47" name="Wykres 47">
              <a:extLst xmlns:a="http://schemas.openxmlformats.org/drawingml/2006/main">
                <a:ext uri="{FF2B5EF4-FFF2-40B4-BE49-F238E27FC236}">
                  <a16:creationId xmlns:a16="http://schemas.microsoft.com/office/drawing/2014/main" id="{E60BA416-6D33-4D62-872B-834315352F7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r w:rsidRPr="00F25EBD">
        <w:rPr>
          <w:rFonts w:asciiTheme="majorHAnsi" w:hAnsiTheme="majorHAnsi" w:cstheme="majorHAnsi"/>
        </w:rPr>
        <w:t>Źródło: badania własne, N=1553</w:t>
      </w:r>
    </w:p>
    <w:p w14:paraId="09E98327" w14:textId="77777777" w:rsidR="002B418A" w:rsidRPr="00F25EBD" w:rsidRDefault="002B418A" w:rsidP="000E5B5A">
      <w:pPr>
        <w:pStyle w:val="nad"/>
      </w:pPr>
      <w:bookmarkStart w:id="121" w:name="_Toc81301620"/>
      <w:r w:rsidRPr="00F25EBD">
        <w:t xml:space="preserve">Wykres </w:t>
      </w:r>
      <w:r w:rsidR="002E1EA5">
        <w:rPr>
          <w:noProof/>
        </w:rPr>
        <w:fldChar w:fldCharType="begin"/>
      </w:r>
      <w:r w:rsidR="002E1EA5">
        <w:rPr>
          <w:noProof/>
        </w:rPr>
        <w:instrText xml:space="preserve"> SEQ Wykres \* ARABIC </w:instrText>
      </w:r>
      <w:r w:rsidR="002E1EA5">
        <w:rPr>
          <w:noProof/>
        </w:rPr>
        <w:fldChar w:fldCharType="separate"/>
      </w:r>
      <w:r w:rsidR="006C7815">
        <w:rPr>
          <w:noProof/>
        </w:rPr>
        <w:t>2</w:t>
      </w:r>
      <w:r w:rsidR="002E1EA5">
        <w:rPr>
          <w:noProof/>
        </w:rPr>
        <w:fldChar w:fldCharType="end"/>
      </w:r>
      <w:r w:rsidRPr="00F25EBD">
        <w:t xml:space="preserve"> Płeć badanych</w:t>
      </w:r>
      <w:bookmarkEnd w:id="121"/>
    </w:p>
    <w:p w14:paraId="5E5928B6" w14:textId="77777777" w:rsidR="002B418A" w:rsidRPr="00F25EBD" w:rsidRDefault="002B418A" w:rsidP="00FC7062">
      <w:pPr>
        <w:pStyle w:val="Legenda"/>
        <w:spacing w:line="276" w:lineRule="auto"/>
        <w:rPr>
          <w:rFonts w:asciiTheme="majorHAnsi" w:hAnsiTheme="majorHAnsi" w:cstheme="majorHAnsi"/>
        </w:rPr>
      </w:pPr>
      <w:r w:rsidRPr="00F25EBD">
        <w:rPr>
          <w:rFonts w:asciiTheme="majorHAnsi" w:hAnsiTheme="majorHAnsi" w:cstheme="majorHAnsi"/>
          <w:noProof/>
          <w:lang w:eastAsia="pl-PL"/>
        </w:rPr>
        <w:drawing>
          <wp:inline distT="0" distB="0" distL="0" distR="0" wp14:anchorId="6053CAAA" wp14:editId="1AC09717">
            <wp:extent cx="5774266" cy="2286000"/>
            <wp:effectExtent l="0" t="0" r="17145" b="0"/>
            <wp:docPr id="48" name="Wykres 48">
              <a:extLst xmlns:a="http://schemas.openxmlformats.org/drawingml/2006/main">
                <a:ext uri="{FF2B5EF4-FFF2-40B4-BE49-F238E27FC236}">
                  <a16:creationId xmlns:a16="http://schemas.microsoft.com/office/drawing/2014/main" id="{00000000-0008-0000-06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r w:rsidRPr="00F25EBD">
        <w:rPr>
          <w:rFonts w:asciiTheme="majorHAnsi" w:hAnsiTheme="majorHAnsi" w:cstheme="majorHAnsi"/>
        </w:rPr>
        <w:t>Źródło: badania własne, N=1553</w:t>
      </w:r>
    </w:p>
    <w:p w14:paraId="1D7BBB24" w14:textId="77777777" w:rsidR="002B418A" w:rsidRPr="00F25EBD" w:rsidRDefault="002B418A" w:rsidP="000E5B5A">
      <w:pPr>
        <w:pStyle w:val="nad"/>
      </w:pPr>
      <w:bookmarkStart w:id="122" w:name="_Toc81301621"/>
      <w:r w:rsidRPr="00F25EBD">
        <w:t xml:space="preserve">Wykres </w:t>
      </w:r>
      <w:r w:rsidR="002E1EA5">
        <w:rPr>
          <w:noProof/>
        </w:rPr>
        <w:fldChar w:fldCharType="begin"/>
      </w:r>
      <w:r w:rsidR="002E1EA5">
        <w:rPr>
          <w:noProof/>
        </w:rPr>
        <w:instrText xml:space="preserve"> SEQ Wykres \* ARABIC </w:instrText>
      </w:r>
      <w:r w:rsidR="002E1EA5">
        <w:rPr>
          <w:noProof/>
        </w:rPr>
        <w:fldChar w:fldCharType="separate"/>
      </w:r>
      <w:r w:rsidR="006C7815">
        <w:rPr>
          <w:noProof/>
        </w:rPr>
        <w:t>3</w:t>
      </w:r>
      <w:r w:rsidR="002E1EA5">
        <w:rPr>
          <w:noProof/>
        </w:rPr>
        <w:fldChar w:fldCharType="end"/>
      </w:r>
      <w:r w:rsidRPr="00F25EBD">
        <w:t xml:space="preserve"> Wykształcenie badanych</w:t>
      </w:r>
      <w:bookmarkEnd w:id="122"/>
    </w:p>
    <w:p w14:paraId="2EC71292" w14:textId="77777777" w:rsidR="002B418A" w:rsidRPr="00F25EBD" w:rsidRDefault="002B418A" w:rsidP="00FC7062">
      <w:pPr>
        <w:pStyle w:val="Legenda"/>
        <w:spacing w:line="276" w:lineRule="auto"/>
        <w:rPr>
          <w:rFonts w:asciiTheme="majorHAnsi" w:hAnsiTheme="majorHAnsi" w:cstheme="majorHAnsi"/>
        </w:rPr>
      </w:pPr>
      <w:r w:rsidRPr="00F25EBD">
        <w:rPr>
          <w:rFonts w:asciiTheme="majorHAnsi" w:hAnsiTheme="majorHAnsi" w:cstheme="majorHAnsi"/>
          <w:noProof/>
          <w:lang w:eastAsia="pl-PL"/>
        </w:rPr>
        <w:drawing>
          <wp:inline distT="0" distB="0" distL="0" distR="0" wp14:anchorId="5BFA2401" wp14:editId="31DA5ECA">
            <wp:extent cx="5706533" cy="3094355"/>
            <wp:effectExtent l="0" t="0" r="8890" b="10795"/>
            <wp:docPr id="49" name="Wykres 49">
              <a:extLst xmlns:a="http://schemas.openxmlformats.org/drawingml/2006/main">
                <a:ext uri="{FF2B5EF4-FFF2-40B4-BE49-F238E27FC236}">
                  <a16:creationId xmlns:a16="http://schemas.microsoft.com/office/drawing/2014/main" id="{00000000-0008-0000-06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r w:rsidRPr="00F25EBD">
        <w:rPr>
          <w:rFonts w:asciiTheme="majorHAnsi" w:hAnsiTheme="majorHAnsi" w:cstheme="majorHAnsi"/>
        </w:rPr>
        <w:t>Źródło: badania własne, N=1553</w:t>
      </w:r>
    </w:p>
    <w:p w14:paraId="3C0E1F4B" w14:textId="77777777" w:rsidR="002B418A" w:rsidRPr="00F25EBD" w:rsidRDefault="002B418A" w:rsidP="000E5B5A">
      <w:pPr>
        <w:pStyle w:val="nad"/>
      </w:pPr>
      <w:bookmarkStart w:id="123" w:name="_Toc81301622"/>
      <w:r w:rsidRPr="00F25EBD">
        <w:t xml:space="preserve">Wykres </w:t>
      </w:r>
      <w:r w:rsidR="002E1EA5">
        <w:rPr>
          <w:noProof/>
        </w:rPr>
        <w:fldChar w:fldCharType="begin"/>
      </w:r>
      <w:r w:rsidR="002E1EA5">
        <w:rPr>
          <w:noProof/>
        </w:rPr>
        <w:instrText xml:space="preserve"> SEQ Wykres \* ARABIC </w:instrText>
      </w:r>
      <w:r w:rsidR="002E1EA5">
        <w:rPr>
          <w:noProof/>
        </w:rPr>
        <w:fldChar w:fldCharType="separate"/>
      </w:r>
      <w:r w:rsidR="006C7815">
        <w:rPr>
          <w:noProof/>
        </w:rPr>
        <w:t>4</w:t>
      </w:r>
      <w:r w:rsidR="002E1EA5">
        <w:rPr>
          <w:noProof/>
        </w:rPr>
        <w:fldChar w:fldCharType="end"/>
      </w:r>
      <w:r w:rsidRPr="00F25EBD">
        <w:t xml:space="preserve"> Wiek respondentów</w:t>
      </w:r>
      <w:bookmarkEnd w:id="123"/>
    </w:p>
    <w:p w14:paraId="04D35F2F" w14:textId="77777777" w:rsidR="002B418A" w:rsidRPr="00F25EBD" w:rsidRDefault="002B418A" w:rsidP="00FC7062">
      <w:pPr>
        <w:pStyle w:val="Legenda"/>
        <w:spacing w:line="276" w:lineRule="auto"/>
        <w:rPr>
          <w:rFonts w:asciiTheme="majorHAnsi" w:hAnsiTheme="majorHAnsi" w:cstheme="majorHAnsi"/>
        </w:rPr>
      </w:pPr>
      <w:r w:rsidRPr="00F25EBD">
        <w:rPr>
          <w:rFonts w:asciiTheme="majorHAnsi" w:hAnsiTheme="majorHAnsi" w:cstheme="majorHAnsi"/>
          <w:noProof/>
          <w:lang w:eastAsia="pl-PL"/>
        </w:rPr>
        <w:drawing>
          <wp:inline distT="0" distB="0" distL="0" distR="0" wp14:anchorId="1D6039B6" wp14:editId="5D58F735">
            <wp:extent cx="5760000" cy="3804920"/>
            <wp:effectExtent l="0" t="0" r="12700" b="5080"/>
            <wp:docPr id="50" name="Wykres 50">
              <a:extLst xmlns:a="http://schemas.openxmlformats.org/drawingml/2006/main">
                <a:ext uri="{FF2B5EF4-FFF2-40B4-BE49-F238E27FC236}">
                  <a16:creationId xmlns:a16="http://schemas.microsoft.com/office/drawing/2014/main" id="{00000000-0008-0000-06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r w:rsidRPr="00F25EBD">
        <w:rPr>
          <w:rFonts w:asciiTheme="majorHAnsi" w:hAnsiTheme="majorHAnsi" w:cstheme="majorHAnsi"/>
        </w:rPr>
        <w:t>Źródło: badania własne, N=1553</w:t>
      </w:r>
    </w:p>
    <w:p w14:paraId="3BF746DF" w14:textId="1EACF77D" w:rsidR="002B418A" w:rsidRPr="00F25EBD" w:rsidRDefault="002B418A" w:rsidP="00FC7062">
      <w:pPr>
        <w:spacing w:line="276" w:lineRule="auto"/>
        <w:jc w:val="both"/>
        <w:rPr>
          <w:rFonts w:asciiTheme="majorHAnsi" w:hAnsiTheme="majorHAnsi" w:cstheme="majorHAnsi"/>
        </w:rPr>
      </w:pPr>
      <w:r w:rsidRPr="00F25EBD">
        <w:rPr>
          <w:rFonts w:asciiTheme="majorHAnsi" w:hAnsiTheme="majorHAnsi" w:cstheme="majorHAnsi"/>
        </w:rPr>
        <w:t>W pierwszej kolejności poproszono respondentów o ocenę jakości życia zarówno miejscowości w jakiej mieszkają jak i powiatu.</w:t>
      </w:r>
      <w:r w:rsidR="007B04A7">
        <w:rPr>
          <w:rFonts w:asciiTheme="majorHAnsi" w:hAnsiTheme="majorHAnsi" w:cstheme="majorHAnsi"/>
        </w:rPr>
        <w:t xml:space="preserve"> </w:t>
      </w:r>
      <w:r w:rsidRPr="00F25EBD">
        <w:rPr>
          <w:rFonts w:asciiTheme="majorHAnsi" w:hAnsiTheme="majorHAnsi" w:cstheme="majorHAnsi"/>
        </w:rPr>
        <w:t xml:space="preserve">Zadaniem respondentów była odpowiedź na pytanie, czy dany powiat/ miejscowość są dobrymi miejscami do życia. W zdecydowanej większości, ankietowani udzielili twierdzących (pozytywnych) odpowiedzi, a suma odpowiedzi </w:t>
      </w:r>
      <w:r w:rsidR="003B0F8A">
        <w:rPr>
          <w:rFonts w:asciiTheme="majorHAnsi" w:hAnsiTheme="majorHAnsi" w:cstheme="majorHAnsi"/>
        </w:rPr>
        <w:t>„</w:t>
      </w:r>
      <w:r w:rsidRPr="00F25EBD">
        <w:rPr>
          <w:rFonts w:asciiTheme="majorHAnsi" w:hAnsiTheme="majorHAnsi" w:cstheme="majorHAnsi"/>
        </w:rPr>
        <w:t>raczej tak</w:t>
      </w:r>
      <w:r w:rsidR="003B0F8A">
        <w:rPr>
          <w:rFonts w:asciiTheme="majorHAnsi" w:hAnsiTheme="majorHAnsi" w:cstheme="majorHAnsi"/>
        </w:rPr>
        <w:t>”</w:t>
      </w:r>
      <w:r w:rsidRPr="00F25EBD">
        <w:rPr>
          <w:rFonts w:asciiTheme="majorHAnsi" w:hAnsiTheme="majorHAnsi" w:cstheme="majorHAnsi"/>
        </w:rPr>
        <w:t xml:space="preserve"> i </w:t>
      </w:r>
      <w:r w:rsidR="003B0F8A">
        <w:rPr>
          <w:rFonts w:asciiTheme="majorHAnsi" w:hAnsiTheme="majorHAnsi" w:cstheme="majorHAnsi"/>
        </w:rPr>
        <w:t>„</w:t>
      </w:r>
      <w:r w:rsidRPr="00F25EBD">
        <w:rPr>
          <w:rFonts w:asciiTheme="majorHAnsi" w:hAnsiTheme="majorHAnsi" w:cstheme="majorHAnsi"/>
        </w:rPr>
        <w:t>zdecydowanie tak</w:t>
      </w:r>
      <w:r w:rsidR="003B0F8A">
        <w:rPr>
          <w:rFonts w:asciiTheme="majorHAnsi" w:hAnsiTheme="majorHAnsi" w:cstheme="majorHAnsi"/>
        </w:rPr>
        <w:t>”</w:t>
      </w:r>
      <w:r w:rsidRPr="00F25EBD">
        <w:rPr>
          <w:rFonts w:asciiTheme="majorHAnsi" w:hAnsiTheme="majorHAnsi" w:cstheme="majorHAnsi"/>
        </w:rPr>
        <w:t xml:space="preserve"> wyniosła ponad 70%.</w:t>
      </w:r>
    </w:p>
    <w:p w14:paraId="1866A6B7" w14:textId="77777777" w:rsidR="002B418A" w:rsidRPr="00F25EBD" w:rsidRDefault="002B418A" w:rsidP="000E5B5A">
      <w:pPr>
        <w:pStyle w:val="nad"/>
      </w:pPr>
      <w:bookmarkStart w:id="124" w:name="_Toc81301623"/>
      <w:r w:rsidRPr="00F25EBD">
        <w:t xml:space="preserve">Wykres </w:t>
      </w:r>
      <w:r w:rsidR="002E1EA5">
        <w:rPr>
          <w:noProof/>
        </w:rPr>
        <w:fldChar w:fldCharType="begin"/>
      </w:r>
      <w:r w:rsidR="002E1EA5">
        <w:rPr>
          <w:noProof/>
        </w:rPr>
        <w:instrText xml:space="preserve"> SEQ Wykres \* ARABIC </w:instrText>
      </w:r>
      <w:r w:rsidR="002E1EA5">
        <w:rPr>
          <w:noProof/>
        </w:rPr>
        <w:fldChar w:fldCharType="separate"/>
      </w:r>
      <w:r w:rsidR="006C7815">
        <w:rPr>
          <w:noProof/>
        </w:rPr>
        <w:t>5</w:t>
      </w:r>
      <w:r w:rsidR="002E1EA5">
        <w:rPr>
          <w:noProof/>
        </w:rPr>
        <w:fldChar w:fldCharType="end"/>
      </w:r>
      <w:r w:rsidRPr="00F25EBD">
        <w:t xml:space="preserve"> Ocena jakości życia w powiecie.</w:t>
      </w:r>
      <w:bookmarkEnd w:id="124"/>
    </w:p>
    <w:p w14:paraId="35167BD2" w14:textId="77777777" w:rsidR="002B418A" w:rsidRPr="00F25EBD" w:rsidRDefault="002B418A" w:rsidP="00FC7062">
      <w:pPr>
        <w:pStyle w:val="Legenda"/>
        <w:spacing w:line="276" w:lineRule="auto"/>
        <w:rPr>
          <w:rFonts w:asciiTheme="majorHAnsi" w:hAnsiTheme="majorHAnsi" w:cstheme="majorHAnsi"/>
        </w:rPr>
      </w:pPr>
      <w:r w:rsidRPr="00F25EBD">
        <w:rPr>
          <w:rFonts w:asciiTheme="majorHAnsi" w:hAnsiTheme="majorHAnsi" w:cstheme="majorHAnsi"/>
          <w:noProof/>
          <w:lang w:eastAsia="pl-PL"/>
        </w:rPr>
        <w:drawing>
          <wp:inline distT="0" distB="0" distL="0" distR="0" wp14:anchorId="0AF2DB5E" wp14:editId="4AD54E4E">
            <wp:extent cx="5759450" cy="3632200"/>
            <wp:effectExtent l="0" t="0" r="12700" b="6350"/>
            <wp:docPr id="51" name="Wykres 51">
              <a:extLst xmlns:a="http://schemas.openxmlformats.org/drawingml/2006/main">
                <a:ext uri="{FF2B5EF4-FFF2-40B4-BE49-F238E27FC236}">
                  <a16:creationId xmlns:a16="http://schemas.microsoft.com/office/drawing/2014/main" id="{00000000-0008-0000-01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r w:rsidRPr="00F25EBD">
        <w:rPr>
          <w:rFonts w:asciiTheme="majorHAnsi" w:hAnsiTheme="majorHAnsi" w:cstheme="majorHAnsi"/>
        </w:rPr>
        <w:t>Źródło: badania własne, N=1553</w:t>
      </w:r>
    </w:p>
    <w:p w14:paraId="3A98E9C0" w14:textId="47F3BC04" w:rsidR="002B418A" w:rsidRPr="00F25EBD" w:rsidRDefault="002B418A" w:rsidP="00FC7062">
      <w:pPr>
        <w:spacing w:after="0" w:line="276" w:lineRule="auto"/>
        <w:jc w:val="both"/>
        <w:rPr>
          <w:rFonts w:asciiTheme="majorHAnsi" w:hAnsiTheme="majorHAnsi" w:cstheme="majorHAnsi"/>
        </w:rPr>
      </w:pPr>
      <w:r w:rsidRPr="00F25EBD">
        <w:rPr>
          <w:rFonts w:asciiTheme="majorHAnsi" w:hAnsiTheme="majorHAnsi" w:cstheme="majorHAnsi"/>
        </w:rPr>
        <w:t xml:space="preserve">W przypadku oceny jakości życia w danej miejscowości respondenci nie byli już tak jednomyślni choć nadal przeważały odpowiedzi pozytywne („zdecydowanie tak” i „raczej tak”). Najsłabiej oceniono miejscowości zamieszkiwane przez mieszkańców powiatu </w:t>
      </w:r>
      <w:proofErr w:type="spellStart"/>
      <w:r w:rsidRPr="00F25EBD">
        <w:rPr>
          <w:rFonts w:asciiTheme="majorHAnsi" w:hAnsiTheme="majorHAnsi" w:cstheme="majorHAnsi"/>
        </w:rPr>
        <w:t>piskiego</w:t>
      </w:r>
      <w:proofErr w:type="spellEnd"/>
      <w:r w:rsidRPr="00F25EBD">
        <w:rPr>
          <w:rFonts w:asciiTheme="majorHAnsi" w:hAnsiTheme="majorHAnsi" w:cstheme="majorHAnsi"/>
        </w:rPr>
        <w:t xml:space="preserve"> gdzie łączna suma ocen </w:t>
      </w:r>
      <w:r w:rsidR="006D24CC">
        <w:rPr>
          <w:rFonts w:asciiTheme="majorHAnsi" w:hAnsiTheme="majorHAnsi" w:cstheme="majorHAnsi"/>
        </w:rPr>
        <w:br/>
      </w:r>
      <w:r w:rsidRPr="00F25EBD">
        <w:rPr>
          <w:rFonts w:asciiTheme="majorHAnsi" w:hAnsiTheme="majorHAnsi" w:cstheme="majorHAnsi"/>
        </w:rPr>
        <w:t>(</w:t>
      </w:r>
      <w:r w:rsidR="00097ABC">
        <w:rPr>
          <w:rFonts w:asciiTheme="majorHAnsi" w:hAnsiTheme="majorHAnsi" w:cstheme="majorHAnsi"/>
        </w:rPr>
        <w:t>„</w:t>
      </w:r>
      <w:r w:rsidRPr="00F25EBD">
        <w:rPr>
          <w:rFonts w:asciiTheme="majorHAnsi" w:hAnsiTheme="majorHAnsi" w:cstheme="majorHAnsi"/>
        </w:rPr>
        <w:t>nie</w:t>
      </w:r>
      <w:r w:rsidR="00097ABC">
        <w:rPr>
          <w:rFonts w:asciiTheme="majorHAnsi" w:hAnsiTheme="majorHAnsi" w:cstheme="majorHAnsi"/>
        </w:rPr>
        <w:t>”</w:t>
      </w:r>
      <w:r w:rsidRPr="00F25EBD">
        <w:rPr>
          <w:rFonts w:asciiTheme="majorHAnsi" w:hAnsiTheme="majorHAnsi" w:cstheme="majorHAnsi"/>
        </w:rPr>
        <w:t xml:space="preserve"> i </w:t>
      </w:r>
      <w:r w:rsidR="00097ABC">
        <w:rPr>
          <w:rFonts w:asciiTheme="majorHAnsi" w:hAnsiTheme="majorHAnsi" w:cstheme="majorHAnsi"/>
        </w:rPr>
        <w:t>„</w:t>
      </w:r>
      <w:r w:rsidRPr="00F25EBD">
        <w:rPr>
          <w:rFonts w:asciiTheme="majorHAnsi" w:hAnsiTheme="majorHAnsi" w:cstheme="majorHAnsi"/>
        </w:rPr>
        <w:t>zdecydowanie nie</w:t>
      </w:r>
      <w:r w:rsidR="00097ABC">
        <w:rPr>
          <w:rFonts w:asciiTheme="majorHAnsi" w:hAnsiTheme="majorHAnsi" w:cstheme="majorHAnsi"/>
        </w:rPr>
        <w:t>”</w:t>
      </w:r>
      <w:r w:rsidRPr="00F25EBD">
        <w:rPr>
          <w:rFonts w:asciiTheme="majorHAnsi" w:hAnsiTheme="majorHAnsi" w:cstheme="majorHAnsi"/>
        </w:rPr>
        <w:t xml:space="preserve"> wyniosła ponad 30%</w:t>
      </w:r>
      <w:r w:rsidR="00097ABC">
        <w:rPr>
          <w:rFonts w:asciiTheme="majorHAnsi" w:hAnsiTheme="majorHAnsi" w:cstheme="majorHAnsi"/>
        </w:rPr>
        <w:t>)</w:t>
      </w:r>
      <w:r w:rsidRPr="00F25EBD">
        <w:rPr>
          <w:rFonts w:asciiTheme="majorHAnsi" w:hAnsiTheme="majorHAnsi" w:cstheme="majorHAnsi"/>
        </w:rPr>
        <w:t>.</w:t>
      </w:r>
    </w:p>
    <w:p w14:paraId="174C4903" w14:textId="77777777" w:rsidR="002B418A" w:rsidRPr="00F25EBD" w:rsidRDefault="002B418A" w:rsidP="000E5B5A">
      <w:pPr>
        <w:pStyle w:val="nad"/>
      </w:pPr>
      <w:bookmarkStart w:id="125" w:name="_Toc81301624"/>
      <w:r w:rsidRPr="00F25EBD">
        <w:t xml:space="preserve">Wykres </w:t>
      </w:r>
      <w:r w:rsidR="002E1EA5">
        <w:rPr>
          <w:noProof/>
        </w:rPr>
        <w:fldChar w:fldCharType="begin"/>
      </w:r>
      <w:r w:rsidR="002E1EA5">
        <w:rPr>
          <w:noProof/>
        </w:rPr>
        <w:instrText xml:space="preserve"> SEQ Wykres \* ARABIC </w:instrText>
      </w:r>
      <w:r w:rsidR="002E1EA5">
        <w:rPr>
          <w:noProof/>
        </w:rPr>
        <w:fldChar w:fldCharType="separate"/>
      </w:r>
      <w:r w:rsidR="006C7815">
        <w:rPr>
          <w:noProof/>
        </w:rPr>
        <w:t>6</w:t>
      </w:r>
      <w:r w:rsidR="002E1EA5">
        <w:rPr>
          <w:noProof/>
        </w:rPr>
        <w:fldChar w:fldCharType="end"/>
      </w:r>
      <w:r w:rsidRPr="00F25EBD">
        <w:t xml:space="preserve"> Ocena jakości życia w miejscowości</w:t>
      </w:r>
      <w:bookmarkEnd w:id="125"/>
    </w:p>
    <w:p w14:paraId="6499BEE5" w14:textId="77777777" w:rsidR="002B418A" w:rsidRPr="00F25EBD" w:rsidRDefault="002B418A" w:rsidP="00FC7062">
      <w:pPr>
        <w:keepNext/>
        <w:spacing w:after="0" w:line="276" w:lineRule="auto"/>
        <w:rPr>
          <w:rFonts w:asciiTheme="majorHAnsi" w:hAnsiTheme="majorHAnsi" w:cstheme="majorHAnsi"/>
        </w:rPr>
      </w:pPr>
      <w:r w:rsidRPr="00F25EBD">
        <w:rPr>
          <w:rFonts w:asciiTheme="majorHAnsi" w:hAnsiTheme="majorHAnsi" w:cstheme="majorHAnsi"/>
          <w:noProof/>
          <w:lang w:eastAsia="pl-PL"/>
        </w:rPr>
        <w:drawing>
          <wp:inline distT="0" distB="0" distL="0" distR="0" wp14:anchorId="35BCB330" wp14:editId="70C70F38">
            <wp:extent cx="5759450" cy="2328333"/>
            <wp:effectExtent l="0" t="0" r="12700" b="15240"/>
            <wp:docPr id="52" name="Wykres 52">
              <a:extLst xmlns:a="http://schemas.openxmlformats.org/drawingml/2006/main">
                <a:ext uri="{FF2B5EF4-FFF2-40B4-BE49-F238E27FC236}">
                  <a16:creationId xmlns:a16="http://schemas.microsoft.com/office/drawing/2014/main" id="{00000000-0008-0000-01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14:paraId="793D49FA" w14:textId="77777777" w:rsidR="002B418A" w:rsidRPr="00F25EBD" w:rsidRDefault="002B418A" w:rsidP="00FC7062">
      <w:pPr>
        <w:pStyle w:val="Legenda"/>
        <w:spacing w:line="276" w:lineRule="auto"/>
        <w:rPr>
          <w:rFonts w:asciiTheme="majorHAnsi" w:hAnsiTheme="majorHAnsi" w:cstheme="majorHAnsi"/>
        </w:rPr>
      </w:pPr>
      <w:r w:rsidRPr="00F25EBD">
        <w:rPr>
          <w:rFonts w:asciiTheme="majorHAnsi" w:hAnsiTheme="majorHAnsi" w:cstheme="majorHAnsi"/>
        </w:rPr>
        <w:t>Źródło: badania własne, N=1553</w:t>
      </w:r>
    </w:p>
    <w:p w14:paraId="3F4C0683" w14:textId="6C80CE5A" w:rsidR="002B418A" w:rsidRPr="00F25EBD" w:rsidRDefault="002B418A" w:rsidP="00FC7062">
      <w:pPr>
        <w:spacing w:line="276" w:lineRule="auto"/>
        <w:jc w:val="both"/>
        <w:rPr>
          <w:rFonts w:asciiTheme="majorHAnsi" w:hAnsiTheme="majorHAnsi" w:cstheme="majorHAnsi"/>
        </w:rPr>
      </w:pPr>
      <w:r w:rsidRPr="00F25EBD">
        <w:rPr>
          <w:rFonts w:asciiTheme="majorHAnsi" w:hAnsiTheme="majorHAnsi" w:cstheme="majorHAnsi"/>
        </w:rPr>
        <w:t xml:space="preserve">Na wykresach poniżej zobrazowano oceny respondentów poszczególnych elementów infrastruktury </w:t>
      </w:r>
      <w:r w:rsidR="00715929">
        <w:rPr>
          <w:rFonts w:asciiTheme="majorHAnsi" w:hAnsiTheme="majorHAnsi" w:cstheme="majorHAnsi"/>
        </w:rPr>
        <w:br/>
      </w:r>
      <w:r w:rsidRPr="00F25EBD">
        <w:rPr>
          <w:rFonts w:asciiTheme="majorHAnsi" w:hAnsiTheme="majorHAnsi" w:cstheme="majorHAnsi"/>
        </w:rPr>
        <w:t xml:space="preserve">i oferty terenu, który zamieszkują. Zadaniem respondentów było dokonanie oceny każdej z 51 kategorii w oparciu o skalę „źle”, „ani dobrze, ani źle”, „dobrze”, „bardzo źle”, „bardzo dobrze”. Ze względu </w:t>
      </w:r>
      <w:r w:rsidR="006D24CC">
        <w:rPr>
          <w:rFonts w:asciiTheme="majorHAnsi" w:hAnsiTheme="majorHAnsi" w:cstheme="majorHAnsi"/>
        </w:rPr>
        <w:br/>
      </w:r>
      <w:r w:rsidRPr="00F25EBD">
        <w:rPr>
          <w:rFonts w:asciiTheme="majorHAnsi" w:hAnsiTheme="majorHAnsi" w:cstheme="majorHAnsi"/>
        </w:rPr>
        <w:t>na mnogość kategorii przeliczono oceny na średnią ważoną przypisując wagi do poszczególnych odpowiedzi, zgodnie z tabelą:</w:t>
      </w:r>
    </w:p>
    <w:tbl>
      <w:tblPr>
        <w:tblStyle w:val="Tabela-Siatka"/>
        <w:tblW w:w="9072" w:type="dxa"/>
        <w:tblBorders>
          <w:top w:val="none" w:sz="0" w:space="0" w:color="auto"/>
          <w:left w:val="none" w:sz="0" w:space="0" w:color="auto"/>
          <w:bottom w:val="single" w:sz="4" w:space="0" w:color="808080" w:themeColor="background1" w:themeShade="80"/>
          <w:right w:val="none" w:sz="0" w:space="0" w:color="auto"/>
          <w:insideH w:val="single" w:sz="4" w:space="0" w:color="808080" w:themeColor="background1" w:themeShade="80"/>
          <w:insideV w:val="none" w:sz="0" w:space="0" w:color="auto"/>
        </w:tblBorders>
        <w:tblLook w:val="04A0" w:firstRow="1" w:lastRow="0" w:firstColumn="1" w:lastColumn="0" w:noHBand="0" w:noVBand="1"/>
      </w:tblPr>
      <w:tblGrid>
        <w:gridCol w:w="3972"/>
        <w:gridCol w:w="5100"/>
      </w:tblGrid>
      <w:tr w:rsidR="002B418A" w:rsidRPr="00F25EBD" w14:paraId="2C821DFF" w14:textId="77777777" w:rsidTr="008D0730">
        <w:trPr>
          <w:trHeight w:val="510"/>
        </w:trPr>
        <w:tc>
          <w:tcPr>
            <w:tcW w:w="45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vAlign w:val="center"/>
          </w:tcPr>
          <w:p w14:paraId="62A2B1D2" w14:textId="77777777" w:rsidR="002B418A" w:rsidRPr="00F25EBD" w:rsidRDefault="002B418A" w:rsidP="00FC7062">
            <w:pPr>
              <w:spacing w:line="276" w:lineRule="auto"/>
              <w:jc w:val="center"/>
              <w:rPr>
                <w:rFonts w:asciiTheme="majorHAnsi" w:hAnsiTheme="majorHAnsi" w:cstheme="majorHAnsi"/>
                <w:color w:val="FFFFFF" w:themeColor="background1"/>
                <w:sz w:val="18"/>
                <w:szCs w:val="18"/>
              </w:rPr>
            </w:pPr>
            <w:r w:rsidRPr="00F25EBD">
              <w:rPr>
                <w:rFonts w:asciiTheme="majorHAnsi" w:hAnsiTheme="majorHAnsi" w:cstheme="majorHAnsi"/>
                <w:color w:val="FFFFFF" w:themeColor="background1"/>
                <w:sz w:val="18"/>
                <w:szCs w:val="18"/>
              </w:rPr>
              <w:t>Ocena</w:t>
            </w:r>
          </w:p>
        </w:tc>
        <w:tc>
          <w:tcPr>
            <w:tcW w:w="595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2D050"/>
            <w:vAlign w:val="center"/>
          </w:tcPr>
          <w:p w14:paraId="168CA427" w14:textId="77777777" w:rsidR="002B418A" w:rsidRPr="00F25EBD" w:rsidRDefault="002B418A" w:rsidP="00FC7062">
            <w:pPr>
              <w:spacing w:line="276" w:lineRule="auto"/>
              <w:jc w:val="center"/>
              <w:rPr>
                <w:rFonts w:asciiTheme="majorHAnsi" w:hAnsiTheme="majorHAnsi" w:cstheme="majorHAnsi"/>
                <w:color w:val="FFFFFF" w:themeColor="background1"/>
                <w:sz w:val="18"/>
                <w:szCs w:val="18"/>
              </w:rPr>
            </w:pPr>
            <w:r w:rsidRPr="00F25EBD">
              <w:rPr>
                <w:rFonts w:asciiTheme="majorHAnsi" w:hAnsiTheme="majorHAnsi" w:cstheme="majorHAnsi"/>
                <w:color w:val="FFFFFF" w:themeColor="background1"/>
                <w:sz w:val="18"/>
                <w:szCs w:val="18"/>
              </w:rPr>
              <w:t>Waga</w:t>
            </w:r>
          </w:p>
        </w:tc>
      </w:tr>
      <w:tr w:rsidR="002B418A" w:rsidRPr="00F25EBD" w14:paraId="65E0DD5C" w14:textId="77777777" w:rsidTr="002B418A">
        <w:trPr>
          <w:trHeight w:val="397"/>
        </w:trPr>
        <w:tc>
          <w:tcPr>
            <w:tcW w:w="4531" w:type="dxa"/>
            <w:tcBorders>
              <w:top w:val="single" w:sz="4" w:space="0" w:color="FFFFFF" w:themeColor="background1"/>
            </w:tcBorders>
            <w:vAlign w:val="center"/>
          </w:tcPr>
          <w:p w14:paraId="16C59176" w14:textId="77777777" w:rsidR="002B418A" w:rsidRPr="00F25EBD" w:rsidRDefault="002B418A" w:rsidP="00FC7062">
            <w:pPr>
              <w:spacing w:line="276" w:lineRule="auto"/>
              <w:jc w:val="both"/>
              <w:rPr>
                <w:rFonts w:asciiTheme="majorHAnsi" w:hAnsiTheme="majorHAnsi" w:cstheme="majorHAnsi"/>
                <w:sz w:val="18"/>
                <w:szCs w:val="18"/>
              </w:rPr>
            </w:pPr>
            <w:r w:rsidRPr="00F25EBD">
              <w:rPr>
                <w:rFonts w:asciiTheme="majorHAnsi" w:hAnsiTheme="majorHAnsi" w:cstheme="majorHAnsi"/>
                <w:sz w:val="18"/>
                <w:szCs w:val="18"/>
              </w:rPr>
              <w:t>Bardzo źle</w:t>
            </w:r>
          </w:p>
        </w:tc>
        <w:tc>
          <w:tcPr>
            <w:tcW w:w="5954" w:type="dxa"/>
            <w:tcBorders>
              <w:top w:val="single" w:sz="4" w:space="0" w:color="FFFFFF" w:themeColor="background1"/>
            </w:tcBorders>
            <w:vAlign w:val="center"/>
          </w:tcPr>
          <w:p w14:paraId="346A1CD5" w14:textId="77777777" w:rsidR="002B418A" w:rsidRPr="00F25EBD" w:rsidRDefault="002B418A" w:rsidP="00FC7062">
            <w:pPr>
              <w:spacing w:line="276" w:lineRule="auto"/>
              <w:jc w:val="center"/>
              <w:rPr>
                <w:rFonts w:asciiTheme="majorHAnsi" w:hAnsiTheme="majorHAnsi" w:cstheme="majorHAnsi"/>
                <w:sz w:val="18"/>
                <w:szCs w:val="18"/>
              </w:rPr>
            </w:pPr>
            <w:r w:rsidRPr="00F25EBD">
              <w:rPr>
                <w:rFonts w:asciiTheme="majorHAnsi" w:hAnsiTheme="majorHAnsi" w:cstheme="majorHAnsi"/>
                <w:sz w:val="18"/>
                <w:szCs w:val="18"/>
              </w:rPr>
              <w:t>1</w:t>
            </w:r>
          </w:p>
        </w:tc>
      </w:tr>
      <w:tr w:rsidR="002B418A" w:rsidRPr="00F25EBD" w14:paraId="172EABF7" w14:textId="77777777" w:rsidTr="002B418A">
        <w:trPr>
          <w:trHeight w:val="397"/>
        </w:trPr>
        <w:tc>
          <w:tcPr>
            <w:tcW w:w="4531" w:type="dxa"/>
            <w:vAlign w:val="center"/>
          </w:tcPr>
          <w:p w14:paraId="7E990549" w14:textId="77777777" w:rsidR="002B418A" w:rsidRPr="00F25EBD" w:rsidRDefault="002B418A" w:rsidP="00FC7062">
            <w:pPr>
              <w:spacing w:line="276" w:lineRule="auto"/>
              <w:jc w:val="both"/>
              <w:rPr>
                <w:rFonts w:asciiTheme="majorHAnsi" w:hAnsiTheme="majorHAnsi" w:cstheme="majorHAnsi"/>
                <w:sz w:val="18"/>
                <w:szCs w:val="18"/>
              </w:rPr>
            </w:pPr>
            <w:r w:rsidRPr="00F25EBD">
              <w:rPr>
                <w:rFonts w:asciiTheme="majorHAnsi" w:hAnsiTheme="majorHAnsi" w:cstheme="majorHAnsi"/>
                <w:sz w:val="18"/>
                <w:szCs w:val="18"/>
              </w:rPr>
              <w:t>Źle</w:t>
            </w:r>
          </w:p>
        </w:tc>
        <w:tc>
          <w:tcPr>
            <w:tcW w:w="5954" w:type="dxa"/>
            <w:vAlign w:val="center"/>
          </w:tcPr>
          <w:p w14:paraId="4F6CACD1" w14:textId="77777777" w:rsidR="002B418A" w:rsidRPr="00F25EBD" w:rsidRDefault="002B418A" w:rsidP="00FC7062">
            <w:pPr>
              <w:spacing w:line="276" w:lineRule="auto"/>
              <w:jc w:val="center"/>
              <w:rPr>
                <w:rFonts w:asciiTheme="majorHAnsi" w:hAnsiTheme="majorHAnsi" w:cstheme="majorHAnsi"/>
                <w:sz w:val="18"/>
                <w:szCs w:val="18"/>
              </w:rPr>
            </w:pPr>
            <w:r w:rsidRPr="00F25EBD">
              <w:rPr>
                <w:rFonts w:asciiTheme="majorHAnsi" w:hAnsiTheme="majorHAnsi" w:cstheme="majorHAnsi"/>
                <w:sz w:val="18"/>
                <w:szCs w:val="18"/>
              </w:rPr>
              <w:t>2</w:t>
            </w:r>
          </w:p>
        </w:tc>
      </w:tr>
      <w:tr w:rsidR="002B418A" w:rsidRPr="00F25EBD" w14:paraId="6C652DDB" w14:textId="77777777" w:rsidTr="002B418A">
        <w:trPr>
          <w:trHeight w:val="397"/>
        </w:trPr>
        <w:tc>
          <w:tcPr>
            <w:tcW w:w="4531" w:type="dxa"/>
            <w:vAlign w:val="center"/>
          </w:tcPr>
          <w:p w14:paraId="7487D4A1" w14:textId="77777777" w:rsidR="002B418A" w:rsidRPr="00F25EBD" w:rsidRDefault="002B418A" w:rsidP="00FC7062">
            <w:pPr>
              <w:spacing w:line="276" w:lineRule="auto"/>
              <w:jc w:val="both"/>
              <w:rPr>
                <w:rFonts w:asciiTheme="majorHAnsi" w:hAnsiTheme="majorHAnsi" w:cstheme="majorHAnsi"/>
                <w:sz w:val="18"/>
                <w:szCs w:val="18"/>
              </w:rPr>
            </w:pPr>
            <w:r w:rsidRPr="00F25EBD">
              <w:rPr>
                <w:rFonts w:asciiTheme="majorHAnsi" w:hAnsiTheme="majorHAnsi" w:cstheme="majorHAnsi"/>
                <w:sz w:val="18"/>
                <w:szCs w:val="18"/>
              </w:rPr>
              <w:t>Ani dobrze, ani źle</w:t>
            </w:r>
          </w:p>
        </w:tc>
        <w:tc>
          <w:tcPr>
            <w:tcW w:w="5954" w:type="dxa"/>
            <w:vAlign w:val="center"/>
          </w:tcPr>
          <w:p w14:paraId="19F523A5" w14:textId="77777777" w:rsidR="002B418A" w:rsidRPr="00F25EBD" w:rsidRDefault="002B418A" w:rsidP="00FC7062">
            <w:pPr>
              <w:spacing w:line="276" w:lineRule="auto"/>
              <w:jc w:val="center"/>
              <w:rPr>
                <w:rFonts w:asciiTheme="majorHAnsi" w:hAnsiTheme="majorHAnsi" w:cstheme="majorHAnsi"/>
                <w:sz w:val="18"/>
                <w:szCs w:val="18"/>
              </w:rPr>
            </w:pPr>
            <w:r w:rsidRPr="00F25EBD">
              <w:rPr>
                <w:rFonts w:asciiTheme="majorHAnsi" w:hAnsiTheme="majorHAnsi" w:cstheme="majorHAnsi"/>
                <w:sz w:val="18"/>
                <w:szCs w:val="18"/>
              </w:rPr>
              <w:t>3</w:t>
            </w:r>
          </w:p>
        </w:tc>
      </w:tr>
      <w:tr w:rsidR="002B418A" w:rsidRPr="00F25EBD" w14:paraId="205B033E" w14:textId="77777777" w:rsidTr="002B418A">
        <w:trPr>
          <w:trHeight w:val="397"/>
        </w:trPr>
        <w:tc>
          <w:tcPr>
            <w:tcW w:w="4531" w:type="dxa"/>
            <w:vAlign w:val="center"/>
          </w:tcPr>
          <w:p w14:paraId="009D1E41" w14:textId="77777777" w:rsidR="002B418A" w:rsidRPr="00F25EBD" w:rsidRDefault="002B418A" w:rsidP="00FC7062">
            <w:pPr>
              <w:spacing w:line="276" w:lineRule="auto"/>
              <w:jc w:val="both"/>
              <w:rPr>
                <w:rFonts w:asciiTheme="majorHAnsi" w:hAnsiTheme="majorHAnsi" w:cstheme="majorHAnsi"/>
                <w:sz w:val="18"/>
                <w:szCs w:val="18"/>
              </w:rPr>
            </w:pPr>
            <w:r w:rsidRPr="00F25EBD">
              <w:rPr>
                <w:rFonts w:asciiTheme="majorHAnsi" w:hAnsiTheme="majorHAnsi" w:cstheme="majorHAnsi"/>
                <w:sz w:val="18"/>
                <w:szCs w:val="18"/>
              </w:rPr>
              <w:t>Dobrze</w:t>
            </w:r>
          </w:p>
        </w:tc>
        <w:tc>
          <w:tcPr>
            <w:tcW w:w="5954" w:type="dxa"/>
            <w:vAlign w:val="center"/>
          </w:tcPr>
          <w:p w14:paraId="269E421C" w14:textId="77777777" w:rsidR="002B418A" w:rsidRPr="00F25EBD" w:rsidRDefault="002B418A" w:rsidP="00FC7062">
            <w:pPr>
              <w:spacing w:line="276" w:lineRule="auto"/>
              <w:jc w:val="center"/>
              <w:rPr>
                <w:rFonts w:asciiTheme="majorHAnsi" w:hAnsiTheme="majorHAnsi" w:cstheme="majorHAnsi"/>
                <w:sz w:val="18"/>
                <w:szCs w:val="18"/>
              </w:rPr>
            </w:pPr>
            <w:r w:rsidRPr="00F25EBD">
              <w:rPr>
                <w:rFonts w:asciiTheme="majorHAnsi" w:hAnsiTheme="majorHAnsi" w:cstheme="majorHAnsi"/>
                <w:sz w:val="18"/>
                <w:szCs w:val="18"/>
              </w:rPr>
              <w:t>4</w:t>
            </w:r>
          </w:p>
        </w:tc>
      </w:tr>
      <w:tr w:rsidR="002B418A" w:rsidRPr="00F25EBD" w14:paraId="52509856" w14:textId="77777777" w:rsidTr="002B418A">
        <w:trPr>
          <w:trHeight w:val="397"/>
        </w:trPr>
        <w:tc>
          <w:tcPr>
            <w:tcW w:w="4531" w:type="dxa"/>
            <w:vAlign w:val="center"/>
          </w:tcPr>
          <w:p w14:paraId="5E98230C" w14:textId="77777777" w:rsidR="002B418A" w:rsidRPr="00F25EBD" w:rsidRDefault="002B418A" w:rsidP="00FC7062">
            <w:pPr>
              <w:spacing w:line="276" w:lineRule="auto"/>
              <w:jc w:val="both"/>
              <w:rPr>
                <w:rFonts w:asciiTheme="majorHAnsi" w:hAnsiTheme="majorHAnsi" w:cstheme="majorHAnsi"/>
                <w:sz w:val="18"/>
                <w:szCs w:val="18"/>
              </w:rPr>
            </w:pPr>
            <w:r w:rsidRPr="00F25EBD">
              <w:rPr>
                <w:rFonts w:asciiTheme="majorHAnsi" w:hAnsiTheme="majorHAnsi" w:cstheme="majorHAnsi"/>
                <w:sz w:val="18"/>
                <w:szCs w:val="18"/>
              </w:rPr>
              <w:t>Bardzo dobrze</w:t>
            </w:r>
          </w:p>
        </w:tc>
        <w:tc>
          <w:tcPr>
            <w:tcW w:w="5954" w:type="dxa"/>
            <w:vAlign w:val="center"/>
          </w:tcPr>
          <w:p w14:paraId="0D856A6D" w14:textId="77777777" w:rsidR="002B418A" w:rsidRPr="00F25EBD" w:rsidRDefault="002B418A" w:rsidP="00FC7062">
            <w:pPr>
              <w:spacing w:line="276" w:lineRule="auto"/>
              <w:jc w:val="center"/>
              <w:rPr>
                <w:rFonts w:asciiTheme="majorHAnsi" w:hAnsiTheme="majorHAnsi" w:cstheme="majorHAnsi"/>
                <w:sz w:val="18"/>
                <w:szCs w:val="18"/>
              </w:rPr>
            </w:pPr>
            <w:r w:rsidRPr="00F25EBD">
              <w:rPr>
                <w:rFonts w:asciiTheme="majorHAnsi" w:hAnsiTheme="majorHAnsi" w:cstheme="majorHAnsi"/>
                <w:sz w:val="18"/>
                <w:szCs w:val="18"/>
              </w:rPr>
              <w:t>5</w:t>
            </w:r>
          </w:p>
        </w:tc>
      </w:tr>
      <w:tr w:rsidR="002B418A" w:rsidRPr="00F25EBD" w14:paraId="2AD33F03" w14:textId="77777777" w:rsidTr="002B418A">
        <w:trPr>
          <w:trHeight w:val="397"/>
        </w:trPr>
        <w:tc>
          <w:tcPr>
            <w:tcW w:w="4531" w:type="dxa"/>
            <w:vAlign w:val="center"/>
          </w:tcPr>
          <w:p w14:paraId="78F0F2AE" w14:textId="77777777" w:rsidR="002B418A" w:rsidRPr="00F25EBD" w:rsidRDefault="002B418A" w:rsidP="00FC7062">
            <w:pPr>
              <w:spacing w:line="276" w:lineRule="auto"/>
              <w:jc w:val="both"/>
              <w:rPr>
                <w:rFonts w:asciiTheme="majorHAnsi" w:hAnsiTheme="majorHAnsi" w:cstheme="majorHAnsi"/>
                <w:sz w:val="18"/>
                <w:szCs w:val="18"/>
              </w:rPr>
            </w:pPr>
            <w:r w:rsidRPr="00F25EBD">
              <w:rPr>
                <w:rFonts w:asciiTheme="majorHAnsi" w:hAnsiTheme="majorHAnsi" w:cstheme="majorHAnsi"/>
                <w:sz w:val="18"/>
                <w:szCs w:val="18"/>
              </w:rPr>
              <w:t>Brak odpowiedzi</w:t>
            </w:r>
          </w:p>
        </w:tc>
        <w:tc>
          <w:tcPr>
            <w:tcW w:w="5954" w:type="dxa"/>
            <w:vAlign w:val="center"/>
          </w:tcPr>
          <w:p w14:paraId="4E9AFC70" w14:textId="77777777" w:rsidR="002B418A" w:rsidRPr="00F25EBD" w:rsidRDefault="002B418A" w:rsidP="00FC7062">
            <w:pPr>
              <w:spacing w:line="276" w:lineRule="auto"/>
              <w:jc w:val="center"/>
              <w:rPr>
                <w:rFonts w:asciiTheme="majorHAnsi" w:hAnsiTheme="majorHAnsi" w:cstheme="majorHAnsi"/>
                <w:sz w:val="18"/>
                <w:szCs w:val="18"/>
              </w:rPr>
            </w:pPr>
            <w:r w:rsidRPr="00F25EBD">
              <w:rPr>
                <w:rFonts w:asciiTheme="majorHAnsi" w:hAnsiTheme="majorHAnsi" w:cstheme="majorHAnsi"/>
                <w:sz w:val="18"/>
                <w:szCs w:val="18"/>
              </w:rPr>
              <w:t>0</w:t>
            </w:r>
          </w:p>
        </w:tc>
      </w:tr>
    </w:tbl>
    <w:p w14:paraId="05252644" w14:textId="77777777" w:rsidR="002B418A" w:rsidRPr="00F25EBD" w:rsidRDefault="002B418A" w:rsidP="00FC7062">
      <w:pPr>
        <w:spacing w:line="276" w:lineRule="auto"/>
        <w:jc w:val="both"/>
        <w:rPr>
          <w:rFonts w:asciiTheme="majorHAnsi" w:hAnsiTheme="majorHAnsi" w:cstheme="majorHAnsi"/>
        </w:rPr>
      </w:pPr>
    </w:p>
    <w:p w14:paraId="7D39BFD0" w14:textId="77777777" w:rsidR="002B418A" w:rsidRPr="00F25EBD" w:rsidRDefault="002B418A" w:rsidP="00FC7062">
      <w:pPr>
        <w:spacing w:line="276" w:lineRule="auto"/>
        <w:jc w:val="both"/>
        <w:rPr>
          <w:rFonts w:asciiTheme="majorHAnsi" w:hAnsiTheme="majorHAnsi" w:cstheme="majorHAnsi"/>
        </w:rPr>
      </w:pPr>
      <w:r w:rsidRPr="00F25EBD">
        <w:rPr>
          <w:rFonts w:asciiTheme="majorHAnsi" w:hAnsiTheme="majorHAnsi" w:cstheme="majorHAnsi"/>
        </w:rPr>
        <w:t>W związku z powyższym po przeliczeniu utworzono listę rankingową poszczególnych elementów infrastruktury i usług. Im wyższy wynik punktowy tym dana usługa/element infrastruktury został lepiej oceniony przez badanych.</w:t>
      </w:r>
    </w:p>
    <w:p w14:paraId="2B8088D9" w14:textId="3F8E0F74" w:rsidR="002B418A" w:rsidRPr="00F25EBD" w:rsidRDefault="002B418A" w:rsidP="00FC7062">
      <w:pPr>
        <w:spacing w:line="276" w:lineRule="auto"/>
        <w:jc w:val="both"/>
        <w:rPr>
          <w:rFonts w:asciiTheme="majorHAnsi" w:hAnsiTheme="majorHAnsi" w:cstheme="majorHAnsi"/>
        </w:rPr>
      </w:pPr>
      <w:r w:rsidRPr="00F25EBD">
        <w:rPr>
          <w:rFonts w:asciiTheme="majorHAnsi" w:hAnsiTheme="majorHAnsi" w:cstheme="majorHAnsi"/>
        </w:rPr>
        <w:t xml:space="preserve">Zgodnie z przedstawioną listą najwyżej oceniono jakość funkcjonowania straży pożarnej. Należy podkreślić, że jest to służba, która cieszy się wysokim zaufaniem społecznym a także opiera </w:t>
      </w:r>
      <w:r w:rsidR="006D24CC">
        <w:rPr>
          <w:rFonts w:asciiTheme="majorHAnsi" w:hAnsiTheme="majorHAnsi" w:cstheme="majorHAnsi"/>
        </w:rPr>
        <w:br/>
      </w:r>
      <w:r w:rsidRPr="00F25EBD">
        <w:rPr>
          <w:rFonts w:asciiTheme="majorHAnsi" w:hAnsiTheme="majorHAnsi" w:cstheme="majorHAnsi"/>
        </w:rPr>
        <w:t>się o funkcjonowanie Ochotniczych Straży Pożarnych, które bezpośrednio pomagają społecznościom lokalnym. Na kolejnych miejscach, wysoko oceniono dostępność do sieci Internet, dostępność miejsc handlu, system odbioru odpadów komunalnych, poziom bezpieczeństwa oraz jakość obsługi w starostwach powiatowych.</w:t>
      </w:r>
      <w:r w:rsidR="007B04A7">
        <w:rPr>
          <w:rFonts w:asciiTheme="majorHAnsi" w:hAnsiTheme="majorHAnsi" w:cstheme="majorHAnsi"/>
        </w:rPr>
        <w:t xml:space="preserve"> </w:t>
      </w:r>
      <w:r w:rsidRPr="00F25EBD">
        <w:rPr>
          <w:rFonts w:asciiTheme="majorHAnsi" w:hAnsiTheme="majorHAnsi" w:cstheme="majorHAnsi"/>
        </w:rPr>
        <w:t xml:space="preserve">Najniżej oceniono kwestie opieki medycznej i </w:t>
      </w:r>
      <w:proofErr w:type="spellStart"/>
      <w:r w:rsidRPr="00F25EBD">
        <w:rPr>
          <w:rFonts w:asciiTheme="majorHAnsi" w:hAnsiTheme="majorHAnsi" w:cstheme="majorHAnsi"/>
        </w:rPr>
        <w:t>okołomedycznej</w:t>
      </w:r>
      <w:proofErr w:type="spellEnd"/>
      <w:r w:rsidRPr="00F25EBD">
        <w:rPr>
          <w:rFonts w:asciiTheme="majorHAnsi" w:hAnsiTheme="majorHAnsi" w:cstheme="majorHAnsi"/>
        </w:rPr>
        <w:t xml:space="preserve">, a także wskazano, iż na obszarze objętym badaniem występują znaczne problemy ze znalezieniem zatrudnienia. </w:t>
      </w:r>
    </w:p>
    <w:p w14:paraId="7D0EB117" w14:textId="77777777" w:rsidR="002B418A" w:rsidRDefault="002B418A" w:rsidP="00715929">
      <w:pPr>
        <w:pStyle w:val="nad"/>
        <w:spacing w:after="240"/>
      </w:pPr>
      <w:bookmarkStart w:id="126" w:name="_Toc81301625"/>
      <w:r w:rsidRPr="00F25EBD">
        <w:t xml:space="preserve">Wykres </w:t>
      </w:r>
      <w:r w:rsidR="002E1EA5">
        <w:rPr>
          <w:noProof/>
        </w:rPr>
        <w:fldChar w:fldCharType="begin"/>
      </w:r>
      <w:r w:rsidR="002E1EA5">
        <w:rPr>
          <w:noProof/>
        </w:rPr>
        <w:instrText xml:space="preserve"> SEQ Wykres \* ARABIC </w:instrText>
      </w:r>
      <w:r w:rsidR="002E1EA5">
        <w:rPr>
          <w:noProof/>
        </w:rPr>
        <w:fldChar w:fldCharType="separate"/>
      </w:r>
      <w:r w:rsidR="006C7815">
        <w:rPr>
          <w:noProof/>
        </w:rPr>
        <w:t>7</w:t>
      </w:r>
      <w:r w:rsidR="002E1EA5">
        <w:rPr>
          <w:noProof/>
        </w:rPr>
        <w:fldChar w:fldCharType="end"/>
      </w:r>
      <w:r w:rsidRPr="00F25EBD">
        <w:t xml:space="preserve"> Ocena elementów infrastruktury oraz oferty dostępnej na terenie zamieszkiwanym</w:t>
      </w:r>
      <w:bookmarkEnd w:id="126"/>
    </w:p>
    <w:p w14:paraId="7966BFA8" w14:textId="64AC73F4" w:rsidR="00715929" w:rsidRPr="00F25EBD" w:rsidRDefault="00715929" w:rsidP="00715929">
      <w:pPr>
        <w:pStyle w:val="nad"/>
        <w:spacing w:before="0"/>
      </w:pPr>
      <w:r>
        <w:rPr>
          <w:noProof/>
          <w:lang w:eastAsia="pl-PL"/>
        </w:rPr>
        <w:drawing>
          <wp:inline distT="0" distB="0" distL="0" distR="0" wp14:anchorId="46E936CD" wp14:editId="0D4B3118">
            <wp:extent cx="5588000" cy="8216900"/>
            <wp:effectExtent l="0" t="0" r="12700" b="12700"/>
            <wp:docPr id="5" name="Wykres 5">
              <a:extLst xmlns:a="http://schemas.openxmlformats.org/drawingml/2006/main">
                <a:ext uri="{FF2B5EF4-FFF2-40B4-BE49-F238E27FC236}">
                  <a16:creationId xmlns:a16="http://schemas.microsoft.com/office/drawing/2014/main" id="{00000000-0008-0000-02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14:paraId="37ACAB67" w14:textId="10DFDAA3" w:rsidR="002B418A" w:rsidRPr="00F25EBD" w:rsidRDefault="002B418A" w:rsidP="00FC7062">
      <w:pPr>
        <w:pStyle w:val="Legenda"/>
        <w:spacing w:line="276" w:lineRule="auto"/>
        <w:rPr>
          <w:rFonts w:asciiTheme="majorHAnsi" w:hAnsiTheme="majorHAnsi" w:cstheme="majorHAnsi"/>
        </w:rPr>
      </w:pPr>
      <w:r w:rsidRPr="00F25EBD">
        <w:rPr>
          <w:rFonts w:asciiTheme="majorHAnsi" w:hAnsiTheme="majorHAnsi" w:cstheme="majorHAnsi"/>
        </w:rPr>
        <w:t>Źródło: badania własne, N=1553</w:t>
      </w:r>
    </w:p>
    <w:p w14:paraId="7638658E" w14:textId="2CC9EBDC" w:rsidR="002B418A" w:rsidRPr="00F25EBD" w:rsidRDefault="002B418A" w:rsidP="00FC7062">
      <w:pPr>
        <w:spacing w:line="276" w:lineRule="auto"/>
        <w:jc w:val="both"/>
        <w:rPr>
          <w:rFonts w:asciiTheme="majorHAnsi" w:hAnsiTheme="majorHAnsi" w:cstheme="majorHAnsi"/>
        </w:rPr>
      </w:pPr>
      <w:r w:rsidRPr="00F25EBD">
        <w:rPr>
          <w:rFonts w:asciiTheme="majorHAnsi" w:hAnsiTheme="majorHAnsi" w:cstheme="majorHAnsi"/>
          <w:noProof/>
        </w:rPr>
        <w:t>Kolejne wykresy przedstawi</w:t>
      </w:r>
      <w:r w:rsidR="00097ABC">
        <w:rPr>
          <w:rFonts w:asciiTheme="majorHAnsi" w:hAnsiTheme="majorHAnsi" w:cstheme="majorHAnsi"/>
          <w:noProof/>
        </w:rPr>
        <w:t>a</w:t>
      </w:r>
      <w:r w:rsidRPr="00F25EBD">
        <w:rPr>
          <w:rFonts w:asciiTheme="majorHAnsi" w:hAnsiTheme="majorHAnsi" w:cstheme="majorHAnsi"/>
          <w:noProof/>
        </w:rPr>
        <w:t xml:space="preserve">ją wskazania respondentów w zależności od zamieszkiwanego powiatu. </w:t>
      </w:r>
      <w:r w:rsidRPr="00F25EBD">
        <w:rPr>
          <w:rFonts w:asciiTheme="majorHAnsi" w:hAnsiTheme="majorHAnsi" w:cstheme="majorHAnsi"/>
          <w:noProof/>
        </w:rPr>
        <w:br/>
        <w:t>W powiecie szczycieńskim, podobnie jak w ogólnym rankingu najwyżej oceniono działalność straży pożarnej, dostępność Internetu, dostępność miejsc usługowych i handlu oraz jakość obsługi w Starostwie Powiatowym. Nisko oceniono dostępność usług medycznych oraz stan</w:t>
      </w:r>
      <w:r w:rsidR="00097ABC">
        <w:rPr>
          <w:rFonts w:asciiTheme="majorHAnsi" w:hAnsiTheme="majorHAnsi" w:cstheme="majorHAnsi"/>
          <w:noProof/>
        </w:rPr>
        <w:t>,</w:t>
      </w:r>
      <w:r w:rsidRPr="00F25EBD">
        <w:rPr>
          <w:rFonts w:asciiTheme="majorHAnsi" w:hAnsiTheme="majorHAnsi" w:cstheme="majorHAnsi"/>
          <w:noProof/>
        </w:rPr>
        <w:t xml:space="preserve"> jakość i dostępność infrastruktury kultury.</w:t>
      </w:r>
    </w:p>
    <w:p w14:paraId="6C9D024D" w14:textId="780668FE" w:rsidR="002B418A" w:rsidRPr="00F25EBD" w:rsidRDefault="002B418A" w:rsidP="000E5B5A">
      <w:pPr>
        <w:pStyle w:val="nad"/>
      </w:pPr>
      <w:bookmarkStart w:id="127" w:name="_Toc81301626"/>
      <w:r w:rsidRPr="00F25EBD">
        <w:t xml:space="preserve">Wykres </w:t>
      </w:r>
      <w:r w:rsidR="002E1EA5">
        <w:rPr>
          <w:noProof/>
        </w:rPr>
        <w:fldChar w:fldCharType="begin"/>
      </w:r>
      <w:r w:rsidR="002E1EA5">
        <w:rPr>
          <w:noProof/>
        </w:rPr>
        <w:instrText xml:space="preserve"> SEQ Wykres \* ARABIC </w:instrText>
      </w:r>
      <w:r w:rsidR="002E1EA5">
        <w:rPr>
          <w:noProof/>
        </w:rPr>
        <w:fldChar w:fldCharType="separate"/>
      </w:r>
      <w:r w:rsidR="006C7815">
        <w:rPr>
          <w:noProof/>
        </w:rPr>
        <w:t>8</w:t>
      </w:r>
      <w:r w:rsidR="002E1EA5">
        <w:rPr>
          <w:noProof/>
        </w:rPr>
        <w:fldChar w:fldCharType="end"/>
      </w:r>
      <w:r w:rsidRPr="00F25EBD">
        <w:t xml:space="preserve"> Ocena elementów infrastruktury oraz oferty dostępnej na terenie zamieszkiwanym</w:t>
      </w:r>
      <w:r w:rsidR="005E4E72" w:rsidRPr="00F25EBD">
        <w:t xml:space="preserve"> - </w:t>
      </w:r>
      <w:r w:rsidRPr="00F25EBD">
        <w:t>powiat szczycieński</w:t>
      </w:r>
      <w:bookmarkEnd w:id="127"/>
    </w:p>
    <w:p w14:paraId="5E6E3EC7" w14:textId="54DA96DA" w:rsidR="002B418A" w:rsidRDefault="00715929" w:rsidP="00FC7062">
      <w:pPr>
        <w:keepNext/>
        <w:spacing w:after="0" w:line="276" w:lineRule="auto"/>
        <w:rPr>
          <w:rFonts w:asciiTheme="majorHAnsi" w:hAnsiTheme="majorHAnsi" w:cstheme="majorHAnsi"/>
        </w:rPr>
      </w:pPr>
      <w:r>
        <w:rPr>
          <w:noProof/>
          <w:lang w:eastAsia="pl-PL"/>
        </w:rPr>
        <w:drawing>
          <wp:inline distT="0" distB="0" distL="0" distR="0" wp14:anchorId="60D9FBB1" wp14:editId="4363C381">
            <wp:extent cx="5759450" cy="7055326"/>
            <wp:effectExtent l="0" t="0" r="12700" b="12700"/>
            <wp:docPr id="7" name="Wykres 7">
              <a:extLst xmlns:a="http://schemas.openxmlformats.org/drawingml/2006/main">
                <a:ext uri="{FF2B5EF4-FFF2-40B4-BE49-F238E27FC236}">
                  <a16:creationId xmlns:a16="http://schemas.microsoft.com/office/drawing/2014/main" id="{D307361A-77EF-4F6E-BE41-87B7FB21AB4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14:paraId="466B4D68" w14:textId="77777777" w:rsidR="002B418A" w:rsidRPr="00F25EBD" w:rsidRDefault="002B418A" w:rsidP="00FC7062">
      <w:pPr>
        <w:pStyle w:val="Legenda"/>
        <w:spacing w:line="276" w:lineRule="auto"/>
        <w:rPr>
          <w:rFonts w:asciiTheme="majorHAnsi" w:hAnsiTheme="majorHAnsi" w:cstheme="majorHAnsi"/>
        </w:rPr>
      </w:pPr>
      <w:r w:rsidRPr="00F25EBD">
        <w:rPr>
          <w:rFonts w:asciiTheme="majorHAnsi" w:hAnsiTheme="majorHAnsi" w:cstheme="majorHAnsi"/>
        </w:rPr>
        <w:t>Źródło: badania własne, N=86</w:t>
      </w:r>
    </w:p>
    <w:p w14:paraId="1D8564F4" w14:textId="7C5AD039" w:rsidR="002B418A" w:rsidRPr="00F25EBD" w:rsidRDefault="002B418A" w:rsidP="00FC7062">
      <w:pPr>
        <w:spacing w:line="276" w:lineRule="auto"/>
        <w:jc w:val="both"/>
        <w:rPr>
          <w:rFonts w:asciiTheme="majorHAnsi" w:hAnsiTheme="majorHAnsi" w:cstheme="majorHAnsi"/>
        </w:rPr>
      </w:pPr>
      <w:r w:rsidRPr="00F25EBD">
        <w:rPr>
          <w:rFonts w:asciiTheme="majorHAnsi" w:hAnsiTheme="majorHAnsi" w:cstheme="majorHAnsi"/>
        </w:rPr>
        <w:t>W przypadku powiatu nidz</w:t>
      </w:r>
      <w:r w:rsidR="00DA56AA">
        <w:rPr>
          <w:rFonts w:asciiTheme="majorHAnsi" w:hAnsiTheme="majorHAnsi" w:cstheme="majorHAnsi"/>
        </w:rPr>
        <w:t>ic</w:t>
      </w:r>
      <w:r w:rsidRPr="00F25EBD">
        <w:rPr>
          <w:rFonts w:asciiTheme="majorHAnsi" w:hAnsiTheme="majorHAnsi" w:cstheme="majorHAnsi"/>
        </w:rPr>
        <w:t>kiego poza pozytywną oceną działania Straży Pożarnej, dobrze oceniono także jakość obsługi w Starostwie Powiatowym, poziom bezpieczeństwa publicznego a także współpracę powiatu z organizacjami pozarządowymi. Do słabych stron powiatu należy zaliczyć jakość i dostępność usług medycznych, dostępność transportu publicznego a także możliwość znalezienia atrakcyjnego zatrudnienia.</w:t>
      </w:r>
    </w:p>
    <w:p w14:paraId="217E93C6" w14:textId="30FD8D08" w:rsidR="002B418A" w:rsidRPr="00F25EBD" w:rsidRDefault="002B418A" w:rsidP="000E5B5A">
      <w:pPr>
        <w:pStyle w:val="nad"/>
      </w:pPr>
      <w:bookmarkStart w:id="128" w:name="_Toc81301627"/>
      <w:r w:rsidRPr="00F25EBD">
        <w:t xml:space="preserve">Wykres </w:t>
      </w:r>
      <w:r w:rsidR="002E1EA5">
        <w:rPr>
          <w:noProof/>
        </w:rPr>
        <w:fldChar w:fldCharType="begin"/>
      </w:r>
      <w:r w:rsidR="002E1EA5">
        <w:rPr>
          <w:noProof/>
        </w:rPr>
        <w:instrText xml:space="preserve"> SEQ Wykres \* ARABIC </w:instrText>
      </w:r>
      <w:r w:rsidR="002E1EA5">
        <w:rPr>
          <w:noProof/>
        </w:rPr>
        <w:fldChar w:fldCharType="separate"/>
      </w:r>
      <w:r w:rsidR="006C7815">
        <w:rPr>
          <w:noProof/>
        </w:rPr>
        <w:t>9</w:t>
      </w:r>
      <w:r w:rsidR="002E1EA5">
        <w:rPr>
          <w:noProof/>
        </w:rPr>
        <w:fldChar w:fldCharType="end"/>
      </w:r>
      <w:r w:rsidRPr="00F25EBD">
        <w:t xml:space="preserve"> Ocena elementów infrastruktury oraz oferty dostępnej na terenie zamieszkiwanym</w:t>
      </w:r>
      <w:r w:rsidR="005E4E72" w:rsidRPr="00F25EBD">
        <w:t xml:space="preserve"> - </w:t>
      </w:r>
      <w:r w:rsidRPr="00F25EBD">
        <w:t>powiat nidz</w:t>
      </w:r>
      <w:r w:rsidR="00844729">
        <w:t>ic</w:t>
      </w:r>
      <w:r w:rsidRPr="00F25EBD">
        <w:t>ki</w:t>
      </w:r>
      <w:bookmarkEnd w:id="128"/>
    </w:p>
    <w:p w14:paraId="0FF7D013" w14:textId="5017AC85" w:rsidR="002B418A" w:rsidRPr="00F25EBD" w:rsidRDefault="00715929" w:rsidP="00FC7062">
      <w:pPr>
        <w:keepNext/>
        <w:spacing w:after="0" w:line="276" w:lineRule="auto"/>
        <w:rPr>
          <w:rFonts w:asciiTheme="majorHAnsi" w:hAnsiTheme="majorHAnsi" w:cstheme="majorHAnsi"/>
        </w:rPr>
      </w:pPr>
      <w:r>
        <w:rPr>
          <w:noProof/>
          <w:lang w:eastAsia="pl-PL"/>
        </w:rPr>
        <w:drawing>
          <wp:inline distT="0" distB="0" distL="0" distR="0" wp14:anchorId="37424EA5" wp14:editId="05CFF21A">
            <wp:extent cx="5704115" cy="6849292"/>
            <wp:effectExtent l="0" t="0" r="11430" b="8890"/>
            <wp:docPr id="6" name="Wykres 6">
              <a:extLst xmlns:a="http://schemas.openxmlformats.org/drawingml/2006/main">
                <a:ext uri="{FF2B5EF4-FFF2-40B4-BE49-F238E27FC236}">
                  <a16:creationId xmlns:a16="http://schemas.microsoft.com/office/drawing/2014/main" id="{B256CB13-98BF-479B-AC5F-FB947F247C6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14:paraId="30F624C5" w14:textId="77777777" w:rsidR="002B418A" w:rsidRPr="00F25EBD" w:rsidRDefault="002B418A" w:rsidP="00FC7062">
      <w:pPr>
        <w:pStyle w:val="Legenda"/>
        <w:spacing w:line="276" w:lineRule="auto"/>
        <w:rPr>
          <w:rFonts w:asciiTheme="majorHAnsi" w:hAnsiTheme="majorHAnsi" w:cstheme="majorHAnsi"/>
        </w:rPr>
      </w:pPr>
      <w:r w:rsidRPr="00F25EBD">
        <w:rPr>
          <w:rFonts w:asciiTheme="majorHAnsi" w:hAnsiTheme="majorHAnsi" w:cstheme="majorHAnsi"/>
        </w:rPr>
        <w:t>Źródło: badania własne, N=203</w:t>
      </w:r>
    </w:p>
    <w:p w14:paraId="6DED786C" w14:textId="77777777" w:rsidR="002B418A" w:rsidRPr="00F25EBD" w:rsidRDefault="002B418A" w:rsidP="00FC7062">
      <w:pPr>
        <w:spacing w:line="276" w:lineRule="auto"/>
        <w:jc w:val="both"/>
        <w:rPr>
          <w:rFonts w:asciiTheme="majorHAnsi" w:hAnsiTheme="majorHAnsi" w:cstheme="majorHAnsi"/>
        </w:rPr>
      </w:pPr>
      <w:r w:rsidRPr="00F25EBD">
        <w:rPr>
          <w:rFonts w:asciiTheme="majorHAnsi" w:hAnsiTheme="majorHAnsi" w:cstheme="majorHAnsi"/>
        </w:rPr>
        <w:t>Respondenci oceniając powiat piski pozytywnie odnieśli się do jakości funkcjonowania Straży Pożarnej, dostępności Internetu, poziomu bezpieczeństwa oraz dostępności do miejsc usługowych. W zakresie słabych stron powiatu wskazano jakość i dostępność usług medycznych, możliwość znalezienia zatrudnienia oraz niską jakość oferty rozrywkowej i spędzania czasu wolnego.</w:t>
      </w:r>
    </w:p>
    <w:p w14:paraId="4A31C5CA" w14:textId="77777777" w:rsidR="002B418A" w:rsidRDefault="002B418A" w:rsidP="000E5B5A">
      <w:pPr>
        <w:pStyle w:val="nad"/>
      </w:pPr>
      <w:bookmarkStart w:id="129" w:name="_Toc81301628"/>
      <w:r w:rsidRPr="00F25EBD">
        <w:t xml:space="preserve">Wykres </w:t>
      </w:r>
      <w:r w:rsidR="002E1EA5">
        <w:rPr>
          <w:noProof/>
        </w:rPr>
        <w:fldChar w:fldCharType="begin"/>
      </w:r>
      <w:r w:rsidR="002E1EA5">
        <w:rPr>
          <w:noProof/>
        </w:rPr>
        <w:instrText xml:space="preserve"> SEQ Wykres \* ARABIC </w:instrText>
      </w:r>
      <w:r w:rsidR="002E1EA5">
        <w:rPr>
          <w:noProof/>
        </w:rPr>
        <w:fldChar w:fldCharType="separate"/>
      </w:r>
      <w:r w:rsidR="006C7815">
        <w:rPr>
          <w:noProof/>
        </w:rPr>
        <w:t>10</w:t>
      </w:r>
      <w:r w:rsidR="002E1EA5">
        <w:rPr>
          <w:noProof/>
        </w:rPr>
        <w:fldChar w:fldCharType="end"/>
      </w:r>
      <w:r w:rsidRPr="00F25EBD">
        <w:t xml:space="preserve"> Ocena elementów infrastruktury oraz oferty dostępnej na terenie zamieszkiwanym</w:t>
      </w:r>
      <w:r w:rsidR="005E4E72" w:rsidRPr="00F25EBD">
        <w:t xml:space="preserve"> - </w:t>
      </w:r>
      <w:r w:rsidRPr="00F25EBD">
        <w:t>powiat piski</w:t>
      </w:r>
      <w:bookmarkEnd w:id="129"/>
    </w:p>
    <w:p w14:paraId="76904AA7" w14:textId="3355E2F9" w:rsidR="00715929" w:rsidRDefault="00715929" w:rsidP="000E5B5A">
      <w:pPr>
        <w:pStyle w:val="nad"/>
      </w:pPr>
      <w:r>
        <w:rPr>
          <w:noProof/>
          <w:lang w:eastAsia="pl-PL"/>
        </w:rPr>
        <w:drawing>
          <wp:inline distT="0" distB="0" distL="0" distR="0" wp14:anchorId="00F14739" wp14:editId="4346043D">
            <wp:extent cx="5638800" cy="7782741"/>
            <wp:effectExtent l="0" t="0" r="0" b="8890"/>
            <wp:docPr id="451" name="Wykres 451">
              <a:extLst xmlns:a="http://schemas.openxmlformats.org/drawingml/2006/main">
                <a:ext uri="{FF2B5EF4-FFF2-40B4-BE49-F238E27FC236}">
                  <a16:creationId xmlns:a16="http://schemas.microsoft.com/office/drawing/2014/main" id="{D8660121-9905-46D1-9F94-7158050727F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14:paraId="59AD9A16" w14:textId="77777777" w:rsidR="002B418A" w:rsidRPr="00F25EBD" w:rsidRDefault="002B418A" w:rsidP="00FC7062">
      <w:pPr>
        <w:pStyle w:val="Legenda"/>
        <w:spacing w:line="276" w:lineRule="auto"/>
        <w:rPr>
          <w:rFonts w:asciiTheme="majorHAnsi" w:hAnsiTheme="majorHAnsi" w:cstheme="majorHAnsi"/>
        </w:rPr>
      </w:pPr>
      <w:r w:rsidRPr="00F25EBD">
        <w:rPr>
          <w:rFonts w:asciiTheme="majorHAnsi" w:hAnsiTheme="majorHAnsi" w:cstheme="majorHAnsi"/>
        </w:rPr>
        <w:t>Źródło: badania własne, N=484</w:t>
      </w:r>
    </w:p>
    <w:p w14:paraId="73FD2637" w14:textId="597CEA0A" w:rsidR="002B418A" w:rsidRPr="00F25EBD" w:rsidRDefault="002B418A" w:rsidP="00FC7062">
      <w:pPr>
        <w:spacing w:line="276" w:lineRule="auto"/>
        <w:jc w:val="both"/>
        <w:rPr>
          <w:rFonts w:asciiTheme="majorHAnsi" w:hAnsiTheme="majorHAnsi" w:cstheme="majorHAnsi"/>
        </w:rPr>
      </w:pPr>
      <w:r w:rsidRPr="00F25EBD">
        <w:rPr>
          <w:rFonts w:asciiTheme="majorHAnsi" w:hAnsiTheme="majorHAnsi" w:cstheme="majorHAnsi"/>
        </w:rPr>
        <w:t>Mieszkańcy powiatu działdowskiego, podobnie jak respondenci z pozostałych powiatów dobrze ocenili działalność Straży Pożarnej, funkcjonowanie systemu odbioru odpadów komunalnych oraz dostępność miejsc usługowych i handlu. Najniżej natomiast oceniono jakość i dostępność funkcjonowania placówek świad</w:t>
      </w:r>
      <w:r w:rsidR="00097ABC">
        <w:rPr>
          <w:rFonts w:asciiTheme="majorHAnsi" w:hAnsiTheme="majorHAnsi" w:cstheme="majorHAnsi"/>
        </w:rPr>
        <w:t xml:space="preserve">czących usługi medyczne i </w:t>
      </w:r>
      <w:proofErr w:type="spellStart"/>
      <w:r w:rsidR="00097ABC">
        <w:rPr>
          <w:rFonts w:asciiTheme="majorHAnsi" w:hAnsiTheme="majorHAnsi" w:cstheme="majorHAnsi"/>
        </w:rPr>
        <w:t>około</w:t>
      </w:r>
      <w:r w:rsidRPr="00F25EBD">
        <w:rPr>
          <w:rFonts w:asciiTheme="majorHAnsi" w:hAnsiTheme="majorHAnsi" w:cstheme="majorHAnsi"/>
        </w:rPr>
        <w:t>medyczne</w:t>
      </w:r>
      <w:proofErr w:type="spellEnd"/>
      <w:r w:rsidRPr="00F25EBD">
        <w:rPr>
          <w:rFonts w:asciiTheme="majorHAnsi" w:hAnsiTheme="majorHAnsi" w:cstheme="majorHAnsi"/>
        </w:rPr>
        <w:t>.</w:t>
      </w:r>
    </w:p>
    <w:p w14:paraId="51AFFF38" w14:textId="77777777" w:rsidR="002B418A" w:rsidRDefault="002B418A" w:rsidP="00715929">
      <w:pPr>
        <w:pStyle w:val="nad"/>
        <w:spacing w:after="240"/>
      </w:pPr>
      <w:bookmarkStart w:id="130" w:name="_Toc81301629"/>
      <w:r w:rsidRPr="00F25EBD">
        <w:t xml:space="preserve">Wykres </w:t>
      </w:r>
      <w:r w:rsidR="002E1EA5">
        <w:rPr>
          <w:noProof/>
        </w:rPr>
        <w:fldChar w:fldCharType="begin"/>
      </w:r>
      <w:r w:rsidR="002E1EA5">
        <w:rPr>
          <w:noProof/>
        </w:rPr>
        <w:instrText xml:space="preserve"> SEQ Wykres \* ARABIC </w:instrText>
      </w:r>
      <w:r w:rsidR="002E1EA5">
        <w:rPr>
          <w:noProof/>
        </w:rPr>
        <w:fldChar w:fldCharType="separate"/>
      </w:r>
      <w:r w:rsidR="006C7815">
        <w:rPr>
          <w:noProof/>
        </w:rPr>
        <w:t>11</w:t>
      </w:r>
      <w:r w:rsidR="002E1EA5">
        <w:rPr>
          <w:noProof/>
        </w:rPr>
        <w:fldChar w:fldCharType="end"/>
      </w:r>
      <w:r w:rsidRPr="00F25EBD">
        <w:t xml:space="preserve"> Ocena elementów infrastruktury oraz oferty dostępnej na terenie zamieszkiwanym</w:t>
      </w:r>
      <w:r w:rsidR="005E4E72" w:rsidRPr="00F25EBD">
        <w:t xml:space="preserve"> - </w:t>
      </w:r>
      <w:r w:rsidRPr="00F25EBD">
        <w:t>powiat działdowski</w:t>
      </w:r>
      <w:bookmarkEnd w:id="130"/>
    </w:p>
    <w:p w14:paraId="34F79FBB" w14:textId="7D9DA8E5" w:rsidR="00715929" w:rsidRPr="00F25EBD" w:rsidRDefault="00715929" w:rsidP="00715929">
      <w:pPr>
        <w:pStyle w:val="nad"/>
        <w:spacing w:before="0"/>
      </w:pPr>
      <w:r>
        <w:rPr>
          <w:noProof/>
          <w:lang w:eastAsia="pl-PL"/>
        </w:rPr>
        <w:drawing>
          <wp:inline distT="0" distB="0" distL="0" distR="0" wp14:anchorId="24656742" wp14:editId="61371170">
            <wp:extent cx="5758543" cy="7098574"/>
            <wp:effectExtent l="0" t="0" r="13970" b="7620"/>
            <wp:docPr id="455" name="Wykres 455">
              <a:extLst xmlns:a="http://schemas.openxmlformats.org/drawingml/2006/main">
                <a:ext uri="{FF2B5EF4-FFF2-40B4-BE49-F238E27FC236}">
                  <a16:creationId xmlns:a16="http://schemas.microsoft.com/office/drawing/2014/main" id="{4CBDCC98-FD8F-460A-9032-3EE904FB564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14:paraId="67DEEF44" w14:textId="23E8CC70" w:rsidR="002B418A" w:rsidRPr="00F25EBD" w:rsidRDefault="002B418A" w:rsidP="00FC7062">
      <w:pPr>
        <w:pStyle w:val="Legenda"/>
        <w:spacing w:line="276" w:lineRule="auto"/>
        <w:rPr>
          <w:rFonts w:asciiTheme="majorHAnsi" w:hAnsiTheme="majorHAnsi" w:cstheme="majorHAnsi"/>
        </w:rPr>
      </w:pPr>
      <w:r w:rsidRPr="00F25EBD">
        <w:rPr>
          <w:rFonts w:asciiTheme="majorHAnsi" w:hAnsiTheme="majorHAnsi" w:cstheme="majorHAnsi"/>
        </w:rPr>
        <w:t>Źródło: badania własne, N=779</w:t>
      </w:r>
    </w:p>
    <w:p w14:paraId="6E8E016E" w14:textId="77777777" w:rsidR="002B418A" w:rsidRPr="00F25EBD" w:rsidRDefault="002B418A" w:rsidP="00FC7062">
      <w:pPr>
        <w:spacing w:line="276" w:lineRule="auto"/>
        <w:jc w:val="both"/>
        <w:rPr>
          <w:rFonts w:asciiTheme="majorHAnsi" w:hAnsiTheme="majorHAnsi" w:cstheme="majorHAnsi"/>
        </w:rPr>
      </w:pPr>
      <w:r w:rsidRPr="00F25EBD">
        <w:rPr>
          <w:rFonts w:asciiTheme="majorHAnsi" w:hAnsiTheme="majorHAnsi" w:cstheme="majorHAnsi"/>
        </w:rPr>
        <w:t>Kolejne trzy pytania miały charakter otwarty, a respondentów poproszono o wskazanie zalet, mocnych stron zamieszkiwanego powiatu, wad i słabych stron zamieszkiwanego powiatu oraz wskazanie tych elementów życia w powiecie które wymagają poprawy w najbliższych latach.</w:t>
      </w:r>
    </w:p>
    <w:p w14:paraId="58D9D138" w14:textId="77777777" w:rsidR="002B418A" w:rsidRPr="00F25EBD" w:rsidRDefault="002B418A" w:rsidP="00FC7062">
      <w:pPr>
        <w:spacing w:line="276" w:lineRule="auto"/>
        <w:jc w:val="both"/>
        <w:rPr>
          <w:rFonts w:asciiTheme="majorHAnsi" w:hAnsiTheme="majorHAnsi" w:cstheme="majorHAnsi"/>
        </w:rPr>
      </w:pPr>
      <w:r w:rsidRPr="00F25EBD">
        <w:rPr>
          <w:rFonts w:asciiTheme="majorHAnsi" w:hAnsiTheme="majorHAnsi" w:cstheme="majorHAnsi"/>
        </w:rPr>
        <w:t>Do największych zalet zamieszkiwanych powiatów badani zaliczyli cechy wynikające z położenia</w:t>
      </w:r>
      <w:r w:rsidR="005E4E72" w:rsidRPr="00F25EBD">
        <w:rPr>
          <w:rFonts w:asciiTheme="majorHAnsi" w:hAnsiTheme="majorHAnsi" w:cstheme="majorHAnsi"/>
        </w:rPr>
        <w:t xml:space="preserve"> - </w:t>
      </w:r>
      <w:r w:rsidRPr="00F25EBD">
        <w:rPr>
          <w:rFonts w:asciiTheme="majorHAnsi" w:hAnsiTheme="majorHAnsi" w:cstheme="majorHAnsi"/>
        </w:rPr>
        <w:t xml:space="preserve">przede wszystkim krajobraz, zieleń, ciszę spokój czyste i zdrowe powietrze a także atrakcyjną lokalizację i stosunkowo dobre skomunikowanie z takimi dużymi ośrodkami miejskimi jak np. Warszawa. Jako „inne” wskazano takie odpowiedzi jak „nic”, „nie wiem”, „wszystko”, itp. </w:t>
      </w:r>
    </w:p>
    <w:p w14:paraId="373C3FB7" w14:textId="77777777" w:rsidR="002B418A" w:rsidRDefault="002B418A" w:rsidP="000E5B5A">
      <w:pPr>
        <w:pStyle w:val="nad"/>
      </w:pPr>
      <w:bookmarkStart w:id="131" w:name="_Toc81301630"/>
      <w:r w:rsidRPr="00F25EBD">
        <w:t xml:space="preserve">Wykres </w:t>
      </w:r>
      <w:r w:rsidR="002E1EA5">
        <w:rPr>
          <w:noProof/>
        </w:rPr>
        <w:fldChar w:fldCharType="begin"/>
      </w:r>
      <w:r w:rsidR="002E1EA5">
        <w:rPr>
          <w:noProof/>
        </w:rPr>
        <w:instrText xml:space="preserve"> SEQ Wykres \* ARABIC </w:instrText>
      </w:r>
      <w:r w:rsidR="002E1EA5">
        <w:rPr>
          <w:noProof/>
        </w:rPr>
        <w:fldChar w:fldCharType="separate"/>
      </w:r>
      <w:r w:rsidR="006C7815">
        <w:rPr>
          <w:noProof/>
        </w:rPr>
        <w:t>12</w:t>
      </w:r>
      <w:r w:rsidR="002E1EA5">
        <w:rPr>
          <w:noProof/>
        </w:rPr>
        <w:fldChar w:fldCharType="end"/>
      </w:r>
      <w:r w:rsidRPr="00F25EBD">
        <w:t xml:space="preserve"> Zalety, mocne strony, zamieszkiwanych powiatów</w:t>
      </w:r>
      <w:bookmarkEnd w:id="131"/>
    </w:p>
    <w:p w14:paraId="71D2AFAE" w14:textId="3F74459E" w:rsidR="00715929" w:rsidRDefault="00715929" w:rsidP="000E5B5A">
      <w:pPr>
        <w:pStyle w:val="nad"/>
      </w:pPr>
      <w:r w:rsidRPr="00F25EBD">
        <w:rPr>
          <w:rFonts w:cstheme="majorHAnsi"/>
          <w:noProof/>
          <w:lang w:eastAsia="pl-PL"/>
        </w:rPr>
        <w:drawing>
          <wp:inline distT="0" distB="0" distL="0" distR="0" wp14:anchorId="6A9F96D0" wp14:editId="5DCA9A20">
            <wp:extent cx="5759450" cy="6891606"/>
            <wp:effectExtent l="0" t="0" r="12700" b="5080"/>
            <wp:docPr id="458" name="Wykres 458">
              <a:extLst xmlns:a="http://schemas.openxmlformats.org/drawingml/2006/main">
                <a:ext uri="{FF2B5EF4-FFF2-40B4-BE49-F238E27FC236}">
                  <a16:creationId xmlns:a16="http://schemas.microsoft.com/office/drawing/2014/main" id="{00000000-0008-0000-0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14:paraId="4A627DD1" w14:textId="77777777" w:rsidR="002B418A" w:rsidRPr="00F25EBD" w:rsidRDefault="002B418A" w:rsidP="00FC7062">
      <w:pPr>
        <w:pStyle w:val="Legenda"/>
        <w:spacing w:line="276" w:lineRule="auto"/>
        <w:rPr>
          <w:rFonts w:asciiTheme="majorHAnsi" w:hAnsiTheme="majorHAnsi" w:cstheme="majorHAnsi"/>
        </w:rPr>
      </w:pPr>
      <w:r w:rsidRPr="00F25EBD">
        <w:rPr>
          <w:rFonts w:asciiTheme="majorHAnsi" w:hAnsiTheme="majorHAnsi" w:cstheme="majorHAnsi"/>
        </w:rPr>
        <w:t>Źródło: badania własne, N=1553</w:t>
      </w:r>
    </w:p>
    <w:p w14:paraId="3F81A314" w14:textId="3CF36BAC" w:rsidR="002B418A" w:rsidRPr="00F25EBD" w:rsidRDefault="002B418A" w:rsidP="00FC7062">
      <w:pPr>
        <w:spacing w:after="240" w:line="276" w:lineRule="auto"/>
        <w:jc w:val="both"/>
        <w:rPr>
          <w:rFonts w:asciiTheme="majorHAnsi" w:hAnsiTheme="majorHAnsi" w:cstheme="majorHAnsi"/>
        </w:rPr>
      </w:pPr>
      <w:r w:rsidRPr="00F25EBD">
        <w:rPr>
          <w:rFonts w:asciiTheme="majorHAnsi" w:hAnsiTheme="majorHAnsi" w:cstheme="majorHAnsi"/>
        </w:rPr>
        <w:t>Za największe wady i słabe strony, ankietowani uznali brak miejsc pracy, brak inwestorów, bezrobocie oraz niskie wynagrodzenia. Co istotne w następnej kolejności wskazano niewykorzystanie istniejącego potencjału turystycznego oraz brak promocji regionu. W kategorii „inne” zawierały się takie odpowiedzi jak „nie wiem”, „nie mam zdania”, „nic” „brak zalet”.</w:t>
      </w:r>
      <w:r w:rsidR="007B04A7">
        <w:rPr>
          <w:rFonts w:asciiTheme="majorHAnsi" w:hAnsiTheme="majorHAnsi" w:cstheme="majorHAnsi"/>
        </w:rPr>
        <w:t xml:space="preserve"> </w:t>
      </w:r>
    </w:p>
    <w:p w14:paraId="6B59FC2C" w14:textId="77777777" w:rsidR="002B418A" w:rsidRPr="00F25EBD" w:rsidRDefault="002B418A" w:rsidP="000E5B5A">
      <w:pPr>
        <w:pStyle w:val="nad"/>
      </w:pPr>
      <w:bookmarkStart w:id="132" w:name="_Toc81301631"/>
      <w:r w:rsidRPr="00F25EBD">
        <w:t xml:space="preserve">Wykres </w:t>
      </w:r>
      <w:r w:rsidR="002E1EA5">
        <w:rPr>
          <w:noProof/>
        </w:rPr>
        <w:fldChar w:fldCharType="begin"/>
      </w:r>
      <w:r w:rsidR="002E1EA5">
        <w:rPr>
          <w:noProof/>
        </w:rPr>
        <w:instrText xml:space="preserve"> SEQ Wykres \* ARABIC </w:instrText>
      </w:r>
      <w:r w:rsidR="002E1EA5">
        <w:rPr>
          <w:noProof/>
        </w:rPr>
        <w:fldChar w:fldCharType="separate"/>
      </w:r>
      <w:r w:rsidR="006C7815">
        <w:rPr>
          <w:noProof/>
        </w:rPr>
        <w:t>13</w:t>
      </w:r>
      <w:r w:rsidR="002E1EA5">
        <w:rPr>
          <w:noProof/>
        </w:rPr>
        <w:fldChar w:fldCharType="end"/>
      </w:r>
      <w:r w:rsidRPr="00F25EBD">
        <w:t xml:space="preserve"> Najważniejsze wady, słabe strony zamieszkiwanego powiatu</w:t>
      </w:r>
      <w:bookmarkEnd w:id="132"/>
    </w:p>
    <w:p w14:paraId="762C0FE1" w14:textId="77777777" w:rsidR="002B418A" w:rsidRPr="00F25EBD" w:rsidRDefault="002B418A" w:rsidP="00FC7062">
      <w:pPr>
        <w:keepNext/>
        <w:spacing w:after="0" w:line="276" w:lineRule="auto"/>
        <w:rPr>
          <w:rFonts w:asciiTheme="majorHAnsi" w:hAnsiTheme="majorHAnsi" w:cstheme="majorHAnsi"/>
        </w:rPr>
      </w:pPr>
      <w:r w:rsidRPr="00F25EBD">
        <w:rPr>
          <w:rFonts w:asciiTheme="majorHAnsi" w:hAnsiTheme="majorHAnsi" w:cstheme="majorHAnsi"/>
          <w:noProof/>
          <w:lang w:eastAsia="pl-PL"/>
        </w:rPr>
        <w:drawing>
          <wp:inline distT="0" distB="0" distL="0" distR="0" wp14:anchorId="7D1589DC" wp14:editId="3E56BCAD">
            <wp:extent cx="5759450" cy="7357533"/>
            <wp:effectExtent l="0" t="0" r="12700" b="15240"/>
            <wp:docPr id="59" name="Wykres 59">
              <a:extLst xmlns:a="http://schemas.openxmlformats.org/drawingml/2006/main">
                <a:ext uri="{FF2B5EF4-FFF2-40B4-BE49-F238E27FC236}">
                  <a16:creationId xmlns:a16="http://schemas.microsoft.com/office/drawing/2014/main" id="{00000000-0008-0000-02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14:paraId="136A1A29" w14:textId="77777777" w:rsidR="002B418A" w:rsidRPr="00F25EBD" w:rsidRDefault="002B418A" w:rsidP="00FC7062">
      <w:pPr>
        <w:pStyle w:val="Legenda"/>
        <w:spacing w:line="276" w:lineRule="auto"/>
        <w:rPr>
          <w:rFonts w:asciiTheme="majorHAnsi" w:hAnsiTheme="majorHAnsi" w:cstheme="majorHAnsi"/>
        </w:rPr>
      </w:pPr>
      <w:r w:rsidRPr="00F25EBD">
        <w:rPr>
          <w:rFonts w:asciiTheme="majorHAnsi" w:hAnsiTheme="majorHAnsi" w:cstheme="majorHAnsi"/>
        </w:rPr>
        <w:t>Źródło: badania własne, N=1553</w:t>
      </w:r>
    </w:p>
    <w:p w14:paraId="687A4E44" w14:textId="77777777" w:rsidR="002B418A" w:rsidRPr="00F25EBD" w:rsidRDefault="002B418A" w:rsidP="00FC7062">
      <w:pPr>
        <w:spacing w:after="0" w:line="276" w:lineRule="auto"/>
        <w:jc w:val="both"/>
        <w:rPr>
          <w:rFonts w:asciiTheme="majorHAnsi" w:hAnsiTheme="majorHAnsi" w:cstheme="majorHAnsi"/>
        </w:rPr>
      </w:pPr>
      <w:r w:rsidRPr="00F25EBD">
        <w:rPr>
          <w:rFonts w:asciiTheme="majorHAnsi" w:hAnsiTheme="majorHAnsi" w:cstheme="majorHAnsi"/>
        </w:rPr>
        <w:t>Ostatnie pytanie otwarte poświęcone było wskazaniu elementów czy oferty, które powinny zostać poprawione w najbliższych latach. Tym samym zasadniczo poproszono o wskazanie priorytetów interwencji strategicznej. Badani zasadniczo na równi wskazali, iż elementami wymagającymi poprawy jest poprawa jakości i rozbudowa infrastruktury drogowej, a także stymulacja rynku pracy poprzez znalezienie nowych inwestorów, tworzenie zakładów pracy i zachęty inwestycyjne dla przedsiębiorców. Istotnym elementem jest również poprawa jakości funkcjonowania służby zdrowia co wybrzmiało już w pytaniach dotyczących oceny zamieszkiwanych powiatów. W kategorii „inne” zawarto takie odpowiedzi jak: „wszystko”, „nic”, „zbyt wiele”, itp.</w:t>
      </w:r>
    </w:p>
    <w:p w14:paraId="37196976" w14:textId="0E4C0260" w:rsidR="002B418A" w:rsidRDefault="002B418A" w:rsidP="000E5B5A">
      <w:pPr>
        <w:pStyle w:val="nad"/>
      </w:pPr>
      <w:bookmarkStart w:id="133" w:name="_Toc81301632"/>
      <w:r w:rsidRPr="00F25EBD">
        <w:t xml:space="preserve">Wykres </w:t>
      </w:r>
      <w:r w:rsidR="002E1EA5">
        <w:rPr>
          <w:noProof/>
        </w:rPr>
        <w:fldChar w:fldCharType="begin"/>
      </w:r>
      <w:r w:rsidR="002E1EA5">
        <w:rPr>
          <w:noProof/>
        </w:rPr>
        <w:instrText xml:space="preserve"> SEQ Wykres \* ARABIC </w:instrText>
      </w:r>
      <w:r w:rsidR="002E1EA5">
        <w:rPr>
          <w:noProof/>
        </w:rPr>
        <w:fldChar w:fldCharType="separate"/>
      </w:r>
      <w:r w:rsidR="006C7815">
        <w:rPr>
          <w:noProof/>
        </w:rPr>
        <w:t>14</w:t>
      </w:r>
      <w:r w:rsidR="002E1EA5">
        <w:rPr>
          <w:noProof/>
        </w:rPr>
        <w:fldChar w:fldCharType="end"/>
      </w:r>
      <w:r w:rsidRPr="00F25EBD">
        <w:t xml:space="preserve"> Elementy lub oferta, która wymaga interwencji w najbliższych latach</w:t>
      </w:r>
      <w:bookmarkEnd w:id="133"/>
    </w:p>
    <w:p w14:paraId="2B9AC6E8" w14:textId="2D4AF807" w:rsidR="004B0800" w:rsidRPr="004B0800" w:rsidRDefault="00D269C0" w:rsidP="004B0800">
      <w:r>
        <w:rPr>
          <w:noProof/>
          <w:lang w:eastAsia="pl-PL"/>
        </w:rPr>
        <w:drawing>
          <wp:inline distT="0" distB="0" distL="0" distR="0" wp14:anchorId="3019F1D5" wp14:editId="1D12DC00">
            <wp:extent cx="5759450" cy="6393027"/>
            <wp:effectExtent l="0" t="0" r="12700" b="8255"/>
            <wp:docPr id="459" name="Wykres 459"/>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14:paraId="56783200" w14:textId="77777777" w:rsidR="002B418A" w:rsidRPr="00F25EBD" w:rsidRDefault="002B418A" w:rsidP="00FC7062">
      <w:pPr>
        <w:pStyle w:val="Legenda"/>
        <w:spacing w:line="276" w:lineRule="auto"/>
        <w:rPr>
          <w:rFonts w:asciiTheme="majorHAnsi" w:hAnsiTheme="majorHAnsi" w:cstheme="majorHAnsi"/>
        </w:rPr>
      </w:pPr>
      <w:r w:rsidRPr="00F25EBD">
        <w:rPr>
          <w:rFonts w:asciiTheme="majorHAnsi" w:hAnsiTheme="majorHAnsi" w:cstheme="majorHAnsi"/>
        </w:rPr>
        <w:t>Źródło: badania własne, N=1553</w:t>
      </w:r>
    </w:p>
    <w:p w14:paraId="5C22FE71" w14:textId="28A46658" w:rsidR="002B418A" w:rsidRPr="00F25EBD" w:rsidRDefault="002B418A" w:rsidP="00FC7062">
      <w:pPr>
        <w:spacing w:line="276" w:lineRule="auto"/>
        <w:jc w:val="both"/>
        <w:rPr>
          <w:rFonts w:asciiTheme="majorHAnsi" w:hAnsiTheme="majorHAnsi" w:cstheme="majorHAnsi"/>
        </w:rPr>
      </w:pPr>
      <w:r w:rsidRPr="00F25EBD">
        <w:rPr>
          <w:rFonts w:asciiTheme="majorHAnsi" w:hAnsiTheme="majorHAnsi" w:cstheme="majorHAnsi"/>
        </w:rPr>
        <w:t xml:space="preserve">Ostatnia część kwestionariusza była poświęcona zjawiskom zachodzącym na rynku pracy oraz problemom gospodarczym badanego obszaru. Podobnie jak w przypadku pytania 4 posłużono </w:t>
      </w:r>
      <w:r w:rsidR="00844729">
        <w:rPr>
          <w:rFonts w:asciiTheme="majorHAnsi" w:hAnsiTheme="majorHAnsi" w:cstheme="majorHAnsi"/>
        </w:rPr>
        <w:br/>
      </w:r>
      <w:r w:rsidRPr="00F25EBD">
        <w:rPr>
          <w:rFonts w:asciiTheme="majorHAnsi" w:hAnsiTheme="majorHAnsi" w:cstheme="majorHAnsi"/>
        </w:rPr>
        <w:t>się systemem wagowym</w:t>
      </w:r>
      <w:r w:rsidR="005E4E72" w:rsidRPr="00F25EBD">
        <w:rPr>
          <w:rFonts w:asciiTheme="majorHAnsi" w:hAnsiTheme="majorHAnsi" w:cstheme="majorHAnsi"/>
        </w:rPr>
        <w:t xml:space="preserve"> - </w:t>
      </w:r>
      <w:r w:rsidRPr="00F25EBD">
        <w:rPr>
          <w:rFonts w:asciiTheme="majorHAnsi" w:hAnsiTheme="majorHAnsi" w:cstheme="majorHAnsi"/>
        </w:rPr>
        <w:t>przypisano wagi odpowiedziom i policzono średnią ważoną. Im wyższa wartość punktowa tym dany element jest lepiej oceniany. Badani stosunkowo dobrze ocenili możliwość założenia własnej działalności gospodarczej, a także możliwość znalezienia pracownika. Najniższe oceny przypisano wysokości zarobków oraz możliwości znalezieni</w:t>
      </w:r>
      <w:r w:rsidR="00097ABC">
        <w:rPr>
          <w:rFonts w:asciiTheme="majorHAnsi" w:hAnsiTheme="majorHAnsi" w:cstheme="majorHAnsi"/>
        </w:rPr>
        <w:t>a</w:t>
      </w:r>
      <w:r w:rsidRPr="00F25EBD">
        <w:rPr>
          <w:rFonts w:asciiTheme="majorHAnsi" w:hAnsiTheme="majorHAnsi" w:cstheme="majorHAnsi"/>
        </w:rPr>
        <w:t xml:space="preserve"> atrakcyjnej pracy.</w:t>
      </w:r>
    </w:p>
    <w:p w14:paraId="45882A17" w14:textId="77777777" w:rsidR="002B418A" w:rsidRPr="00F25EBD" w:rsidRDefault="002B418A" w:rsidP="000E5B5A">
      <w:pPr>
        <w:pStyle w:val="nad"/>
      </w:pPr>
      <w:bookmarkStart w:id="134" w:name="_Toc81301633"/>
      <w:r w:rsidRPr="00F25EBD">
        <w:t xml:space="preserve">Wykres </w:t>
      </w:r>
      <w:r w:rsidR="002E1EA5">
        <w:rPr>
          <w:noProof/>
        </w:rPr>
        <w:fldChar w:fldCharType="begin"/>
      </w:r>
      <w:r w:rsidR="002E1EA5">
        <w:rPr>
          <w:noProof/>
        </w:rPr>
        <w:instrText xml:space="preserve"> SEQ Wykres \* ARABIC </w:instrText>
      </w:r>
      <w:r w:rsidR="002E1EA5">
        <w:rPr>
          <w:noProof/>
        </w:rPr>
        <w:fldChar w:fldCharType="separate"/>
      </w:r>
      <w:r w:rsidR="006C7815">
        <w:rPr>
          <w:noProof/>
        </w:rPr>
        <w:t>15</w:t>
      </w:r>
      <w:r w:rsidR="002E1EA5">
        <w:rPr>
          <w:noProof/>
        </w:rPr>
        <w:fldChar w:fldCharType="end"/>
      </w:r>
      <w:r w:rsidRPr="00F25EBD">
        <w:t xml:space="preserve"> Ocena elementów rynku pracy w zamieszkiwanym powiacie</w:t>
      </w:r>
      <w:bookmarkEnd w:id="134"/>
    </w:p>
    <w:p w14:paraId="13C3838F" w14:textId="77777777" w:rsidR="002B418A" w:rsidRPr="00F25EBD" w:rsidRDefault="002B418A" w:rsidP="00FC7062">
      <w:pPr>
        <w:keepNext/>
        <w:spacing w:after="0" w:line="276" w:lineRule="auto"/>
        <w:rPr>
          <w:rFonts w:asciiTheme="majorHAnsi" w:hAnsiTheme="majorHAnsi" w:cstheme="majorHAnsi"/>
        </w:rPr>
      </w:pPr>
      <w:r w:rsidRPr="00F25EBD">
        <w:rPr>
          <w:rFonts w:asciiTheme="majorHAnsi" w:hAnsiTheme="majorHAnsi" w:cstheme="majorHAnsi"/>
          <w:noProof/>
          <w:lang w:eastAsia="pl-PL"/>
        </w:rPr>
        <w:drawing>
          <wp:inline distT="0" distB="0" distL="0" distR="0" wp14:anchorId="0D7C75E7" wp14:editId="47F32776">
            <wp:extent cx="5638800" cy="4991100"/>
            <wp:effectExtent l="0" t="0" r="0" b="0"/>
            <wp:docPr id="61" name="Wykres 61">
              <a:extLst xmlns:a="http://schemas.openxmlformats.org/drawingml/2006/main">
                <a:ext uri="{FF2B5EF4-FFF2-40B4-BE49-F238E27FC236}">
                  <a16:creationId xmlns:a16="http://schemas.microsoft.com/office/drawing/2014/main" id="{00000000-0008-0000-03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14:paraId="4E9AB833" w14:textId="77777777" w:rsidR="002B418A" w:rsidRPr="00F25EBD" w:rsidRDefault="002B418A" w:rsidP="00FC7062">
      <w:pPr>
        <w:pStyle w:val="Legenda"/>
        <w:spacing w:line="276" w:lineRule="auto"/>
        <w:rPr>
          <w:rFonts w:asciiTheme="majorHAnsi" w:hAnsiTheme="majorHAnsi" w:cstheme="majorHAnsi"/>
        </w:rPr>
      </w:pPr>
      <w:r w:rsidRPr="00F25EBD">
        <w:rPr>
          <w:rFonts w:asciiTheme="majorHAnsi" w:hAnsiTheme="majorHAnsi" w:cstheme="majorHAnsi"/>
        </w:rPr>
        <w:t>Źródło: badania własne, N=1553</w:t>
      </w:r>
    </w:p>
    <w:p w14:paraId="20995FA9" w14:textId="77777777" w:rsidR="002B418A" w:rsidRPr="00F25EBD" w:rsidRDefault="002B418A" w:rsidP="00FC7062">
      <w:pPr>
        <w:spacing w:after="0" w:line="276" w:lineRule="auto"/>
        <w:rPr>
          <w:rFonts w:asciiTheme="majorHAnsi" w:hAnsiTheme="majorHAnsi" w:cstheme="majorHAnsi"/>
        </w:rPr>
      </w:pPr>
    </w:p>
    <w:p w14:paraId="36F795C9" w14:textId="45F70813" w:rsidR="002B418A" w:rsidRPr="00F25EBD" w:rsidRDefault="002B418A" w:rsidP="00FC7062">
      <w:pPr>
        <w:spacing w:after="0" w:line="276" w:lineRule="auto"/>
        <w:jc w:val="both"/>
        <w:rPr>
          <w:rFonts w:asciiTheme="majorHAnsi" w:hAnsiTheme="majorHAnsi" w:cstheme="majorHAnsi"/>
        </w:rPr>
      </w:pPr>
      <w:r w:rsidRPr="00F25EBD">
        <w:rPr>
          <w:rFonts w:asciiTheme="majorHAnsi" w:hAnsiTheme="majorHAnsi" w:cstheme="majorHAnsi"/>
        </w:rPr>
        <w:t>W związku z dynamicznymi zmianami na rynku pracy, między innymi pod wpływem pandemii zapytano o obawy związane z utratą zatrudnienia. Niespełna połowa ankietowanych stwierdziła, iż trochę obawia się takiej sytuacji, przy czym, tę odpowiedź najczęściej wskazywali mieszkańcy powiatu nidz</w:t>
      </w:r>
      <w:r w:rsidR="00097ABC">
        <w:rPr>
          <w:rFonts w:asciiTheme="majorHAnsi" w:hAnsiTheme="majorHAnsi" w:cstheme="majorHAnsi"/>
        </w:rPr>
        <w:t>ic</w:t>
      </w:r>
      <w:r w:rsidRPr="00F25EBD">
        <w:rPr>
          <w:rFonts w:asciiTheme="majorHAnsi" w:hAnsiTheme="majorHAnsi" w:cstheme="majorHAnsi"/>
        </w:rPr>
        <w:t xml:space="preserve">kiego. Największe obawy o utratę pracy (odpowiedź „bardzo się tego obawiam” wskazali mieszkańcy powiatów </w:t>
      </w:r>
      <w:proofErr w:type="spellStart"/>
      <w:r w:rsidRPr="00F25EBD">
        <w:rPr>
          <w:rFonts w:asciiTheme="majorHAnsi" w:hAnsiTheme="majorHAnsi" w:cstheme="majorHAnsi"/>
        </w:rPr>
        <w:t>piskiego</w:t>
      </w:r>
      <w:proofErr w:type="spellEnd"/>
      <w:r w:rsidRPr="00F25EBD">
        <w:rPr>
          <w:rFonts w:asciiTheme="majorHAnsi" w:hAnsiTheme="majorHAnsi" w:cstheme="majorHAnsi"/>
        </w:rPr>
        <w:t xml:space="preserve"> i działdowskiego. Statystycznie, co piąty mieszkaniec analizowanego obszaru bardzo obawia </w:t>
      </w:r>
      <w:r w:rsidR="00844729">
        <w:rPr>
          <w:rFonts w:asciiTheme="majorHAnsi" w:hAnsiTheme="majorHAnsi" w:cstheme="majorHAnsi"/>
        </w:rPr>
        <w:br/>
      </w:r>
      <w:r w:rsidRPr="00F25EBD">
        <w:rPr>
          <w:rFonts w:asciiTheme="majorHAnsi" w:hAnsiTheme="majorHAnsi" w:cstheme="majorHAnsi"/>
        </w:rPr>
        <w:t>się o utratę zatrudnienia.</w:t>
      </w:r>
    </w:p>
    <w:p w14:paraId="533A0D1F" w14:textId="77777777" w:rsidR="002B418A" w:rsidRPr="00F25EBD" w:rsidRDefault="002B418A" w:rsidP="00FC7062">
      <w:pPr>
        <w:pStyle w:val="Legenda"/>
        <w:keepNext/>
        <w:spacing w:line="276" w:lineRule="auto"/>
        <w:rPr>
          <w:rFonts w:asciiTheme="majorHAnsi" w:hAnsiTheme="majorHAnsi" w:cstheme="majorHAnsi"/>
        </w:rPr>
      </w:pPr>
      <w:bookmarkStart w:id="135" w:name="_Toc81301634"/>
      <w:r w:rsidRPr="00F25EBD">
        <w:rPr>
          <w:rFonts w:asciiTheme="majorHAnsi" w:hAnsiTheme="majorHAnsi" w:cstheme="majorHAnsi"/>
        </w:rPr>
        <w:t xml:space="preserve">Wykres </w:t>
      </w:r>
      <w:r w:rsidRPr="00F25EBD">
        <w:rPr>
          <w:rFonts w:asciiTheme="majorHAnsi" w:hAnsiTheme="majorHAnsi" w:cstheme="majorHAnsi"/>
        </w:rPr>
        <w:fldChar w:fldCharType="begin"/>
      </w:r>
      <w:r w:rsidRPr="00F25EBD">
        <w:rPr>
          <w:rFonts w:asciiTheme="majorHAnsi" w:hAnsiTheme="majorHAnsi" w:cstheme="majorHAnsi"/>
        </w:rPr>
        <w:instrText xml:space="preserve"> SEQ Wykres \* ARABIC </w:instrText>
      </w:r>
      <w:r w:rsidRPr="00F25EBD">
        <w:rPr>
          <w:rFonts w:asciiTheme="majorHAnsi" w:hAnsiTheme="majorHAnsi" w:cstheme="majorHAnsi"/>
        </w:rPr>
        <w:fldChar w:fldCharType="separate"/>
      </w:r>
      <w:r w:rsidR="006C7815">
        <w:rPr>
          <w:rFonts w:asciiTheme="majorHAnsi" w:hAnsiTheme="majorHAnsi" w:cstheme="majorHAnsi"/>
          <w:noProof/>
        </w:rPr>
        <w:t>16</w:t>
      </w:r>
      <w:r w:rsidRPr="00F25EBD">
        <w:rPr>
          <w:rFonts w:asciiTheme="majorHAnsi" w:hAnsiTheme="majorHAnsi" w:cstheme="majorHAnsi"/>
          <w:noProof/>
        </w:rPr>
        <w:fldChar w:fldCharType="end"/>
      </w:r>
      <w:r w:rsidRPr="00F25EBD">
        <w:rPr>
          <w:rFonts w:asciiTheme="majorHAnsi" w:hAnsiTheme="majorHAnsi" w:cstheme="majorHAnsi"/>
        </w:rPr>
        <w:t xml:space="preserve"> Obawa o utratę pracy</w:t>
      </w:r>
      <w:bookmarkEnd w:id="135"/>
    </w:p>
    <w:p w14:paraId="75163494" w14:textId="77777777" w:rsidR="002B418A" w:rsidRPr="00F25EBD" w:rsidRDefault="002B418A" w:rsidP="00FC7062">
      <w:pPr>
        <w:keepNext/>
        <w:spacing w:after="0" w:line="276" w:lineRule="auto"/>
        <w:rPr>
          <w:rFonts w:asciiTheme="majorHAnsi" w:hAnsiTheme="majorHAnsi" w:cstheme="majorHAnsi"/>
        </w:rPr>
      </w:pPr>
      <w:r w:rsidRPr="00F25EBD">
        <w:rPr>
          <w:rFonts w:asciiTheme="majorHAnsi" w:hAnsiTheme="majorHAnsi" w:cstheme="majorHAnsi"/>
          <w:noProof/>
          <w:lang w:eastAsia="pl-PL"/>
        </w:rPr>
        <w:drawing>
          <wp:inline distT="0" distB="0" distL="0" distR="0" wp14:anchorId="468AB16E" wp14:editId="1963F30F">
            <wp:extent cx="5782310" cy="5774267"/>
            <wp:effectExtent l="0" t="0" r="8890" b="17145"/>
            <wp:docPr id="62" name="Wykres 62">
              <a:extLst xmlns:a="http://schemas.openxmlformats.org/drawingml/2006/main">
                <a:ext uri="{FF2B5EF4-FFF2-40B4-BE49-F238E27FC236}">
                  <a16:creationId xmlns:a16="http://schemas.microsoft.com/office/drawing/2014/main" id="{00000000-0008-0000-04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14:paraId="6FEBF531" w14:textId="77777777" w:rsidR="002B418A" w:rsidRPr="00F25EBD" w:rsidRDefault="002B418A" w:rsidP="00FC7062">
      <w:pPr>
        <w:pStyle w:val="Legenda"/>
        <w:spacing w:line="276" w:lineRule="auto"/>
        <w:rPr>
          <w:rFonts w:asciiTheme="majorHAnsi" w:hAnsiTheme="majorHAnsi" w:cstheme="majorHAnsi"/>
        </w:rPr>
      </w:pPr>
      <w:r w:rsidRPr="00F25EBD">
        <w:rPr>
          <w:rFonts w:asciiTheme="majorHAnsi" w:hAnsiTheme="majorHAnsi" w:cstheme="majorHAnsi"/>
        </w:rPr>
        <w:t>Źródło: badania własne, N=1553</w:t>
      </w:r>
    </w:p>
    <w:p w14:paraId="4A2A5A80" w14:textId="604B3070" w:rsidR="002B418A" w:rsidRPr="00F25EBD" w:rsidRDefault="002B418A" w:rsidP="00FC7062">
      <w:pPr>
        <w:spacing w:line="276" w:lineRule="auto"/>
        <w:jc w:val="both"/>
        <w:rPr>
          <w:rFonts w:asciiTheme="majorHAnsi" w:hAnsiTheme="majorHAnsi" w:cstheme="majorHAnsi"/>
        </w:rPr>
      </w:pPr>
      <w:r w:rsidRPr="00F25EBD">
        <w:rPr>
          <w:rFonts w:asciiTheme="majorHAnsi" w:hAnsiTheme="majorHAnsi" w:cstheme="majorHAnsi"/>
        </w:rPr>
        <w:t xml:space="preserve">W ostatnim pytaniu poproszono badanych o wskazanie prawdopodobnego działania w przypadku utraty pracy. Dominującą odpowiedzią na całym badanym obszarze był wyjazd z miejscowości zamieszkania a najczęściej na nią wskazywali mieszkańcy powiatu </w:t>
      </w:r>
      <w:proofErr w:type="spellStart"/>
      <w:r w:rsidRPr="00F25EBD">
        <w:rPr>
          <w:rFonts w:asciiTheme="majorHAnsi" w:hAnsiTheme="majorHAnsi" w:cstheme="majorHAnsi"/>
        </w:rPr>
        <w:t>piskiego</w:t>
      </w:r>
      <w:proofErr w:type="spellEnd"/>
      <w:r w:rsidRPr="00F25EBD">
        <w:rPr>
          <w:rFonts w:asciiTheme="majorHAnsi" w:hAnsiTheme="majorHAnsi" w:cstheme="majorHAnsi"/>
        </w:rPr>
        <w:t xml:space="preserve"> (co trzeci badany mieszkaniec tego powiatu zadeklarował możliwość zmiany miejsca zamieszkania w razie utraty pracy). W następnej kolejności respondenci staraliby się znaleźć jakiekolwiek zatrudnienie oraz byli gotowi przekwalifikować się. Przy czym gotowość do zmiany zawodu najliczniej zadeklarowali mieszkańcy powiatu szczycieńskiego. </w:t>
      </w:r>
      <w:r w:rsidR="006D24CC">
        <w:rPr>
          <w:rFonts w:asciiTheme="majorHAnsi" w:hAnsiTheme="majorHAnsi" w:cstheme="majorHAnsi"/>
        </w:rPr>
        <w:br/>
      </w:r>
      <w:r w:rsidRPr="00F25EBD">
        <w:rPr>
          <w:rFonts w:asciiTheme="majorHAnsi" w:hAnsiTheme="majorHAnsi" w:cstheme="majorHAnsi"/>
        </w:rPr>
        <w:t>Do kategorii „inne” zakwalifikowane takie wypowiedzi jak: „mam własną działalność”, „nie wiem”, „jestem emerytem”, „trudno powiedzieć”.</w:t>
      </w:r>
    </w:p>
    <w:p w14:paraId="55DECA86" w14:textId="77777777" w:rsidR="002B418A" w:rsidRPr="00F25EBD" w:rsidRDefault="002B418A" w:rsidP="000E5B5A">
      <w:pPr>
        <w:pStyle w:val="nad"/>
      </w:pPr>
      <w:bookmarkStart w:id="136" w:name="_Toc81301635"/>
      <w:r w:rsidRPr="00F25EBD">
        <w:t xml:space="preserve">Wykres </w:t>
      </w:r>
      <w:r w:rsidR="002E1EA5">
        <w:rPr>
          <w:noProof/>
        </w:rPr>
        <w:fldChar w:fldCharType="begin"/>
      </w:r>
      <w:r w:rsidR="002E1EA5">
        <w:rPr>
          <w:noProof/>
        </w:rPr>
        <w:instrText xml:space="preserve"> SEQ Wykres \* ARABIC </w:instrText>
      </w:r>
      <w:r w:rsidR="002E1EA5">
        <w:rPr>
          <w:noProof/>
        </w:rPr>
        <w:fldChar w:fldCharType="separate"/>
      </w:r>
      <w:r w:rsidR="006C7815">
        <w:rPr>
          <w:noProof/>
        </w:rPr>
        <w:t>17</w:t>
      </w:r>
      <w:r w:rsidR="002E1EA5">
        <w:rPr>
          <w:noProof/>
        </w:rPr>
        <w:fldChar w:fldCharType="end"/>
      </w:r>
      <w:r w:rsidRPr="00F25EBD">
        <w:t xml:space="preserve"> Sposoby działania w razie utraty pracy</w:t>
      </w:r>
      <w:bookmarkEnd w:id="136"/>
    </w:p>
    <w:p w14:paraId="5F0C5157" w14:textId="77777777" w:rsidR="002B418A" w:rsidRPr="00F25EBD" w:rsidRDefault="002B418A" w:rsidP="00FC7062">
      <w:pPr>
        <w:keepNext/>
        <w:spacing w:after="0" w:line="276" w:lineRule="auto"/>
        <w:rPr>
          <w:rFonts w:asciiTheme="majorHAnsi" w:hAnsiTheme="majorHAnsi" w:cstheme="majorHAnsi"/>
        </w:rPr>
      </w:pPr>
      <w:r w:rsidRPr="00F25EBD">
        <w:rPr>
          <w:rFonts w:asciiTheme="majorHAnsi" w:hAnsiTheme="majorHAnsi" w:cstheme="majorHAnsi"/>
          <w:noProof/>
          <w:lang w:eastAsia="pl-PL"/>
        </w:rPr>
        <w:drawing>
          <wp:inline distT="0" distB="0" distL="0" distR="0" wp14:anchorId="27735398" wp14:editId="315F08C2">
            <wp:extent cx="5759450" cy="8187267"/>
            <wp:effectExtent l="0" t="0" r="12700" b="4445"/>
            <wp:docPr id="63" name="Wykres 63">
              <a:extLst xmlns:a="http://schemas.openxmlformats.org/drawingml/2006/main">
                <a:ext uri="{FF2B5EF4-FFF2-40B4-BE49-F238E27FC236}">
                  <a16:creationId xmlns:a16="http://schemas.microsoft.com/office/drawing/2014/main" id="{00000000-0008-0000-05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14:paraId="76996E90" w14:textId="77777777" w:rsidR="002B418A" w:rsidRPr="00F25EBD" w:rsidRDefault="002B418A" w:rsidP="00FC7062">
      <w:pPr>
        <w:pStyle w:val="Legenda"/>
        <w:spacing w:line="276" w:lineRule="auto"/>
        <w:rPr>
          <w:rFonts w:asciiTheme="majorHAnsi" w:hAnsiTheme="majorHAnsi" w:cstheme="majorHAnsi"/>
        </w:rPr>
      </w:pPr>
      <w:r w:rsidRPr="00F25EBD">
        <w:rPr>
          <w:rFonts w:asciiTheme="majorHAnsi" w:hAnsiTheme="majorHAnsi" w:cstheme="majorHAnsi"/>
        </w:rPr>
        <w:t>Źródło: badania własne, N=1553</w:t>
      </w:r>
    </w:p>
    <w:p w14:paraId="77338318" w14:textId="77777777" w:rsidR="002B418A" w:rsidRPr="00F25EBD" w:rsidRDefault="002B418A" w:rsidP="00FC7062">
      <w:pPr>
        <w:spacing w:line="276" w:lineRule="auto"/>
        <w:rPr>
          <w:rFonts w:asciiTheme="majorHAnsi" w:hAnsiTheme="majorHAnsi" w:cstheme="majorHAnsi"/>
        </w:rPr>
      </w:pPr>
    </w:p>
    <w:p w14:paraId="0E39286E" w14:textId="47739E95" w:rsidR="002B418A" w:rsidRPr="00F25EBD" w:rsidRDefault="002B418A" w:rsidP="004B0800">
      <w:pPr>
        <w:spacing w:after="0" w:line="276" w:lineRule="auto"/>
        <w:rPr>
          <w:rFonts w:asciiTheme="majorHAnsi" w:hAnsiTheme="majorHAnsi" w:cstheme="majorHAnsi"/>
        </w:rPr>
      </w:pPr>
      <w:r w:rsidRPr="00F25EBD">
        <w:rPr>
          <w:rFonts w:asciiTheme="majorHAnsi" w:hAnsiTheme="majorHAnsi" w:cstheme="majorHAnsi"/>
        </w:rPr>
        <w:t>Kluczowe informacje i wnioski płynące z badania</w:t>
      </w:r>
      <w:r w:rsidR="004B0800">
        <w:rPr>
          <w:rFonts w:asciiTheme="majorHAnsi" w:hAnsiTheme="majorHAnsi" w:cstheme="majorHAnsi"/>
        </w:rPr>
        <w:t xml:space="preserve">: </w:t>
      </w:r>
    </w:p>
    <w:p w14:paraId="41D0CF6A" w14:textId="20F722D6" w:rsidR="002B418A" w:rsidRPr="00F25EBD" w:rsidRDefault="002B418A" w:rsidP="00624F1F">
      <w:pPr>
        <w:pStyle w:val="Akapitzlist"/>
        <w:numPr>
          <w:ilvl w:val="0"/>
          <w:numId w:val="14"/>
        </w:numPr>
        <w:spacing w:line="276" w:lineRule="auto"/>
        <w:ind w:left="714" w:hanging="357"/>
        <w:jc w:val="both"/>
        <w:rPr>
          <w:rFonts w:asciiTheme="majorHAnsi" w:hAnsiTheme="majorHAnsi" w:cstheme="majorHAnsi"/>
        </w:rPr>
      </w:pPr>
      <w:r w:rsidRPr="00F25EBD">
        <w:rPr>
          <w:rFonts w:asciiTheme="majorHAnsi" w:hAnsiTheme="majorHAnsi" w:cstheme="majorHAnsi"/>
        </w:rPr>
        <w:t>Większość badanych uznaje za dobre miejsce do życia swój powiat oraz miejscowość przy czym najwyższy poziom zadowolenia wskazują mieszkańcy miejscowości powiatu nidz</w:t>
      </w:r>
      <w:r w:rsidR="00D33E06">
        <w:rPr>
          <w:rFonts w:asciiTheme="majorHAnsi" w:hAnsiTheme="majorHAnsi" w:cstheme="majorHAnsi"/>
        </w:rPr>
        <w:t>ic</w:t>
      </w:r>
      <w:r w:rsidRPr="00F25EBD">
        <w:rPr>
          <w:rFonts w:asciiTheme="majorHAnsi" w:hAnsiTheme="majorHAnsi" w:cstheme="majorHAnsi"/>
        </w:rPr>
        <w:t>kiego.</w:t>
      </w:r>
    </w:p>
    <w:p w14:paraId="02B1EBFB" w14:textId="6BBE5385" w:rsidR="002B418A" w:rsidRPr="00F25EBD" w:rsidRDefault="002B418A" w:rsidP="00624F1F">
      <w:pPr>
        <w:pStyle w:val="Akapitzlist"/>
        <w:numPr>
          <w:ilvl w:val="0"/>
          <w:numId w:val="14"/>
        </w:numPr>
        <w:spacing w:line="276" w:lineRule="auto"/>
        <w:ind w:left="714" w:hanging="357"/>
        <w:jc w:val="both"/>
        <w:rPr>
          <w:rFonts w:asciiTheme="majorHAnsi" w:hAnsiTheme="majorHAnsi" w:cstheme="majorHAnsi"/>
        </w:rPr>
      </w:pPr>
      <w:r w:rsidRPr="00F25EBD">
        <w:rPr>
          <w:rFonts w:asciiTheme="majorHAnsi" w:hAnsiTheme="majorHAnsi" w:cstheme="majorHAnsi"/>
        </w:rPr>
        <w:t xml:space="preserve">Do najbardziej cenionych elementów infrastruktury oraz oferty mieszkańcy OF Mazury Południowe zaliczyli jakość funkcjonowania Straży Pożarnej, dostępność Internetu </w:t>
      </w:r>
      <w:r w:rsidR="00844729">
        <w:rPr>
          <w:rFonts w:asciiTheme="majorHAnsi" w:hAnsiTheme="majorHAnsi" w:cstheme="majorHAnsi"/>
        </w:rPr>
        <w:br/>
      </w:r>
      <w:r w:rsidRPr="00F25EBD">
        <w:rPr>
          <w:rFonts w:asciiTheme="majorHAnsi" w:hAnsiTheme="majorHAnsi" w:cstheme="majorHAnsi"/>
        </w:rPr>
        <w:t>oraz dostępność miejsc handlu i usług.</w:t>
      </w:r>
    </w:p>
    <w:p w14:paraId="7EB6A0D2" w14:textId="77777777" w:rsidR="002B418A" w:rsidRPr="00F25EBD" w:rsidRDefault="002B418A" w:rsidP="00624F1F">
      <w:pPr>
        <w:pStyle w:val="Akapitzlist"/>
        <w:numPr>
          <w:ilvl w:val="0"/>
          <w:numId w:val="14"/>
        </w:numPr>
        <w:spacing w:line="276" w:lineRule="auto"/>
        <w:ind w:left="714" w:hanging="357"/>
        <w:jc w:val="both"/>
        <w:rPr>
          <w:rFonts w:asciiTheme="majorHAnsi" w:hAnsiTheme="majorHAnsi" w:cstheme="majorHAnsi"/>
        </w:rPr>
      </w:pPr>
      <w:r w:rsidRPr="00F25EBD">
        <w:rPr>
          <w:rFonts w:asciiTheme="majorHAnsi" w:hAnsiTheme="majorHAnsi" w:cstheme="majorHAnsi"/>
        </w:rPr>
        <w:t>Najsłabiej oceniano elementy związane ze świadczeniem usług medycznych i ochroną zdrowia a także kwestie związane z rynkiem pracy.</w:t>
      </w:r>
    </w:p>
    <w:p w14:paraId="3F4491AD" w14:textId="6051EF99" w:rsidR="002B418A" w:rsidRPr="00F25EBD" w:rsidRDefault="002B418A" w:rsidP="00624F1F">
      <w:pPr>
        <w:pStyle w:val="Akapitzlist"/>
        <w:numPr>
          <w:ilvl w:val="0"/>
          <w:numId w:val="14"/>
        </w:numPr>
        <w:spacing w:line="276" w:lineRule="auto"/>
        <w:ind w:left="714" w:hanging="357"/>
        <w:jc w:val="both"/>
        <w:rPr>
          <w:rFonts w:asciiTheme="majorHAnsi" w:hAnsiTheme="majorHAnsi" w:cstheme="majorHAnsi"/>
        </w:rPr>
      </w:pPr>
      <w:r w:rsidRPr="00F25EBD">
        <w:rPr>
          <w:rFonts w:asciiTheme="majorHAnsi" w:hAnsiTheme="majorHAnsi" w:cstheme="majorHAnsi"/>
        </w:rPr>
        <w:t xml:space="preserve">W oczach badanych obszar Południowe </w:t>
      </w:r>
      <w:r w:rsidR="00D33E06" w:rsidRPr="00F25EBD">
        <w:rPr>
          <w:rFonts w:asciiTheme="majorHAnsi" w:hAnsiTheme="majorHAnsi" w:cstheme="majorHAnsi"/>
        </w:rPr>
        <w:t xml:space="preserve">Mazury </w:t>
      </w:r>
      <w:r w:rsidR="00D33E06">
        <w:rPr>
          <w:rFonts w:asciiTheme="majorHAnsi" w:hAnsiTheme="majorHAnsi" w:cstheme="majorHAnsi"/>
        </w:rPr>
        <w:t>p</w:t>
      </w:r>
      <w:r w:rsidRPr="00F25EBD">
        <w:rPr>
          <w:rFonts w:asciiTheme="majorHAnsi" w:hAnsiTheme="majorHAnsi" w:cstheme="majorHAnsi"/>
        </w:rPr>
        <w:t>ozytywnie wyróżnia krajobraz, czystość, estetyka, zasoby przyrodnicze, spokój i cisza.</w:t>
      </w:r>
    </w:p>
    <w:p w14:paraId="44956E4B" w14:textId="77777777" w:rsidR="002B418A" w:rsidRPr="00F25EBD" w:rsidRDefault="002B418A" w:rsidP="00624F1F">
      <w:pPr>
        <w:pStyle w:val="Akapitzlist"/>
        <w:numPr>
          <w:ilvl w:val="0"/>
          <w:numId w:val="14"/>
        </w:numPr>
        <w:spacing w:line="276" w:lineRule="auto"/>
        <w:ind w:left="714" w:hanging="357"/>
        <w:jc w:val="both"/>
        <w:rPr>
          <w:rFonts w:asciiTheme="majorHAnsi" w:hAnsiTheme="majorHAnsi" w:cstheme="majorHAnsi"/>
        </w:rPr>
      </w:pPr>
      <w:r w:rsidRPr="00F25EBD">
        <w:rPr>
          <w:rFonts w:asciiTheme="majorHAnsi" w:hAnsiTheme="majorHAnsi" w:cstheme="majorHAnsi"/>
        </w:rPr>
        <w:t>Do słabych stron obszaru badani zaliczyli</w:t>
      </w:r>
      <w:r w:rsidR="005E4E72" w:rsidRPr="00F25EBD">
        <w:rPr>
          <w:rFonts w:asciiTheme="majorHAnsi" w:hAnsiTheme="majorHAnsi" w:cstheme="majorHAnsi"/>
        </w:rPr>
        <w:t xml:space="preserve"> - </w:t>
      </w:r>
      <w:r w:rsidRPr="00F25EBD">
        <w:rPr>
          <w:rFonts w:asciiTheme="majorHAnsi" w:hAnsiTheme="majorHAnsi" w:cstheme="majorHAnsi"/>
        </w:rPr>
        <w:t xml:space="preserve">rynek pracy, bezrobocie, niskie wynagrodzenia </w:t>
      </w:r>
      <w:r w:rsidRPr="00F25EBD">
        <w:rPr>
          <w:rFonts w:asciiTheme="majorHAnsi" w:hAnsiTheme="majorHAnsi" w:cstheme="majorHAnsi"/>
        </w:rPr>
        <w:br/>
        <w:t>i niewykorzystany potencjał turystyczny.</w:t>
      </w:r>
    </w:p>
    <w:p w14:paraId="33B501EC" w14:textId="77777777" w:rsidR="002B418A" w:rsidRPr="00F25EBD" w:rsidRDefault="002B418A" w:rsidP="00624F1F">
      <w:pPr>
        <w:pStyle w:val="Akapitzlist"/>
        <w:numPr>
          <w:ilvl w:val="0"/>
          <w:numId w:val="14"/>
        </w:numPr>
        <w:spacing w:line="276" w:lineRule="auto"/>
        <w:ind w:left="714" w:hanging="357"/>
        <w:jc w:val="both"/>
        <w:rPr>
          <w:rFonts w:asciiTheme="majorHAnsi" w:hAnsiTheme="majorHAnsi" w:cstheme="majorHAnsi"/>
        </w:rPr>
      </w:pPr>
      <w:r w:rsidRPr="00F25EBD">
        <w:rPr>
          <w:rFonts w:asciiTheme="majorHAnsi" w:hAnsiTheme="majorHAnsi" w:cstheme="majorHAnsi"/>
        </w:rPr>
        <w:t>Kwestie wymagające pilnej Interwencji to: poprawa jakości i rozbudowa infrastruktury drogowej, rynek pracy, który winien oferować więcej miejsc zatrudnienia, wyższe wynagrodzenia i zachęty inwestycyjne dla przedsiębiorców</w:t>
      </w:r>
    </w:p>
    <w:p w14:paraId="421789EF" w14:textId="77777777" w:rsidR="002B418A" w:rsidRPr="00F25EBD" w:rsidRDefault="002B418A" w:rsidP="00624F1F">
      <w:pPr>
        <w:pStyle w:val="Akapitzlist"/>
        <w:numPr>
          <w:ilvl w:val="0"/>
          <w:numId w:val="14"/>
        </w:numPr>
        <w:spacing w:line="276" w:lineRule="auto"/>
        <w:ind w:left="714" w:hanging="357"/>
        <w:jc w:val="both"/>
        <w:rPr>
          <w:rFonts w:asciiTheme="majorHAnsi" w:hAnsiTheme="majorHAnsi" w:cstheme="majorHAnsi"/>
        </w:rPr>
      </w:pPr>
      <w:r w:rsidRPr="00F25EBD">
        <w:rPr>
          <w:rFonts w:asciiTheme="majorHAnsi" w:hAnsiTheme="majorHAnsi" w:cstheme="majorHAnsi"/>
        </w:rPr>
        <w:t>Najlepiej ocenianymi elementami rynku pracy są możliwość założenia własnej działalności gospodarczej, możliwość pozyskania pracownika i możliwość przekwalifikowania się. Największymi mankamentami rynku pracy jest wysokość zarobków oraz możliwość znalezienia atrakcyjnego zatrudnienia.</w:t>
      </w:r>
    </w:p>
    <w:p w14:paraId="1C136F71" w14:textId="16864357" w:rsidR="00575FF9" w:rsidRDefault="002B418A" w:rsidP="00624F1F">
      <w:pPr>
        <w:pStyle w:val="Akapitzlist"/>
        <w:numPr>
          <w:ilvl w:val="0"/>
          <w:numId w:val="14"/>
        </w:numPr>
        <w:spacing w:line="276" w:lineRule="auto"/>
        <w:ind w:left="714" w:hanging="357"/>
        <w:jc w:val="both"/>
        <w:rPr>
          <w:rFonts w:asciiTheme="majorHAnsi" w:hAnsiTheme="majorHAnsi" w:cstheme="majorHAnsi"/>
        </w:rPr>
      </w:pPr>
      <w:r w:rsidRPr="00F25EBD">
        <w:rPr>
          <w:rFonts w:asciiTheme="majorHAnsi" w:hAnsiTheme="majorHAnsi" w:cstheme="majorHAnsi"/>
        </w:rPr>
        <w:t>Większość ankietowanych ma pewne obawy związane z możliwością utraty pracy przy czym najczęściej tego typu obawy wykazują mieszkańcy powiatu nidzickiego. Większość respondentów w przypadku utraty zatrudnienia jest skłonna przeprowadzić się do innej miejscowości, przyjąć jakąkolwiek ofertę pracy lub się przekwalifikować.</w:t>
      </w:r>
      <w:r w:rsidR="00575FF9">
        <w:rPr>
          <w:rFonts w:asciiTheme="majorHAnsi" w:hAnsiTheme="majorHAnsi" w:cstheme="majorHAnsi"/>
        </w:rPr>
        <w:br w:type="page"/>
      </w:r>
    </w:p>
    <w:p w14:paraId="37D20F96" w14:textId="546D06C5" w:rsidR="002B418A" w:rsidRDefault="001676E7" w:rsidP="001676E7">
      <w:pPr>
        <w:pStyle w:val="Nagwek1"/>
      </w:pPr>
      <w:bookmarkStart w:id="137" w:name="_Toc77070641"/>
      <w:r>
        <w:t xml:space="preserve">Spis tabel, </w:t>
      </w:r>
      <w:r w:rsidR="00575FF9">
        <w:t>wykresów</w:t>
      </w:r>
      <w:r>
        <w:t xml:space="preserve"> i rysunków</w:t>
      </w:r>
      <w:bookmarkEnd w:id="137"/>
    </w:p>
    <w:p w14:paraId="30ADB1CC" w14:textId="77777777" w:rsidR="00CB7D8F" w:rsidRDefault="00575FF9" w:rsidP="00CB7D8F">
      <w:pPr>
        <w:pStyle w:val="Spisilustracji"/>
        <w:tabs>
          <w:tab w:val="right" w:leader="dot" w:pos="9060"/>
        </w:tabs>
        <w:jc w:val="both"/>
        <w:rPr>
          <w:rFonts w:eastAsiaTheme="minorEastAsia"/>
          <w:i w:val="0"/>
          <w:noProof/>
          <w:sz w:val="22"/>
          <w:lang w:eastAsia="pl-PL"/>
        </w:rPr>
      </w:pPr>
      <w:r>
        <w:rPr>
          <w:i w:val="0"/>
        </w:rPr>
        <w:fldChar w:fldCharType="begin"/>
      </w:r>
      <w:r>
        <w:rPr>
          <w:i w:val="0"/>
        </w:rPr>
        <w:instrText xml:space="preserve"> TOC \h \z \c "Tabela" </w:instrText>
      </w:r>
      <w:r>
        <w:rPr>
          <w:i w:val="0"/>
        </w:rPr>
        <w:fldChar w:fldCharType="separate"/>
      </w:r>
      <w:hyperlink w:anchor="_Toc81300527" w:history="1">
        <w:r w:rsidR="00CB7D8F" w:rsidRPr="00B40D70">
          <w:rPr>
            <w:rStyle w:val="Hipercze"/>
            <w:noProof/>
          </w:rPr>
          <w:t>Tabela 1. Powierzchnia jednostek administracyjnych obszaru funkcjonalnego Południowe Mazury w 2019r.</w:t>
        </w:r>
        <w:r w:rsidR="00CB7D8F">
          <w:rPr>
            <w:noProof/>
            <w:webHidden/>
          </w:rPr>
          <w:tab/>
        </w:r>
        <w:r w:rsidR="00CB7D8F">
          <w:rPr>
            <w:noProof/>
            <w:webHidden/>
          </w:rPr>
          <w:fldChar w:fldCharType="begin"/>
        </w:r>
        <w:r w:rsidR="00CB7D8F">
          <w:rPr>
            <w:noProof/>
            <w:webHidden/>
          </w:rPr>
          <w:instrText xml:space="preserve"> PAGEREF _Toc81300527 \h </w:instrText>
        </w:r>
        <w:r w:rsidR="00CB7D8F">
          <w:rPr>
            <w:noProof/>
            <w:webHidden/>
          </w:rPr>
        </w:r>
        <w:r w:rsidR="00CB7D8F">
          <w:rPr>
            <w:noProof/>
            <w:webHidden/>
          </w:rPr>
          <w:fldChar w:fldCharType="separate"/>
        </w:r>
        <w:r w:rsidR="006C7815">
          <w:rPr>
            <w:noProof/>
            <w:webHidden/>
          </w:rPr>
          <w:t>16</w:t>
        </w:r>
        <w:r w:rsidR="00CB7D8F">
          <w:rPr>
            <w:noProof/>
            <w:webHidden/>
          </w:rPr>
          <w:fldChar w:fldCharType="end"/>
        </w:r>
      </w:hyperlink>
    </w:p>
    <w:p w14:paraId="128AB9ED" w14:textId="77777777" w:rsidR="00CB7D8F" w:rsidRDefault="00E2001F" w:rsidP="00CB7D8F">
      <w:pPr>
        <w:pStyle w:val="Spisilustracji"/>
        <w:tabs>
          <w:tab w:val="right" w:leader="dot" w:pos="9060"/>
        </w:tabs>
        <w:jc w:val="both"/>
        <w:rPr>
          <w:rFonts w:eastAsiaTheme="minorEastAsia"/>
          <w:i w:val="0"/>
          <w:noProof/>
          <w:sz w:val="22"/>
          <w:lang w:eastAsia="pl-PL"/>
        </w:rPr>
      </w:pPr>
      <w:hyperlink w:anchor="_Toc81300528" w:history="1">
        <w:r w:rsidR="00CB7D8F" w:rsidRPr="00B40D70">
          <w:rPr>
            <w:rStyle w:val="Hipercze"/>
            <w:noProof/>
          </w:rPr>
          <w:t>Tabela 2. Zasoby surowców naturalnych występujących na terenie Południowych Mazur (wg stanu na 31.12.2019r.)</w:t>
        </w:r>
        <w:r w:rsidR="00CB7D8F">
          <w:rPr>
            <w:noProof/>
            <w:webHidden/>
          </w:rPr>
          <w:tab/>
        </w:r>
        <w:r w:rsidR="00CB7D8F">
          <w:rPr>
            <w:noProof/>
            <w:webHidden/>
          </w:rPr>
          <w:fldChar w:fldCharType="begin"/>
        </w:r>
        <w:r w:rsidR="00CB7D8F">
          <w:rPr>
            <w:noProof/>
            <w:webHidden/>
          </w:rPr>
          <w:instrText xml:space="preserve"> PAGEREF _Toc81300528 \h </w:instrText>
        </w:r>
        <w:r w:rsidR="00CB7D8F">
          <w:rPr>
            <w:noProof/>
            <w:webHidden/>
          </w:rPr>
        </w:r>
        <w:r w:rsidR="00CB7D8F">
          <w:rPr>
            <w:noProof/>
            <w:webHidden/>
          </w:rPr>
          <w:fldChar w:fldCharType="separate"/>
        </w:r>
        <w:r w:rsidR="006C7815">
          <w:rPr>
            <w:noProof/>
            <w:webHidden/>
          </w:rPr>
          <w:t>17</w:t>
        </w:r>
        <w:r w:rsidR="00CB7D8F">
          <w:rPr>
            <w:noProof/>
            <w:webHidden/>
          </w:rPr>
          <w:fldChar w:fldCharType="end"/>
        </w:r>
      </w:hyperlink>
    </w:p>
    <w:p w14:paraId="6F0B7244" w14:textId="77777777" w:rsidR="00CB7D8F" w:rsidRDefault="00E2001F" w:rsidP="00CB7D8F">
      <w:pPr>
        <w:pStyle w:val="Spisilustracji"/>
        <w:tabs>
          <w:tab w:val="right" w:leader="dot" w:pos="9060"/>
        </w:tabs>
        <w:jc w:val="both"/>
        <w:rPr>
          <w:rFonts w:eastAsiaTheme="minorEastAsia"/>
          <w:i w:val="0"/>
          <w:noProof/>
          <w:sz w:val="22"/>
          <w:lang w:eastAsia="pl-PL"/>
        </w:rPr>
      </w:pPr>
      <w:hyperlink w:anchor="_Toc81300529" w:history="1">
        <w:r w:rsidR="00CB7D8F" w:rsidRPr="00B40D70">
          <w:rPr>
            <w:rStyle w:val="Hipercze"/>
            <w:noProof/>
          </w:rPr>
          <w:t>Tabela 3. Klasy zanieczyszczeń w strefie warmińsko-mazurskiej uzyskane na podstawie oceny pięcioletniej (2014-2018) z uwzględnieniem kryteriów ustanowionych w celu ochrony zdrowia ludzi i ochrony roślin.</w:t>
        </w:r>
        <w:r w:rsidR="00CB7D8F">
          <w:rPr>
            <w:noProof/>
            <w:webHidden/>
          </w:rPr>
          <w:tab/>
        </w:r>
        <w:r w:rsidR="00CB7D8F">
          <w:rPr>
            <w:noProof/>
            <w:webHidden/>
          </w:rPr>
          <w:fldChar w:fldCharType="begin"/>
        </w:r>
        <w:r w:rsidR="00CB7D8F">
          <w:rPr>
            <w:noProof/>
            <w:webHidden/>
          </w:rPr>
          <w:instrText xml:space="preserve"> PAGEREF _Toc81300529 \h </w:instrText>
        </w:r>
        <w:r w:rsidR="00CB7D8F">
          <w:rPr>
            <w:noProof/>
            <w:webHidden/>
          </w:rPr>
        </w:r>
        <w:r w:rsidR="00CB7D8F">
          <w:rPr>
            <w:noProof/>
            <w:webHidden/>
          </w:rPr>
          <w:fldChar w:fldCharType="separate"/>
        </w:r>
        <w:r w:rsidR="006C7815">
          <w:rPr>
            <w:noProof/>
            <w:webHidden/>
          </w:rPr>
          <w:t>20</w:t>
        </w:r>
        <w:r w:rsidR="00CB7D8F">
          <w:rPr>
            <w:noProof/>
            <w:webHidden/>
          </w:rPr>
          <w:fldChar w:fldCharType="end"/>
        </w:r>
      </w:hyperlink>
    </w:p>
    <w:p w14:paraId="252B8B3F" w14:textId="77777777" w:rsidR="00CB7D8F" w:rsidRDefault="00E2001F" w:rsidP="00CB7D8F">
      <w:pPr>
        <w:pStyle w:val="Spisilustracji"/>
        <w:tabs>
          <w:tab w:val="right" w:leader="dot" w:pos="9060"/>
        </w:tabs>
        <w:jc w:val="both"/>
        <w:rPr>
          <w:rFonts w:eastAsiaTheme="minorEastAsia"/>
          <w:i w:val="0"/>
          <w:noProof/>
          <w:sz w:val="22"/>
          <w:lang w:eastAsia="pl-PL"/>
        </w:rPr>
      </w:pPr>
      <w:hyperlink w:anchor="_Toc81300530" w:history="1">
        <w:r w:rsidR="00CB7D8F" w:rsidRPr="00B40D70">
          <w:rPr>
            <w:rStyle w:val="Hipercze"/>
            <w:noProof/>
          </w:rPr>
          <w:t>Tabela 4. Formy ochrony przyrody na terenie powiatów Południowych Mazur (2019r.)</w:t>
        </w:r>
        <w:r w:rsidR="00CB7D8F">
          <w:rPr>
            <w:noProof/>
            <w:webHidden/>
          </w:rPr>
          <w:tab/>
        </w:r>
        <w:r w:rsidR="00CB7D8F">
          <w:rPr>
            <w:noProof/>
            <w:webHidden/>
          </w:rPr>
          <w:fldChar w:fldCharType="begin"/>
        </w:r>
        <w:r w:rsidR="00CB7D8F">
          <w:rPr>
            <w:noProof/>
            <w:webHidden/>
          </w:rPr>
          <w:instrText xml:space="preserve"> PAGEREF _Toc81300530 \h </w:instrText>
        </w:r>
        <w:r w:rsidR="00CB7D8F">
          <w:rPr>
            <w:noProof/>
            <w:webHidden/>
          </w:rPr>
        </w:r>
        <w:r w:rsidR="00CB7D8F">
          <w:rPr>
            <w:noProof/>
            <w:webHidden/>
          </w:rPr>
          <w:fldChar w:fldCharType="separate"/>
        </w:r>
        <w:r w:rsidR="006C7815">
          <w:rPr>
            <w:noProof/>
            <w:webHidden/>
          </w:rPr>
          <w:t>22</w:t>
        </w:r>
        <w:r w:rsidR="00CB7D8F">
          <w:rPr>
            <w:noProof/>
            <w:webHidden/>
          </w:rPr>
          <w:fldChar w:fldCharType="end"/>
        </w:r>
      </w:hyperlink>
    </w:p>
    <w:p w14:paraId="1289C323" w14:textId="77777777" w:rsidR="00CB7D8F" w:rsidRDefault="00E2001F" w:rsidP="00CB7D8F">
      <w:pPr>
        <w:pStyle w:val="Spisilustracji"/>
        <w:tabs>
          <w:tab w:val="right" w:leader="dot" w:pos="9060"/>
        </w:tabs>
        <w:jc w:val="both"/>
        <w:rPr>
          <w:rFonts w:eastAsiaTheme="minorEastAsia"/>
          <w:i w:val="0"/>
          <w:noProof/>
          <w:sz w:val="22"/>
          <w:lang w:eastAsia="pl-PL"/>
        </w:rPr>
      </w:pPr>
      <w:hyperlink w:anchor="_Toc81300531" w:history="1">
        <w:r w:rsidR="00CB7D8F" w:rsidRPr="00B40D70">
          <w:rPr>
            <w:rStyle w:val="Hipercze"/>
            <w:noProof/>
          </w:rPr>
          <w:t>Tabela 5. Ruch ludności w powiatach Południowych Mazur w latach 2010-2019</w:t>
        </w:r>
        <w:r w:rsidR="00CB7D8F">
          <w:rPr>
            <w:noProof/>
            <w:webHidden/>
          </w:rPr>
          <w:tab/>
        </w:r>
        <w:r w:rsidR="00CB7D8F">
          <w:rPr>
            <w:noProof/>
            <w:webHidden/>
          </w:rPr>
          <w:fldChar w:fldCharType="begin"/>
        </w:r>
        <w:r w:rsidR="00CB7D8F">
          <w:rPr>
            <w:noProof/>
            <w:webHidden/>
          </w:rPr>
          <w:instrText xml:space="preserve"> PAGEREF _Toc81300531 \h </w:instrText>
        </w:r>
        <w:r w:rsidR="00CB7D8F">
          <w:rPr>
            <w:noProof/>
            <w:webHidden/>
          </w:rPr>
        </w:r>
        <w:r w:rsidR="00CB7D8F">
          <w:rPr>
            <w:noProof/>
            <w:webHidden/>
          </w:rPr>
          <w:fldChar w:fldCharType="separate"/>
        </w:r>
        <w:r w:rsidR="006C7815">
          <w:rPr>
            <w:noProof/>
            <w:webHidden/>
          </w:rPr>
          <w:t>28</w:t>
        </w:r>
        <w:r w:rsidR="00CB7D8F">
          <w:rPr>
            <w:noProof/>
            <w:webHidden/>
          </w:rPr>
          <w:fldChar w:fldCharType="end"/>
        </w:r>
      </w:hyperlink>
    </w:p>
    <w:p w14:paraId="4A0FC19F" w14:textId="77777777" w:rsidR="00CB7D8F" w:rsidRDefault="00E2001F" w:rsidP="00CB7D8F">
      <w:pPr>
        <w:pStyle w:val="Spisilustracji"/>
        <w:tabs>
          <w:tab w:val="right" w:leader="dot" w:pos="9060"/>
        </w:tabs>
        <w:jc w:val="both"/>
        <w:rPr>
          <w:rFonts w:eastAsiaTheme="minorEastAsia"/>
          <w:i w:val="0"/>
          <w:noProof/>
          <w:sz w:val="22"/>
          <w:lang w:eastAsia="pl-PL"/>
        </w:rPr>
      </w:pPr>
      <w:hyperlink w:anchor="_Toc81300532" w:history="1">
        <w:r w:rsidR="00CB7D8F" w:rsidRPr="00B40D70">
          <w:rPr>
            <w:rStyle w:val="Hipercze"/>
            <w:noProof/>
          </w:rPr>
          <w:t>Tabela 6. Wybrane cechy bezrobocia na terenie powiatów Południowych Mazur wyłonione na podstawie wskaźników udziału w ogólnej liczbie bezrobotnych na danym obszarze (2019r.)</w:t>
        </w:r>
        <w:r w:rsidR="00CB7D8F">
          <w:rPr>
            <w:noProof/>
            <w:webHidden/>
          </w:rPr>
          <w:tab/>
        </w:r>
        <w:r w:rsidR="00CB7D8F">
          <w:rPr>
            <w:noProof/>
            <w:webHidden/>
          </w:rPr>
          <w:fldChar w:fldCharType="begin"/>
        </w:r>
        <w:r w:rsidR="00CB7D8F">
          <w:rPr>
            <w:noProof/>
            <w:webHidden/>
          </w:rPr>
          <w:instrText xml:space="preserve"> PAGEREF _Toc81300532 \h </w:instrText>
        </w:r>
        <w:r w:rsidR="00CB7D8F">
          <w:rPr>
            <w:noProof/>
            <w:webHidden/>
          </w:rPr>
        </w:r>
        <w:r w:rsidR="00CB7D8F">
          <w:rPr>
            <w:noProof/>
            <w:webHidden/>
          </w:rPr>
          <w:fldChar w:fldCharType="separate"/>
        </w:r>
        <w:r w:rsidR="006C7815">
          <w:rPr>
            <w:noProof/>
            <w:webHidden/>
          </w:rPr>
          <w:t>33</w:t>
        </w:r>
        <w:r w:rsidR="00CB7D8F">
          <w:rPr>
            <w:noProof/>
            <w:webHidden/>
          </w:rPr>
          <w:fldChar w:fldCharType="end"/>
        </w:r>
      </w:hyperlink>
    </w:p>
    <w:p w14:paraId="5983DB89" w14:textId="77777777" w:rsidR="00CB7D8F" w:rsidRDefault="00E2001F" w:rsidP="00CB7D8F">
      <w:pPr>
        <w:pStyle w:val="Spisilustracji"/>
        <w:tabs>
          <w:tab w:val="right" w:leader="dot" w:pos="9060"/>
        </w:tabs>
        <w:jc w:val="both"/>
        <w:rPr>
          <w:rFonts w:eastAsiaTheme="minorEastAsia"/>
          <w:i w:val="0"/>
          <w:noProof/>
          <w:sz w:val="22"/>
          <w:lang w:eastAsia="pl-PL"/>
        </w:rPr>
      </w:pPr>
      <w:hyperlink w:anchor="_Toc81300533" w:history="1">
        <w:r w:rsidR="00CB7D8F" w:rsidRPr="00B40D70">
          <w:rPr>
            <w:rStyle w:val="Hipercze"/>
            <w:noProof/>
          </w:rPr>
          <w:t>Tabela 7. Lista zawodów deficytowych w powiatach Południowych Mazur (2020r.)</w:t>
        </w:r>
        <w:r w:rsidR="00CB7D8F">
          <w:rPr>
            <w:noProof/>
            <w:webHidden/>
          </w:rPr>
          <w:tab/>
        </w:r>
        <w:r w:rsidR="00CB7D8F">
          <w:rPr>
            <w:noProof/>
            <w:webHidden/>
          </w:rPr>
          <w:fldChar w:fldCharType="begin"/>
        </w:r>
        <w:r w:rsidR="00CB7D8F">
          <w:rPr>
            <w:noProof/>
            <w:webHidden/>
          </w:rPr>
          <w:instrText xml:space="preserve"> PAGEREF _Toc81300533 \h </w:instrText>
        </w:r>
        <w:r w:rsidR="00CB7D8F">
          <w:rPr>
            <w:noProof/>
            <w:webHidden/>
          </w:rPr>
        </w:r>
        <w:r w:rsidR="00CB7D8F">
          <w:rPr>
            <w:noProof/>
            <w:webHidden/>
          </w:rPr>
          <w:fldChar w:fldCharType="separate"/>
        </w:r>
        <w:r w:rsidR="006C7815">
          <w:rPr>
            <w:noProof/>
            <w:webHidden/>
          </w:rPr>
          <w:t>33</w:t>
        </w:r>
        <w:r w:rsidR="00CB7D8F">
          <w:rPr>
            <w:noProof/>
            <w:webHidden/>
          </w:rPr>
          <w:fldChar w:fldCharType="end"/>
        </w:r>
      </w:hyperlink>
    </w:p>
    <w:p w14:paraId="3289EA64" w14:textId="77777777" w:rsidR="00CB7D8F" w:rsidRDefault="00E2001F" w:rsidP="00CB7D8F">
      <w:pPr>
        <w:pStyle w:val="Spisilustracji"/>
        <w:tabs>
          <w:tab w:val="right" w:leader="dot" w:pos="9060"/>
        </w:tabs>
        <w:jc w:val="both"/>
        <w:rPr>
          <w:rFonts w:eastAsiaTheme="minorEastAsia"/>
          <w:i w:val="0"/>
          <w:noProof/>
          <w:sz w:val="22"/>
          <w:lang w:eastAsia="pl-PL"/>
        </w:rPr>
      </w:pPr>
      <w:hyperlink w:anchor="_Toc81300534" w:history="1">
        <w:r w:rsidR="00CB7D8F" w:rsidRPr="00B40D70">
          <w:rPr>
            <w:rStyle w:val="Hipercze"/>
            <w:noProof/>
          </w:rPr>
          <w:t>Tabela 8. Lista zawodów nadwyżkowych w powiatach Południowych Mazur (2020r.)</w:t>
        </w:r>
        <w:r w:rsidR="00CB7D8F">
          <w:rPr>
            <w:noProof/>
            <w:webHidden/>
          </w:rPr>
          <w:tab/>
        </w:r>
        <w:r w:rsidR="00CB7D8F">
          <w:rPr>
            <w:noProof/>
            <w:webHidden/>
          </w:rPr>
          <w:fldChar w:fldCharType="begin"/>
        </w:r>
        <w:r w:rsidR="00CB7D8F">
          <w:rPr>
            <w:noProof/>
            <w:webHidden/>
          </w:rPr>
          <w:instrText xml:space="preserve"> PAGEREF _Toc81300534 \h </w:instrText>
        </w:r>
        <w:r w:rsidR="00CB7D8F">
          <w:rPr>
            <w:noProof/>
            <w:webHidden/>
          </w:rPr>
        </w:r>
        <w:r w:rsidR="00CB7D8F">
          <w:rPr>
            <w:noProof/>
            <w:webHidden/>
          </w:rPr>
          <w:fldChar w:fldCharType="separate"/>
        </w:r>
        <w:r w:rsidR="006C7815">
          <w:rPr>
            <w:noProof/>
            <w:webHidden/>
          </w:rPr>
          <w:t>35</w:t>
        </w:r>
        <w:r w:rsidR="00CB7D8F">
          <w:rPr>
            <w:noProof/>
            <w:webHidden/>
          </w:rPr>
          <w:fldChar w:fldCharType="end"/>
        </w:r>
      </w:hyperlink>
    </w:p>
    <w:p w14:paraId="6FF1CD13" w14:textId="77777777" w:rsidR="00CB7D8F" w:rsidRDefault="00E2001F" w:rsidP="00CB7D8F">
      <w:pPr>
        <w:pStyle w:val="Spisilustracji"/>
        <w:tabs>
          <w:tab w:val="right" w:leader="dot" w:pos="9060"/>
        </w:tabs>
        <w:jc w:val="both"/>
        <w:rPr>
          <w:rFonts w:eastAsiaTheme="minorEastAsia"/>
          <w:i w:val="0"/>
          <w:noProof/>
          <w:sz w:val="22"/>
          <w:lang w:eastAsia="pl-PL"/>
        </w:rPr>
      </w:pPr>
      <w:hyperlink w:anchor="_Toc81300535" w:history="1">
        <w:r w:rsidR="00CB7D8F" w:rsidRPr="00B40D70">
          <w:rPr>
            <w:rStyle w:val="Hipercze"/>
            <w:noProof/>
          </w:rPr>
          <w:t>Tabela 9. Linie kolejowe na obszarze Południowych Mazur</w:t>
        </w:r>
        <w:r w:rsidR="00CB7D8F">
          <w:rPr>
            <w:noProof/>
            <w:webHidden/>
          </w:rPr>
          <w:tab/>
        </w:r>
        <w:r w:rsidR="00CB7D8F">
          <w:rPr>
            <w:noProof/>
            <w:webHidden/>
          </w:rPr>
          <w:fldChar w:fldCharType="begin"/>
        </w:r>
        <w:r w:rsidR="00CB7D8F">
          <w:rPr>
            <w:noProof/>
            <w:webHidden/>
          </w:rPr>
          <w:instrText xml:space="preserve"> PAGEREF _Toc81300535 \h </w:instrText>
        </w:r>
        <w:r w:rsidR="00CB7D8F">
          <w:rPr>
            <w:noProof/>
            <w:webHidden/>
          </w:rPr>
        </w:r>
        <w:r w:rsidR="00CB7D8F">
          <w:rPr>
            <w:noProof/>
            <w:webHidden/>
          </w:rPr>
          <w:fldChar w:fldCharType="separate"/>
        </w:r>
        <w:r w:rsidR="006C7815">
          <w:rPr>
            <w:noProof/>
            <w:webHidden/>
          </w:rPr>
          <w:t>40</w:t>
        </w:r>
        <w:r w:rsidR="00CB7D8F">
          <w:rPr>
            <w:noProof/>
            <w:webHidden/>
          </w:rPr>
          <w:fldChar w:fldCharType="end"/>
        </w:r>
      </w:hyperlink>
    </w:p>
    <w:p w14:paraId="2A554E6F" w14:textId="77777777" w:rsidR="00CB7D8F" w:rsidRDefault="00E2001F" w:rsidP="00CB7D8F">
      <w:pPr>
        <w:pStyle w:val="Spisilustracji"/>
        <w:tabs>
          <w:tab w:val="right" w:leader="dot" w:pos="9060"/>
        </w:tabs>
        <w:jc w:val="both"/>
        <w:rPr>
          <w:rFonts w:eastAsiaTheme="minorEastAsia"/>
          <w:i w:val="0"/>
          <w:noProof/>
          <w:sz w:val="22"/>
          <w:lang w:eastAsia="pl-PL"/>
        </w:rPr>
      </w:pPr>
      <w:hyperlink w:anchor="_Toc81300536" w:history="1">
        <w:r w:rsidR="00CB7D8F" w:rsidRPr="00B40D70">
          <w:rPr>
            <w:rStyle w:val="Hipercze"/>
            <w:noProof/>
          </w:rPr>
          <w:t>Tabela 10. Duże instalacje OZE z Południowych Mazur - liczba i moc zainstalowana (2019r.)</w:t>
        </w:r>
        <w:r w:rsidR="00CB7D8F">
          <w:rPr>
            <w:noProof/>
            <w:webHidden/>
          </w:rPr>
          <w:tab/>
        </w:r>
        <w:r w:rsidR="00CB7D8F">
          <w:rPr>
            <w:noProof/>
            <w:webHidden/>
          </w:rPr>
          <w:fldChar w:fldCharType="begin"/>
        </w:r>
        <w:r w:rsidR="00CB7D8F">
          <w:rPr>
            <w:noProof/>
            <w:webHidden/>
          </w:rPr>
          <w:instrText xml:space="preserve"> PAGEREF _Toc81300536 \h </w:instrText>
        </w:r>
        <w:r w:rsidR="00CB7D8F">
          <w:rPr>
            <w:noProof/>
            <w:webHidden/>
          </w:rPr>
        </w:r>
        <w:r w:rsidR="00CB7D8F">
          <w:rPr>
            <w:noProof/>
            <w:webHidden/>
          </w:rPr>
          <w:fldChar w:fldCharType="separate"/>
        </w:r>
        <w:r w:rsidR="006C7815">
          <w:rPr>
            <w:noProof/>
            <w:webHidden/>
          </w:rPr>
          <w:t>46</w:t>
        </w:r>
        <w:r w:rsidR="00CB7D8F">
          <w:rPr>
            <w:noProof/>
            <w:webHidden/>
          </w:rPr>
          <w:fldChar w:fldCharType="end"/>
        </w:r>
      </w:hyperlink>
    </w:p>
    <w:p w14:paraId="25AECDF8" w14:textId="77777777" w:rsidR="00CB7D8F" w:rsidRDefault="00E2001F" w:rsidP="00CB7D8F">
      <w:pPr>
        <w:pStyle w:val="Spisilustracji"/>
        <w:tabs>
          <w:tab w:val="right" w:leader="dot" w:pos="9060"/>
        </w:tabs>
        <w:jc w:val="both"/>
        <w:rPr>
          <w:rFonts w:eastAsiaTheme="minorEastAsia"/>
          <w:i w:val="0"/>
          <w:noProof/>
          <w:sz w:val="22"/>
          <w:lang w:eastAsia="pl-PL"/>
        </w:rPr>
      </w:pPr>
      <w:hyperlink w:anchor="_Toc81300537" w:history="1">
        <w:r w:rsidR="00CB7D8F" w:rsidRPr="00B40D70">
          <w:rPr>
            <w:rStyle w:val="Hipercze"/>
            <w:noProof/>
          </w:rPr>
          <w:t>Tabela 11. Odsetek mieszkań wyposażonych w instalacje techniczno-sanitarne (2018r.)</w:t>
        </w:r>
        <w:r w:rsidR="00CB7D8F">
          <w:rPr>
            <w:noProof/>
            <w:webHidden/>
          </w:rPr>
          <w:tab/>
        </w:r>
        <w:r w:rsidR="00CB7D8F">
          <w:rPr>
            <w:noProof/>
            <w:webHidden/>
          </w:rPr>
          <w:fldChar w:fldCharType="begin"/>
        </w:r>
        <w:r w:rsidR="00CB7D8F">
          <w:rPr>
            <w:noProof/>
            <w:webHidden/>
          </w:rPr>
          <w:instrText xml:space="preserve"> PAGEREF _Toc81300537 \h </w:instrText>
        </w:r>
        <w:r w:rsidR="00CB7D8F">
          <w:rPr>
            <w:noProof/>
            <w:webHidden/>
          </w:rPr>
        </w:r>
        <w:r w:rsidR="00CB7D8F">
          <w:rPr>
            <w:noProof/>
            <w:webHidden/>
          </w:rPr>
          <w:fldChar w:fldCharType="separate"/>
        </w:r>
        <w:r w:rsidR="006C7815">
          <w:rPr>
            <w:noProof/>
            <w:webHidden/>
          </w:rPr>
          <w:t>49</w:t>
        </w:r>
        <w:r w:rsidR="00CB7D8F">
          <w:rPr>
            <w:noProof/>
            <w:webHidden/>
          </w:rPr>
          <w:fldChar w:fldCharType="end"/>
        </w:r>
      </w:hyperlink>
    </w:p>
    <w:p w14:paraId="3E206E2C" w14:textId="77777777" w:rsidR="00CB7D8F" w:rsidRDefault="00E2001F" w:rsidP="00CB7D8F">
      <w:pPr>
        <w:pStyle w:val="Spisilustracji"/>
        <w:tabs>
          <w:tab w:val="right" w:leader="dot" w:pos="9060"/>
        </w:tabs>
        <w:jc w:val="both"/>
        <w:rPr>
          <w:rFonts w:eastAsiaTheme="minorEastAsia"/>
          <w:i w:val="0"/>
          <w:noProof/>
          <w:sz w:val="22"/>
          <w:lang w:eastAsia="pl-PL"/>
        </w:rPr>
      </w:pPr>
      <w:hyperlink w:anchor="_Toc81300538" w:history="1">
        <w:r w:rsidR="00CB7D8F" w:rsidRPr="00B40D70">
          <w:rPr>
            <w:rStyle w:val="Hipercze"/>
            <w:noProof/>
          </w:rPr>
          <w:t>Tabela 12. Charakterystyka szkolnictwa podstawowego w powiatach Południowych Mazur (2018r.)</w:t>
        </w:r>
        <w:r w:rsidR="00CB7D8F">
          <w:rPr>
            <w:noProof/>
            <w:webHidden/>
          </w:rPr>
          <w:tab/>
        </w:r>
        <w:r w:rsidR="00CB7D8F">
          <w:rPr>
            <w:noProof/>
            <w:webHidden/>
          </w:rPr>
          <w:fldChar w:fldCharType="begin"/>
        </w:r>
        <w:r w:rsidR="00CB7D8F">
          <w:rPr>
            <w:noProof/>
            <w:webHidden/>
          </w:rPr>
          <w:instrText xml:space="preserve"> PAGEREF _Toc81300538 \h </w:instrText>
        </w:r>
        <w:r w:rsidR="00CB7D8F">
          <w:rPr>
            <w:noProof/>
            <w:webHidden/>
          </w:rPr>
        </w:r>
        <w:r w:rsidR="00CB7D8F">
          <w:rPr>
            <w:noProof/>
            <w:webHidden/>
          </w:rPr>
          <w:fldChar w:fldCharType="separate"/>
        </w:r>
        <w:r w:rsidR="006C7815">
          <w:rPr>
            <w:noProof/>
            <w:webHidden/>
          </w:rPr>
          <w:t>51</w:t>
        </w:r>
        <w:r w:rsidR="00CB7D8F">
          <w:rPr>
            <w:noProof/>
            <w:webHidden/>
          </w:rPr>
          <w:fldChar w:fldCharType="end"/>
        </w:r>
      </w:hyperlink>
    </w:p>
    <w:p w14:paraId="7D2F67F8" w14:textId="77777777" w:rsidR="00CB7D8F" w:rsidRDefault="00E2001F" w:rsidP="00CB7D8F">
      <w:pPr>
        <w:pStyle w:val="Spisilustracji"/>
        <w:tabs>
          <w:tab w:val="right" w:leader="dot" w:pos="9060"/>
        </w:tabs>
        <w:jc w:val="both"/>
        <w:rPr>
          <w:rFonts w:eastAsiaTheme="minorEastAsia"/>
          <w:i w:val="0"/>
          <w:noProof/>
          <w:sz w:val="22"/>
          <w:lang w:eastAsia="pl-PL"/>
        </w:rPr>
      </w:pPr>
      <w:hyperlink w:anchor="_Toc81300539" w:history="1">
        <w:r w:rsidR="00CB7D8F" w:rsidRPr="00B40D70">
          <w:rPr>
            <w:rStyle w:val="Hipercze"/>
            <w:noProof/>
          </w:rPr>
          <w:t>Tabela 13. Wyniki egzaminów ósmoklasisty wg powiatów (2020r.)</w:t>
        </w:r>
        <w:r w:rsidR="00CB7D8F">
          <w:rPr>
            <w:noProof/>
            <w:webHidden/>
          </w:rPr>
          <w:tab/>
        </w:r>
        <w:r w:rsidR="00CB7D8F">
          <w:rPr>
            <w:noProof/>
            <w:webHidden/>
          </w:rPr>
          <w:fldChar w:fldCharType="begin"/>
        </w:r>
        <w:r w:rsidR="00CB7D8F">
          <w:rPr>
            <w:noProof/>
            <w:webHidden/>
          </w:rPr>
          <w:instrText xml:space="preserve"> PAGEREF _Toc81300539 \h </w:instrText>
        </w:r>
        <w:r w:rsidR="00CB7D8F">
          <w:rPr>
            <w:noProof/>
            <w:webHidden/>
          </w:rPr>
        </w:r>
        <w:r w:rsidR="00CB7D8F">
          <w:rPr>
            <w:noProof/>
            <w:webHidden/>
          </w:rPr>
          <w:fldChar w:fldCharType="separate"/>
        </w:r>
        <w:r w:rsidR="006C7815">
          <w:rPr>
            <w:noProof/>
            <w:webHidden/>
          </w:rPr>
          <w:t>52</w:t>
        </w:r>
        <w:r w:rsidR="00CB7D8F">
          <w:rPr>
            <w:noProof/>
            <w:webHidden/>
          </w:rPr>
          <w:fldChar w:fldCharType="end"/>
        </w:r>
      </w:hyperlink>
    </w:p>
    <w:p w14:paraId="1EB49B11" w14:textId="77777777" w:rsidR="00CB7D8F" w:rsidRDefault="00E2001F" w:rsidP="00CB7D8F">
      <w:pPr>
        <w:pStyle w:val="Spisilustracji"/>
        <w:tabs>
          <w:tab w:val="right" w:leader="dot" w:pos="9060"/>
        </w:tabs>
        <w:jc w:val="both"/>
        <w:rPr>
          <w:rFonts w:eastAsiaTheme="minorEastAsia"/>
          <w:i w:val="0"/>
          <w:noProof/>
          <w:sz w:val="22"/>
          <w:lang w:eastAsia="pl-PL"/>
        </w:rPr>
      </w:pPr>
      <w:hyperlink w:anchor="_Toc81300540" w:history="1">
        <w:r w:rsidR="00CB7D8F" w:rsidRPr="00B40D70">
          <w:rPr>
            <w:rStyle w:val="Hipercze"/>
            <w:noProof/>
          </w:rPr>
          <w:t>Tabela 14. Infrastruktura sportowa na terenie powiatów Południowych Mazur</w:t>
        </w:r>
        <w:r w:rsidR="00CB7D8F">
          <w:rPr>
            <w:noProof/>
            <w:webHidden/>
          </w:rPr>
          <w:tab/>
        </w:r>
        <w:r w:rsidR="00CB7D8F">
          <w:rPr>
            <w:noProof/>
            <w:webHidden/>
          </w:rPr>
          <w:fldChar w:fldCharType="begin"/>
        </w:r>
        <w:r w:rsidR="00CB7D8F">
          <w:rPr>
            <w:noProof/>
            <w:webHidden/>
          </w:rPr>
          <w:instrText xml:space="preserve"> PAGEREF _Toc81300540 \h </w:instrText>
        </w:r>
        <w:r w:rsidR="00CB7D8F">
          <w:rPr>
            <w:noProof/>
            <w:webHidden/>
          </w:rPr>
        </w:r>
        <w:r w:rsidR="00CB7D8F">
          <w:rPr>
            <w:noProof/>
            <w:webHidden/>
          </w:rPr>
          <w:fldChar w:fldCharType="separate"/>
        </w:r>
        <w:r w:rsidR="006C7815">
          <w:rPr>
            <w:noProof/>
            <w:webHidden/>
          </w:rPr>
          <w:t>55</w:t>
        </w:r>
        <w:r w:rsidR="00CB7D8F">
          <w:rPr>
            <w:noProof/>
            <w:webHidden/>
          </w:rPr>
          <w:fldChar w:fldCharType="end"/>
        </w:r>
      </w:hyperlink>
    </w:p>
    <w:p w14:paraId="11ADAC54" w14:textId="77777777" w:rsidR="00CB7D8F" w:rsidRDefault="00E2001F" w:rsidP="00CB7D8F">
      <w:pPr>
        <w:pStyle w:val="Spisilustracji"/>
        <w:tabs>
          <w:tab w:val="right" w:leader="dot" w:pos="9060"/>
        </w:tabs>
        <w:jc w:val="both"/>
        <w:rPr>
          <w:rFonts w:eastAsiaTheme="minorEastAsia"/>
          <w:i w:val="0"/>
          <w:noProof/>
          <w:sz w:val="22"/>
          <w:lang w:eastAsia="pl-PL"/>
        </w:rPr>
      </w:pPr>
      <w:hyperlink w:anchor="_Toc81300541" w:history="1">
        <w:r w:rsidR="00CB7D8F" w:rsidRPr="00B40D70">
          <w:rPr>
            <w:rStyle w:val="Hipercze"/>
            <w:noProof/>
          </w:rPr>
          <w:t>Tabela 15. Ambulatoryjna opieka specjalistyczna w powiatach Południowych Mazur</w:t>
        </w:r>
        <w:r w:rsidR="00CB7D8F">
          <w:rPr>
            <w:noProof/>
            <w:webHidden/>
          </w:rPr>
          <w:tab/>
        </w:r>
        <w:r w:rsidR="00CB7D8F">
          <w:rPr>
            <w:noProof/>
            <w:webHidden/>
          </w:rPr>
          <w:fldChar w:fldCharType="begin"/>
        </w:r>
        <w:r w:rsidR="00CB7D8F">
          <w:rPr>
            <w:noProof/>
            <w:webHidden/>
          </w:rPr>
          <w:instrText xml:space="preserve"> PAGEREF _Toc81300541 \h </w:instrText>
        </w:r>
        <w:r w:rsidR="00CB7D8F">
          <w:rPr>
            <w:noProof/>
            <w:webHidden/>
          </w:rPr>
        </w:r>
        <w:r w:rsidR="00CB7D8F">
          <w:rPr>
            <w:noProof/>
            <w:webHidden/>
          </w:rPr>
          <w:fldChar w:fldCharType="separate"/>
        </w:r>
        <w:r w:rsidR="006C7815">
          <w:rPr>
            <w:noProof/>
            <w:webHidden/>
          </w:rPr>
          <w:t>58</w:t>
        </w:r>
        <w:r w:rsidR="00CB7D8F">
          <w:rPr>
            <w:noProof/>
            <w:webHidden/>
          </w:rPr>
          <w:fldChar w:fldCharType="end"/>
        </w:r>
      </w:hyperlink>
    </w:p>
    <w:p w14:paraId="4EB8BB20" w14:textId="77777777" w:rsidR="00CB7D8F" w:rsidRDefault="00E2001F" w:rsidP="00CB7D8F">
      <w:pPr>
        <w:pStyle w:val="Spisilustracji"/>
        <w:tabs>
          <w:tab w:val="right" w:leader="dot" w:pos="9060"/>
        </w:tabs>
        <w:jc w:val="both"/>
        <w:rPr>
          <w:rFonts w:eastAsiaTheme="minorEastAsia"/>
          <w:i w:val="0"/>
          <w:noProof/>
          <w:sz w:val="22"/>
          <w:lang w:eastAsia="pl-PL"/>
        </w:rPr>
      </w:pPr>
      <w:hyperlink w:anchor="_Toc81300542" w:history="1">
        <w:r w:rsidR="00CB7D8F" w:rsidRPr="00B40D70">
          <w:rPr>
            <w:rStyle w:val="Hipercze"/>
            <w:noProof/>
          </w:rPr>
          <w:t>Tabela 16. Oddziały w szpitalach powiatowych PM wraz z liczbą łóżek (2020r.)</w:t>
        </w:r>
        <w:r w:rsidR="00CB7D8F">
          <w:rPr>
            <w:noProof/>
            <w:webHidden/>
          </w:rPr>
          <w:tab/>
        </w:r>
        <w:r w:rsidR="00CB7D8F">
          <w:rPr>
            <w:noProof/>
            <w:webHidden/>
          </w:rPr>
          <w:fldChar w:fldCharType="begin"/>
        </w:r>
        <w:r w:rsidR="00CB7D8F">
          <w:rPr>
            <w:noProof/>
            <w:webHidden/>
          </w:rPr>
          <w:instrText xml:space="preserve"> PAGEREF _Toc81300542 \h </w:instrText>
        </w:r>
        <w:r w:rsidR="00CB7D8F">
          <w:rPr>
            <w:noProof/>
            <w:webHidden/>
          </w:rPr>
        </w:r>
        <w:r w:rsidR="00CB7D8F">
          <w:rPr>
            <w:noProof/>
            <w:webHidden/>
          </w:rPr>
          <w:fldChar w:fldCharType="separate"/>
        </w:r>
        <w:r w:rsidR="006C7815">
          <w:rPr>
            <w:noProof/>
            <w:webHidden/>
          </w:rPr>
          <w:t>59</w:t>
        </w:r>
        <w:r w:rsidR="00CB7D8F">
          <w:rPr>
            <w:noProof/>
            <w:webHidden/>
          </w:rPr>
          <w:fldChar w:fldCharType="end"/>
        </w:r>
      </w:hyperlink>
    </w:p>
    <w:p w14:paraId="1FEFA5B3" w14:textId="77777777" w:rsidR="00CB7D8F" w:rsidRDefault="00E2001F" w:rsidP="00CB7D8F">
      <w:pPr>
        <w:pStyle w:val="Spisilustracji"/>
        <w:tabs>
          <w:tab w:val="right" w:leader="dot" w:pos="9060"/>
        </w:tabs>
        <w:jc w:val="both"/>
        <w:rPr>
          <w:rFonts w:eastAsiaTheme="minorEastAsia"/>
          <w:i w:val="0"/>
          <w:noProof/>
          <w:sz w:val="22"/>
          <w:lang w:eastAsia="pl-PL"/>
        </w:rPr>
      </w:pPr>
      <w:hyperlink w:anchor="_Toc81300543" w:history="1">
        <w:r w:rsidR="00CB7D8F" w:rsidRPr="00B40D70">
          <w:rPr>
            <w:rStyle w:val="Hipercze"/>
            <w:noProof/>
          </w:rPr>
          <w:t>Tabela 17. Struktura wydatków powiatów PM w układzie wybranych działów klasyfikacji budżetowej</w:t>
        </w:r>
        <w:r w:rsidR="00CB7D8F">
          <w:rPr>
            <w:noProof/>
            <w:webHidden/>
          </w:rPr>
          <w:tab/>
        </w:r>
        <w:r w:rsidR="00CB7D8F">
          <w:rPr>
            <w:noProof/>
            <w:webHidden/>
          </w:rPr>
          <w:fldChar w:fldCharType="begin"/>
        </w:r>
        <w:r w:rsidR="00CB7D8F">
          <w:rPr>
            <w:noProof/>
            <w:webHidden/>
          </w:rPr>
          <w:instrText xml:space="preserve"> PAGEREF _Toc81300543 \h </w:instrText>
        </w:r>
        <w:r w:rsidR="00CB7D8F">
          <w:rPr>
            <w:noProof/>
            <w:webHidden/>
          </w:rPr>
        </w:r>
        <w:r w:rsidR="00CB7D8F">
          <w:rPr>
            <w:noProof/>
            <w:webHidden/>
          </w:rPr>
          <w:fldChar w:fldCharType="separate"/>
        </w:r>
        <w:r w:rsidR="006C7815">
          <w:rPr>
            <w:noProof/>
            <w:webHidden/>
          </w:rPr>
          <w:t>67</w:t>
        </w:r>
        <w:r w:rsidR="00CB7D8F">
          <w:rPr>
            <w:noProof/>
            <w:webHidden/>
          </w:rPr>
          <w:fldChar w:fldCharType="end"/>
        </w:r>
      </w:hyperlink>
    </w:p>
    <w:p w14:paraId="47B48D28" w14:textId="77777777" w:rsidR="00CB7D8F" w:rsidRDefault="00E2001F">
      <w:pPr>
        <w:pStyle w:val="Spisilustracji"/>
        <w:tabs>
          <w:tab w:val="right" w:leader="dot" w:pos="9060"/>
        </w:tabs>
        <w:rPr>
          <w:rFonts w:eastAsiaTheme="minorEastAsia"/>
          <w:i w:val="0"/>
          <w:noProof/>
          <w:sz w:val="22"/>
          <w:lang w:eastAsia="pl-PL"/>
        </w:rPr>
      </w:pPr>
      <w:hyperlink w:anchor="_Toc81300544" w:history="1">
        <w:r w:rsidR="00CB7D8F" w:rsidRPr="00B40D70">
          <w:rPr>
            <w:rStyle w:val="Hipercze"/>
            <w:noProof/>
          </w:rPr>
          <w:t>Tabela 18 Programy średniookresowe realizowane przez powiaty Południowych Mazur</w:t>
        </w:r>
        <w:r w:rsidR="00CB7D8F">
          <w:rPr>
            <w:noProof/>
            <w:webHidden/>
          </w:rPr>
          <w:tab/>
        </w:r>
        <w:r w:rsidR="00CB7D8F">
          <w:rPr>
            <w:noProof/>
            <w:webHidden/>
          </w:rPr>
          <w:fldChar w:fldCharType="begin"/>
        </w:r>
        <w:r w:rsidR="00CB7D8F">
          <w:rPr>
            <w:noProof/>
            <w:webHidden/>
          </w:rPr>
          <w:instrText xml:space="preserve"> PAGEREF _Toc81300544 \h </w:instrText>
        </w:r>
        <w:r w:rsidR="00CB7D8F">
          <w:rPr>
            <w:noProof/>
            <w:webHidden/>
          </w:rPr>
        </w:r>
        <w:r w:rsidR="00CB7D8F">
          <w:rPr>
            <w:noProof/>
            <w:webHidden/>
          </w:rPr>
          <w:fldChar w:fldCharType="separate"/>
        </w:r>
        <w:r w:rsidR="006C7815">
          <w:rPr>
            <w:noProof/>
            <w:webHidden/>
          </w:rPr>
          <w:t>68</w:t>
        </w:r>
        <w:r w:rsidR="00CB7D8F">
          <w:rPr>
            <w:noProof/>
            <w:webHidden/>
          </w:rPr>
          <w:fldChar w:fldCharType="end"/>
        </w:r>
      </w:hyperlink>
    </w:p>
    <w:p w14:paraId="74981C28" w14:textId="77777777" w:rsidR="00CB7D8F" w:rsidRDefault="00E2001F">
      <w:pPr>
        <w:pStyle w:val="Spisilustracji"/>
        <w:tabs>
          <w:tab w:val="right" w:leader="dot" w:pos="9060"/>
        </w:tabs>
        <w:rPr>
          <w:rFonts w:eastAsiaTheme="minorEastAsia"/>
          <w:i w:val="0"/>
          <w:noProof/>
          <w:sz w:val="22"/>
          <w:lang w:eastAsia="pl-PL"/>
        </w:rPr>
      </w:pPr>
      <w:hyperlink w:anchor="_Toc81300545" w:history="1">
        <w:r w:rsidR="00CB7D8F" w:rsidRPr="00B40D70">
          <w:rPr>
            <w:rStyle w:val="Hipercze"/>
            <w:noProof/>
          </w:rPr>
          <w:t>Tabela 19 Działania promocyjne podejmowane przez powiaty Południowych Mazur</w:t>
        </w:r>
        <w:r w:rsidR="00CB7D8F">
          <w:rPr>
            <w:noProof/>
            <w:webHidden/>
          </w:rPr>
          <w:tab/>
        </w:r>
        <w:r w:rsidR="00CB7D8F">
          <w:rPr>
            <w:noProof/>
            <w:webHidden/>
          </w:rPr>
          <w:fldChar w:fldCharType="begin"/>
        </w:r>
        <w:r w:rsidR="00CB7D8F">
          <w:rPr>
            <w:noProof/>
            <w:webHidden/>
          </w:rPr>
          <w:instrText xml:space="preserve"> PAGEREF _Toc81300545 \h </w:instrText>
        </w:r>
        <w:r w:rsidR="00CB7D8F">
          <w:rPr>
            <w:noProof/>
            <w:webHidden/>
          </w:rPr>
        </w:r>
        <w:r w:rsidR="00CB7D8F">
          <w:rPr>
            <w:noProof/>
            <w:webHidden/>
          </w:rPr>
          <w:fldChar w:fldCharType="separate"/>
        </w:r>
        <w:r w:rsidR="006C7815">
          <w:rPr>
            <w:noProof/>
            <w:webHidden/>
          </w:rPr>
          <w:t>69</w:t>
        </w:r>
        <w:r w:rsidR="00CB7D8F">
          <w:rPr>
            <w:noProof/>
            <w:webHidden/>
          </w:rPr>
          <w:fldChar w:fldCharType="end"/>
        </w:r>
      </w:hyperlink>
    </w:p>
    <w:p w14:paraId="0A7D2890" w14:textId="77777777" w:rsidR="00CB7D8F" w:rsidRDefault="00E2001F">
      <w:pPr>
        <w:pStyle w:val="Spisilustracji"/>
        <w:tabs>
          <w:tab w:val="right" w:leader="dot" w:pos="9060"/>
        </w:tabs>
        <w:rPr>
          <w:rFonts w:eastAsiaTheme="minorEastAsia"/>
          <w:i w:val="0"/>
          <w:noProof/>
          <w:sz w:val="22"/>
          <w:lang w:eastAsia="pl-PL"/>
        </w:rPr>
      </w:pPr>
      <w:hyperlink w:anchor="_Toc81300546" w:history="1">
        <w:r w:rsidR="00CB7D8F" w:rsidRPr="00B40D70">
          <w:rPr>
            <w:rStyle w:val="Hipercze"/>
            <w:noProof/>
          </w:rPr>
          <w:t>Tabela 20 Urodzenia i przyrost naturalny na 1000 ludności oraz współczynnik obciążenia demograficznego</w:t>
        </w:r>
        <w:r w:rsidR="00CB7D8F">
          <w:rPr>
            <w:noProof/>
            <w:webHidden/>
          </w:rPr>
          <w:tab/>
        </w:r>
        <w:r w:rsidR="00CB7D8F">
          <w:rPr>
            <w:noProof/>
            <w:webHidden/>
          </w:rPr>
          <w:fldChar w:fldCharType="begin"/>
        </w:r>
        <w:r w:rsidR="00CB7D8F">
          <w:rPr>
            <w:noProof/>
            <w:webHidden/>
          </w:rPr>
          <w:instrText xml:space="preserve"> PAGEREF _Toc81300546 \h </w:instrText>
        </w:r>
        <w:r w:rsidR="00CB7D8F">
          <w:rPr>
            <w:noProof/>
            <w:webHidden/>
          </w:rPr>
        </w:r>
        <w:r w:rsidR="00CB7D8F">
          <w:rPr>
            <w:noProof/>
            <w:webHidden/>
          </w:rPr>
          <w:fldChar w:fldCharType="separate"/>
        </w:r>
        <w:r w:rsidR="006C7815">
          <w:rPr>
            <w:noProof/>
            <w:webHidden/>
          </w:rPr>
          <w:t>76</w:t>
        </w:r>
        <w:r w:rsidR="00CB7D8F">
          <w:rPr>
            <w:noProof/>
            <w:webHidden/>
          </w:rPr>
          <w:fldChar w:fldCharType="end"/>
        </w:r>
      </w:hyperlink>
    </w:p>
    <w:p w14:paraId="7E89E3DE" w14:textId="77777777" w:rsidR="00CB7D8F" w:rsidRDefault="00E2001F">
      <w:pPr>
        <w:pStyle w:val="Spisilustracji"/>
        <w:tabs>
          <w:tab w:val="right" w:leader="dot" w:pos="9060"/>
        </w:tabs>
        <w:rPr>
          <w:rFonts w:eastAsiaTheme="minorEastAsia"/>
          <w:i w:val="0"/>
          <w:noProof/>
          <w:sz w:val="22"/>
          <w:lang w:eastAsia="pl-PL"/>
        </w:rPr>
      </w:pPr>
      <w:hyperlink w:anchor="_Toc81300547" w:history="1">
        <w:r w:rsidR="00CB7D8F" w:rsidRPr="00B40D70">
          <w:rPr>
            <w:rStyle w:val="Hipercze"/>
            <w:noProof/>
          </w:rPr>
          <w:t>Tabela 21 Lekarze, pielęgniarki i położne na 10 tys. Mieszkańców, ludność na łóżko szpitalne i ludność na aptekę</w:t>
        </w:r>
        <w:r w:rsidR="00CB7D8F">
          <w:rPr>
            <w:noProof/>
            <w:webHidden/>
          </w:rPr>
          <w:tab/>
        </w:r>
        <w:r w:rsidR="00CB7D8F">
          <w:rPr>
            <w:noProof/>
            <w:webHidden/>
          </w:rPr>
          <w:fldChar w:fldCharType="begin"/>
        </w:r>
        <w:r w:rsidR="00CB7D8F">
          <w:rPr>
            <w:noProof/>
            <w:webHidden/>
          </w:rPr>
          <w:instrText xml:space="preserve"> PAGEREF _Toc81300547 \h </w:instrText>
        </w:r>
        <w:r w:rsidR="00CB7D8F">
          <w:rPr>
            <w:noProof/>
            <w:webHidden/>
          </w:rPr>
        </w:r>
        <w:r w:rsidR="00CB7D8F">
          <w:rPr>
            <w:noProof/>
            <w:webHidden/>
          </w:rPr>
          <w:fldChar w:fldCharType="separate"/>
        </w:r>
        <w:r w:rsidR="006C7815">
          <w:rPr>
            <w:noProof/>
            <w:webHidden/>
          </w:rPr>
          <w:t>77</w:t>
        </w:r>
        <w:r w:rsidR="00CB7D8F">
          <w:rPr>
            <w:noProof/>
            <w:webHidden/>
          </w:rPr>
          <w:fldChar w:fldCharType="end"/>
        </w:r>
      </w:hyperlink>
    </w:p>
    <w:p w14:paraId="0AF7A766" w14:textId="77777777" w:rsidR="00CB7D8F" w:rsidRDefault="00E2001F">
      <w:pPr>
        <w:pStyle w:val="Spisilustracji"/>
        <w:tabs>
          <w:tab w:val="right" w:leader="dot" w:pos="9060"/>
        </w:tabs>
        <w:rPr>
          <w:rFonts w:eastAsiaTheme="minorEastAsia"/>
          <w:i w:val="0"/>
          <w:noProof/>
          <w:sz w:val="22"/>
          <w:lang w:eastAsia="pl-PL"/>
        </w:rPr>
      </w:pPr>
      <w:hyperlink w:anchor="_Toc81300548" w:history="1">
        <w:r w:rsidR="00CB7D8F" w:rsidRPr="00B40D70">
          <w:rPr>
            <w:rStyle w:val="Hipercze"/>
            <w:noProof/>
          </w:rPr>
          <w:t>Tabela 22 Współczynnik skolaryzacji netto oraz liczba uczniów przypadająca na oddział</w:t>
        </w:r>
        <w:r w:rsidR="00CB7D8F">
          <w:rPr>
            <w:noProof/>
            <w:webHidden/>
          </w:rPr>
          <w:tab/>
        </w:r>
        <w:r w:rsidR="00CB7D8F">
          <w:rPr>
            <w:noProof/>
            <w:webHidden/>
          </w:rPr>
          <w:fldChar w:fldCharType="begin"/>
        </w:r>
        <w:r w:rsidR="00CB7D8F">
          <w:rPr>
            <w:noProof/>
            <w:webHidden/>
          </w:rPr>
          <w:instrText xml:space="preserve"> PAGEREF _Toc81300548 \h </w:instrText>
        </w:r>
        <w:r w:rsidR="00CB7D8F">
          <w:rPr>
            <w:noProof/>
            <w:webHidden/>
          </w:rPr>
        </w:r>
        <w:r w:rsidR="00CB7D8F">
          <w:rPr>
            <w:noProof/>
            <w:webHidden/>
          </w:rPr>
          <w:fldChar w:fldCharType="separate"/>
        </w:r>
        <w:r w:rsidR="006C7815">
          <w:rPr>
            <w:noProof/>
            <w:webHidden/>
          </w:rPr>
          <w:t>78</w:t>
        </w:r>
        <w:r w:rsidR="00CB7D8F">
          <w:rPr>
            <w:noProof/>
            <w:webHidden/>
          </w:rPr>
          <w:fldChar w:fldCharType="end"/>
        </w:r>
      </w:hyperlink>
    </w:p>
    <w:p w14:paraId="59DDAF52" w14:textId="77777777" w:rsidR="00CB7D8F" w:rsidRDefault="00E2001F" w:rsidP="00CB7D8F">
      <w:pPr>
        <w:pStyle w:val="Spisilustracji"/>
        <w:tabs>
          <w:tab w:val="right" w:leader="dot" w:pos="9060"/>
        </w:tabs>
        <w:jc w:val="both"/>
        <w:rPr>
          <w:rFonts w:eastAsiaTheme="minorEastAsia"/>
          <w:i w:val="0"/>
          <w:noProof/>
          <w:sz w:val="22"/>
          <w:lang w:eastAsia="pl-PL"/>
        </w:rPr>
      </w:pPr>
      <w:hyperlink w:anchor="_Toc81300549" w:history="1">
        <w:r w:rsidR="00CB7D8F" w:rsidRPr="00B40D70">
          <w:rPr>
            <w:rStyle w:val="Hipercze"/>
            <w:noProof/>
          </w:rPr>
          <w:t>Tabela 23 Stopa bezrobocia i pracujący na 1000 ludności oraz podmioty gospodarcze na 1000 ludności w wieku produkcyjnym</w:t>
        </w:r>
        <w:r w:rsidR="00CB7D8F">
          <w:rPr>
            <w:noProof/>
            <w:webHidden/>
          </w:rPr>
          <w:tab/>
        </w:r>
        <w:r w:rsidR="00CB7D8F">
          <w:rPr>
            <w:noProof/>
            <w:webHidden/>
          </w:rPr>
          <w:fldChar w:fldCharType="begin"/>
        </w:r>
        <w:r w:rsidR="00CB7D8F">
          <w:rPr>
            <w:noProof/>
            <w:webHidden/>
          </w:rPr>
          <w:instrText xml:space="preserve"> PAGEREF _Toc81300549 \h </w:instrText>
        </w:r>
        <w:r w:rsidR="00CB7D8F">
          <w:rPr>
            <w:noProof/>
            <w:webHidden/>
          </w:rPr>
        </w:r>
        <w:r w:rsidR="00CB7D8F">
          <w:rPr>
            <w:noProof/>
            <w:webHidden/>
          </w:rPr>
          <w:fldChar w:fldCharType="separate"/>
        </w:r>
        <w:r w:rsidR="006C7815">
          <w:rPr>
            <w:noProof/>
            <w:webHidden/>
          </w:rPr>
          <w:t>79</w:t>
        </w:r>
        <w:r w:rsidR="00CB7D8F">
          <w:rPr>
            <w:noProof/>
            <w:webHidden/>
          </w:rPr>
          <w:fldChar w:fldCharType="end"/>
        </w:r>
      </w:hyperlink>
    </w:p>
    <w:p w14:paraId="289BD0A1" w14:textId="77777777" w:rsidR="00CB7D8F" w:rsidRDefault="00E2001F">
      <w:pPr>
        <w:pStyle w:val="Spisilustracji"/>
        <w:tabs>
          <w:tab w:val="right" w:leader="dot" w:pos="9060"/>
        </w:tabs>
        <w:rPr>
          <w:rFonts w:eastAsiaTheme="minorEastAsia"/>
          <w:i w:val="0"/>
          <w:noProof/>
          <w:sz w:val="22"/>
          <w:lang w:eastAsia="pl-PL"/>
        </w:rPr>
      </w:pPr>
      <w:hyperlink w:anchor="_Toc81300550" w:history="1">
        <w:r w:rsidR="00CB7D8F" w:rsidRPr="00B40D70">
          <w:rPr>
            <w:rStyle w:val="Hipercze"/>
            <w:noProof/>
          </w:rPr>
          <w:t>Tabela 24 Miejsca noclegowe na 1000 ludności oraz udzielone noclegi na 1000 ludności</w:t>
        </w:r>
        <w:r w:rsidR="00CB7D8F">
          <w:rPr>
            <w:noProof/>
            <w:webHidden/>
          </w:rPr>
          <w:tab/>
        </w:r>
        <w:r w:rsidR="00CB7D8F">
          <w:rPr>
            <w:noProof/>
            <w:webHidden/>
          </w:rPr>
          <w:fldChar w:fldCharType="begin"/>
        </w:r>
        <w:r w:rsidR="00CB7D8F">
          <w:rPr>
            <w:noProof/>
            <w:webHidden/>
          </w:rPr>
          <w:instrText xml:space="preserve"> PAGEREF _Toc81300550 \h </w:instrText>
        </w:r>
        <w:r w:rsidR="00CB7D8F">
          <w:rPr>
            <w:noProof/>
            <w:webHidden/>
          </w:rPr>
        </w:r>
        <w:r w:rsidR="00CB7D8F">
          <w:rPr>
            <w:noProof/>
            <w:webHidden/>
          </w:rPr>
          <w:fldChar w:fldCharType="separate"/>
        </w:r>
        <w:r w:rsidR="006C7815">
          <w:rPr>
            <w:noProof/>
            <w:webHidden/>
          </w:rPr>
          <w:t>80</w:t>
        </w:r>
        <w:r w:rsidR="00CB7D8F">
          <w:rPr>
            <w:noProof/>
            <w:webHidden/>
          </w:rPr>
          <w:fldChar w:fldCharType="end"/>
        </w:r>
      </w:hyperlink>
    </w:p>
    <w:p w14:paraId="7C9F8348" w14:textId="77777777" w:rsidR="00CB7D8F" w:rsidRDefault="00E2001F">
      <w:pPr>
        <w:pStyle w:val="Spisilustracji"/>
        <w:tabs>
          <w:tab w:val="right" w:leader="dot" w:pos="9060"/>
        </w:tabs>
        <w:rPr>
          <w:rFonts w:eastAsiaTheme="minorEastAsia"/>
          <w:i w:val="0"/>
          <w:noProof/>
          <w:sz w:val="22"/>
          <w:lang w:eastAsia="pl-PL"/>
        </w:rPr>
      </w:pPr>
      <w:hyperlink w:anchor="_Toc81300551" w:history="1">
        <w:r w:rsidR="00CB7D8F" w:rsidRPr="00B40D70">
          <w:rPr>
            <w:rStyle w:val="Hipercze"/>
            <w:noProof/>
          </w:rPr>
          <w:t>Tabela 25 Udział ludności korzystający z instalacji</w:t>
        </w:r>
        <w:r w:rsidR="00CB7D8F">
          <w:rPr>
            <w:noProof/>
            <w:webHidden/>
          </w:rPr>
          <w:tab/>
        </w:r>
        <w:r w:rsidR="00CB7D8F">
          <w:rPr>
            <w:noProof/>
            <w:webHidden/>
          </w:rPr>
          <w:fldChar w:fldCharType="begin"/>
        </w:r>
        <w:r w:rsidR="00CB7D8F">
          <w:rPr>
            <w:noProof/>
            <w:webHidden/>
          </w:rPr>
          <w:instrText xml:space="preserve"> PAGEREF _Toc81300551 \h </w:instrText>
        </w:r>
        <w:r w:rsidR="00CB7D8F">
          <w:rPr>
            <w:noProof/>
            <w:webHidden/>
          </w:rPr>
        </w:r>
        <w:r w:rsidR="00CB7D8F">
          <w:rPr>
            <w:noProof/>
            <w:webHidden/>
          </w:rPr>
          <w:fldChar w:fldCharType="separate"/>
        </w:r>
        <w:r w:rsidR="006C7815">
          <w:rPr>
            <w:noProof/>
            <w:webHidden/>
          </w:rPr>
          <w:t>82</w:t>
        </w:r>
        <w:r w:rsidR="00CB7D8F">
          <w:rPr>
            <w:noProof/>
            <w:webHidden/>
          </w:rPr>
          <w:fldChar w:fldCharType="end"/>
        </w:r>
      </w:hyperlink>
    </w:p>
    <w:p w14:paraId="0E7C5659" w14:textId="77777777" w:rsidR="00CB7D8F" w:rsidRDefault="00E2001F">
      <w:pPr>
        <w:pStyle w:val="Spisilustracji"/>
        <w:tabs>
          <w:tab w:val="right" w:leader="dot" w:pos="9060"/>
        </w:tabs>
        <w:rPr>
          <w:rFonts w:eastAsiaTheme="minorEastAsia"/>
          <w:i w:val="0"/>
          <w:noProof/>
          <w:sz w:val="22"/>
          <w:lang w:eastAsia="pl-PL"/>
        </w:rPr>
      </w:pPr>
      <w:hyperlink w:anchor="_Toc81300552" w:history="1">
        <w:r w:rsidR="00CB7D8F" w:rsidRPr="00B40D70">
          <w:rPr>
            <w:rStyle w:val="Hipercze"/>
            <w:noProof/>
          </w:rPr>
          <w:t>Tabela 26</w:t>
        </w:r>
        <w:r w:rsidR="00CB7D8F" w:rsidRPr="00B40D70">
          <w:rPr>
            <w:rStyle w:val="Hipercze"/>
            <w:rFonts w:cstheme="majorHAnsi"/>
            <w:noProof/>
          </w:rPr>
          <w:t xml:space="preserve"> Ranking badanych powiatów</w:t>
        </w:r>
        <w:r w:rsidR="00CB7D8F">
          <w:rPr>
            <w:noProof/>
            <w:webHidden/>
          </w:rPr>
          <w:tab/>
        </w:r>
        <w:r w:rsidR="00CB7D8F">
          <w:rPr>
            <w:noProof/>
            <w:webHidden/>
          </w:rPr>
          <w:fldChar w:fldCharType="begin"/>
        </w:r>
        <w:r w:rsidR="00CB7D8F">
          <w:rPr>
            <w:noProof/>
            <w:webHidden/>
          </w:rPr>
          <w:instrText xml:space="preserve"> PAGEREF _Toc81300552 \h </w:instrText>
        </w:r>
        <w:r w:rsidR="00CB7D8F">
          <w:rPr>
            <w:noProof/>
            <w:webHidden/>
          </w:rPr>
        </w:r>
        <w:r w:rsidR="00CB7D8F">
          <w:rPr>
            <w:noProof/>
            <w:webHidden/>
          </w:rPr>
          <w:fldChar w:fldCharType="separate"/>
        </w:r>
        <w:r w:rsidR="006C7815">
          <w:rPr>
            <w:noProof/>
            <w:webHidden/>
          </w:rPr>
          <w:t>83</w:t>
        </w:r>
        <w:r w:rsidR="00CB7D8F">
          <w:rPr>
            <w:noProof/>
            <w:webHidden/>
          </w:rPr>
          <w:fldChar w:fldCharType="end"/>
        </w:r>
      </w:hyperlink>
    </w:p>
    <w:p w14:paraId="53094B1B" w14:textId="77777777" w:rsidR="00CB7D8F" w:rsidRDefault="00E2001F">
      <w:pPr>
        <w:pStyle w:val="Spisilustracji"/>
        <w:tabs>
          <w:tab w:val="right" w:leader="dot" w:pos="9060"/>
        </w:tabs>
        <w:rPr>
          <w:rFonts w:eastAsiaTheme="minorEastAsia"/>
          <w:i w:val="0"/>
          <w:noProof/>
          <w:sz w:val="22"/>
          <w:lang w:eastAsia="pl-PL"/>
        </w:rPr>
      </w:pPr>
      <w:hyperlink w:anchor="_Toc81300553" w:history="1">
        <w:r w:rsidR="00CB7D8F" w:rsidRPr="00B40D70">
          <w:rPr>
            <w:rStyle w:val="Hipercze"/>
            <w:noProof/>
          </w:rPr>
          <w:t>Tabela 27 Średnie liczba punktów dla powiatów zgodnie z analizowanymi sferami</w:t>
        </w:r>
        <w:r w:rsidR="00CB7D8F">
          <w:rPr>
            <w:noProof/>
            <w:webHidden/>
          </w:rPr>
          <w:tab/>
        </w:r>
        <w:r w:rsidR="00CB7D8F">
          <w:rPr>
            <w:noProof/>
            <w:webHidden/>
          </w:rPr>
          <w:fldChar w:fldCharType="begin"/>
        </w:r>
        <w:r w:rsidR="00CB7D8F">
          <w:rPr>
            <w:noProof/>
            <w:webHidden/>
          </w:rPr>
          <w:instrText xml:space="preserve"> PAGEREF _Toc81300553 \h </w:instrText>
        </w:r>
        <w:r w:rsidR="00CB7D8F">
          <w:rPr>
            <w:noProof/>
            <w:webHidden/>
          </w:rPr>
        </w:r>
        <w:r w:rsidR="00CB7D8F">
          <w:rPr>
            <w:noProof/>
            <w:webHidden/>
          </w:rPr>
          <w:fldChar w:fldCharType="separate"/>
        </w:r>
        <w:r w:rsidR="006C7815">
          <w:rPr>
            <w:noProof/>
            <w:webHidden/>
          </w:rPr>
          <w:t>84</w:t>
        </w:r>
        <w:r w:rsidR="00CB7D8F">
          <w:rPr>
            <w:noProof/>
            <w:webHidden/>
          </w:rPr>
          <w:fldChar w:fldCharType="end"/>
        </w:r>
      </w:hyperlink>
    </w:p>
    <w:p w14:paraId="26931C2F" w14:textId="77777777" w:rsidR="00CB7D8F" w:rsidRDefault="00E2001F">
      <w:pPr>
        <w:pStyle w:val="Spisilustracji"/>
        <w:tabs>
          <w:tab w:val="right" w:leader="dot" w:pos="9060"/>
        </w:tabs>
        <w:rPr>
          <w:rFonts w:eastAsiaTheme="minorEastAsia"/>
          <w:i w:val="0"/>
          <w:noProof/>
          <w:sz w:val="22"/>
          <w:lang w:eastAsia="pl-PL"/>
        </w:rPr>
      </w:pPr>
      <w:hyperlink w:anchor="_Toc81300554" w:history="1">
        <w:r w:rsidR="00CB7D8F" w:rsidRPr="00B40D70">
          <w:rPr>
            <w:rStyle w:val="Hipercze"/>
            <w:rFonts w:asciiTheme="majorHAnsi" w:hAnsiTheme="majorHAnsi" w:cstheme="majorHAnsi"/>
            <w:noProof/>
          </w:rPr>
          <w:t>Tabela 28 Analiza SWOT Obszaru Funkcjonalnego Południowe Mazury</w:t>
        </w:r>
        <w:r w:rsidR="00CB7D8F">
          <w:rPr>
            <w:noProof/>
            <w:webHidden/>
          </w:rPr>
          <w:tab/>
        </w:r>
        <w:r w:rsidR="00CB7D8F">
          <w:rPr>
            <w:noProof/>
            <w:webHidden/>
          </w:rPr>
          <w:fldChar w:fldCharType="begin"/>
        </w:r>
        <w:r w:rsidR="00CB7D8F">
          <w:rPr>
            <w:noProof/>
            <w:webHidden/>
          </w:rPr>
          <w:instrText xml:space="preserve"> PAGEREF _Toc81300554 \h </w:instrText>
        </w:r>
        <w:r w:rsidR="00CB7D8F">
          <w:rPr>
            <w:noProof/>
            <w:webHidden/>
          </w:rPr>
        </w:r>
        <w:r w:rsidR="00CB7D8F">
          <w:rPr>
            <w:noProof/>
            <w:webHidden/>
          </w:rPr>
          <w:fldChar w:fldCharType="separate"/>
        </w:r>
        <w:r w:rsidR="006C7815">
          <w:rPr>
            <w:noProof/>
            <w:webHidden/>
          </w:rPr>
          <w:t>85</w:t>
        </w:r>
        <w:r w:rsidR="00CB7D8F">
          <w:rPr>
            <w:noProof/>
            <w:webHidden/>
          </w:rPr>
          <w:fldChar w:fldCharType="end"/>
        </w:r>
      </w:hyperlink>
    </w:p>
    <w:p w14:paraId="74ACF496" w14:textId="77777777" w:rsidR="00CB7D8F" w:rsidRDefault="00E2001F">
      <w:pPr>
        <w:pStyle w:val="Spisilustracji"/>
        <w:tabs>
          <w:tab w:val="right" w:leader="dot" w:pos="9060"/>
        </w:tabs>
        <w:rPr>
          <w:rFonts w:eastAsiaTheme="minorEastAsia"/>
          <w:i w:val="0"/>
          <w:noProof/>
          <w:sz w:val="22"/>
          <w:lang w:eastAsia="pl-PL"/>
        </w:rPr>
      </w:pPr>
      <w:hyperlink w:anchor="_Toc81300555" w:history="1">
        <w:r w:rsidR="00CB7D8F" w:rsidRPr="00B40D70">
          <w:rPr>
            <w:rStyle w:val="Hipercze"/>
            <w:noProof/>
          </w:rPr>
          <w:t>Tabela 29 System monitorowania realizacji strategii w podziale na cele strategiczne</w:t>
        </w:r>
        <w:r w:rsidR="00CB7D8F">
          <w:rPr>
            <w:noProof/>
            <w:webHidden/>
          </w:rPr>
          <w:tab/>
        </w:r>
        <w:r w:rsidR="00CB7D8F">
          <w:rPr>
            <w:noProof/>
            <w:webHidden/>
          </w:rPr>
          <w:fldChar w:fldCharType="begin"/>
        </w:r>
        <w:r w:rsidR="00CB7D8F">
          <w:rPr>
            <w:noProof/>
            <w:webHidden/>
          </w:rPr>
          <w:instrText xml:space="preserve"> PAGEREF _Toc81300555 \h </w:instrText>
        </w:r>
        <w:r w:rsidR="00CB7D8F">
          <w:rPr>
            <w:noProof/>
            <w:webHidden/>
          </w:rPr>
        </w:r>
        <w:r w:rsidR="00CB7D8F">
          <w:rPr>
            <w:noProof/>
            <w:webHidden/>
          </w:rPr>
          <w:fldChar w:fldCharType="separate"/>
        </w:r>
        <w:r w:rsidR="006C7815">
          <w:rPr>
            <w:noProof/>
            <w:webHidden/>
          </w:rPr>
          <w:t>105</w:t>
        </w:r>
        <w:r w:rsidR="00CB7D8F">
          <w:rPr>
            <w:noProof/>
            <w:webHidden/>
          </w:rPr>
          <w:fldChar w:fldCharType="end"/>
        </w:r>
      </w:hyperlink>
    </w:p>
    <w:p w14:paraId="17BFEA5A" w14:textId="7E7B7C38" w:rsidR="00575FF9" w:rsidRDefault="00575FF9" w:rsidP="00575FF9">
      <w:pPr>
        <w:rPr>
          <w:i/>
          <w:sz w:val="18"/>
        </w:rPr>
      </w:pPr>
      <w:r>
        <w:rPr>
          <w:i/>
          <w:sz w:val="18"/>
        </w:rPr>
        <w:fldChar w:fldCharType="end"/>
      </w:r>
    </w:p>
    <w:p w14:paraId="7E7F76DC" w14:textId="77777777" w:rsidR="00D6345E" w:rsidRDefault="001676E7">
      <w:pPr>
        <w:pStyle w:val="Spisilustracji"/>
        <w:tabs>
          <w:tab w:val="right" w:leader="dot" w:pos="9060"/>
        </w:tabs>
        <w:rPr>
          <w:rFonts w:eastAsiaTheme="minorEastAsia"/>
          <w:i w:val="0"/>
          <w:noProof/>
          <w:sz w:val="22"/>
          <w:lang w:eastAsia="pl-PL"/>
        </w:rPr>
      </w:pPr>
      <w:r>
        <w:fldChar w:fldCharType="begin"/>
      </w:r>
      <w:r>
        <w:instrText xml:space="preserve"> TOC \h \z \c "Wykres" </w:instrText>
      </w:r>
      <w:r>
        <w:fldChar w:fldCharType="separate"/>
      </w:r>
      <w:hyperlink w:anchor="_Toc81301619" w:history="1">
        <w:r w:rsidR="00D6345E" w:rsidRPr="00574CFC">
          <w:rPr>
            <w:rStyle w:val="Hipercze"/>
            <w:noProof/>
          </w:rPr>
          <w:t>Wykres 1 Udział badanych z poszczególnych powiatów</w:t>
        </w:r>
        <w:r w:rsidR="00D6345E">
          <w:rPr>
            <w:noProof/>
            <w:webHidden/>
          </w:rPr>
          <w:tab/>
        </w:r>
        <w:r w:rsidR="00D6345E">
          <w:rPr>
            <w:noProof/>
            <w:webHidden/>
          </w:rPr>
          <w:fldChar w:fldCharType="begin"/>
        </w:r>
        <w:r w:rsidR="00D6345E">
          <w:rPr>
            <w:noProof/>
            <w:webHidden/>
          </w:rPr>
          <w:instrText xml:space="preserve"> PAGEREF _Toc81301619 \h </w:instrText>
        </w:r>
        <w:r w:rsidR="00D6345E">
          <w:rPr>
            <w:noProof/>
            <w:webHidden/>
          </w:rPr>
        </w:r>
        <w:r w:rsidR="00D6345E">
          <w:rPr>
            <w:noProof/>
            <w:webHidden/>
          </w:rPr>
          <w:fldChar w:fldCharType="separate"/>
        </w:r>
        <w:r w:rsidR="006C7815">
          <w:rPr>
            <w:noProof/>
            <w:webHidden/>
          </w:rPr>
          <w:t>107</w:t>
        </w:r>
        <w:r w:rsidR="00D6345E">
          <w:rPr>
            <w:noProof/>
            <w:webHidden/>
          </w:rPr>
          <w:fldChar w:fldCharType="end"/>
        </w:r>
      </w:hyperlink>
    </w:p>
    <w:p w14:paraId="7AFFDC31" w14:textId="77777777" w:rsidR="00D6345E" w:rsidRDefault="00E2001F">
      <w:pPr>
        <w:pStyle w:val="Spisilustracji"/>
        <w:tabs>
          <w:tab w:val="right" w:leader="dot" w:pos="9060"/>
        </w:tabs>
        <w:rPr>
          <w:rFonts w:eastAsiaTheme="minorEastAsia"/>
          <w:i w:val="0"/>
          <w:noProof/>
          <w:sz w:val="22"/>
          <w:lang w:eastAsia="pl-PL"/>
        </w:rPr>
      </w:pPr>
      <w:hyperlink w:anchor="_Toc81301620" w:history="1">
        <w:r w:rsidR="00D6345E" w:rsidRPr="00574CFC">
          <w:rPr>
            <w:rStyle w:val="Hipercze"/>
            <w:noProof/>
          </w:rPr>
          <w:t>Wykres 2 Płeć badanych</w:t>
        </w:r>
        <w:r w:rsidR="00D6345E">
          <w:rPr>
            <w:noProof/>
            <w:webHidden/>
          </w:rPr>
          <w:tab/>
        </w:r>
        <w:r w:rsidR="00D6345E">
          <w:rPr>
            <w:noProof/>
            <w:webHidden/>
          </w:rPr>
          <w:fldChar w:fldCharType="begin"/>
        </w:r>
        <w:r w:rsidR="00D6345E">
          <w:rPr>
            <w:noProof/>
            <w:webHidden/>
          </w:rPr>
          <w:instrText xml:space="preserve"> PAGEREF _Toc81301620 \h </w:instrText>
        </w:r>
        <w:r w:rsidR="00D6345E">
          <w:rPr>
            <w:noProof/>
            <w:webHidden/>
          </w:rPr>
        </w:r>
        <w:r w:rsidR="00D6345E">
          <w:rPr>
            <w:noProof/>
            <w:webHidden/>
          </w:rPr>
          <w:fldChar w:fldCharType="separate"/>
        </w:r>
        <w:r w:rsidR="006C7815">
          <w:rPr>
            <w:noProof/>
            <w:webHidden/>
          </w:rPr>
          <w:t>107</w:t>
        </w:r>
        <w:r w:rsidR="00D6345E">
          <w:rPr>
            <w:noProof/>
            <w:webHidden/>
          </w:rPr>
          <w:fldChar w:fldCharType="end"/>
        </w:r>
      </w:hyperlink>
    </w:p>
    <w:p w14:paraId="44AF30D2" w14:textId="77777777" w:rsidR="00D6345E" w:rsidRDefault="00E2001F">
      <w:pPr>
        <w:pStyle w:val="Spisilustracji"/>
        <w:tabs>
          <w:tab w:val="right" w:leader="dot" w:pos="9060"/>
        </w:tabs>
        <w:rPr>
          <w:rFonts w:eastAsiaTheme="minorEastAsia"/>
          <w:i w:val="0"/>
          <w:noProof/>
          <w:sz w:val="22"/>
          <w:lang w:eastAsia="pl-PL"/>
        </w:rPr>
      </w:pPr>
      <w:hyperlink w:anchor="_Toc81301621" w:history="1">
        <w:r w:rsidR="00D6345E" w:rsidRPr="00574CFC">
          <w:rPr>
            <w:rStyle w:val="Hipercze"/>
            <w:noProof/>
          </w:rPr>
          <w:t>Wykres 3 Wykształcenie badanych</w:t>
        </w:r>
        <w:r w:rsidR="00D6345E">
          <w:rPr>
            <w:noProof/>
            <w:webHidden/>
          </w:rPr>
          <w:tab/>
        </w:r>
        <w:r w:rsidR="00D6345E">
          <w:rPr>
            <w:noProof/>
            <w:webHidden/>
          </w:rPr>
          <w:fldChar w:fldCharType="begin"/>
        </w:r>
        <w:r w:rsidR="00D6345E">
          <w:rPr>
            <w:noProof/>
            <w:webHidden/>
          </w:rPr>
          <w:instrText xml:space="preserve"> PAGEREF _Toc81301621 \h </w:instrText>
        </w:r>
        <w:r w:rsidR="00D6345E">
          <w:rPr>
            <w:noProof/>
            <w:webHidden/>
          </w:rPr>
        </w:r>
        <w:r w:rsidR="00D6345E">
          <w:rPr>
            <w:noProof/>
            <w:webHidden/>
          </w:rPr>
          <w:fldChar w:fldCharType="separate"/>
        </w:r>
        <w:r w:rsidR="006C7815">
          <w:rPr>
            <w:noProof/>
            <w:webHidden/>
          </w:rPr>
          <w:t>108</w:t>
        </w:r>
        <w:r w:rsidR="00D6345E">
          <w:rPr>
            <w:noProof/>
            <w:webHidden/>
          </w:rPr>
          <w:fldChar w:fldCharType="end"/>
        </w:r>
      </w:hyperlink>
    </w:p>
    <w:p w14:paraId="0FF0CD39" w14:textId="77777777" w:rsidR="00D6345E" w:rsidRDefault="00E2001F">
      <w:pPr>
        <w:pStyle w:val="Spisilustracji"/>
        <w:tabs>
          <w:tab w:val="right" w:leader="dot" w:pos="9060"/>
        </w:tabs>
        <w:rPr>
          <w:rFonts w:eastAsiaTheme="minorEastAsia"/>
          <w:i w:val="0"/>
          <w:noProof/>
          <w:sz w:val="22"/>
          <w:lang w:eastAsia="pl-PL"/>
        </w:rPr>
      </w:pPr>
      <w:hyperlink w:anchor="_Toc81301622" w:history="1">
        <w:r w:rsidR="00D6345E" w:rsidRPr="00574CFC">
          <w:rPr>
            <w:rStyle w:val="Hipercze"/>
            <w:noProof/>
          </w:rPr>
          <w:t>Wykres 4 Wiek respondentów</w:t>
        </w:r>
        <w:r w:rsidR="00D6345E">
          <w:rPr>
            <w:noProof/>
            <w:webHidden/>
          </w:rPr>
          <w:tab/>
        </w:r>
        <w:r w:rsidR="00D6345E">
          <w:rPr>
            <w:noProof/>
            <w:webHidden/>
          </w:rPr>
          <w:fldChar w:fldCharType="begin"/>
        </w:r>
        <w:r w:rsidR="00D6345E">
          <w:rPr>
            <w:noProof/>
            <w:webHidden/>
          </w:rPr>
          <w:instrText xml:space="preserve"> PAGEREF _Toc81301622 \h </w:instrText>
        </w:r>
        <w:r w:rsidR="00D6345E">
          <w:rPr>
            <w:noProof/>
            <w:webHidden/>
          </w:rPr>
        </w:r>
        <w:r w:rsidR="00D6345E">
          <w:rPr>
            <w:noProof/>
            <w:webHidden/>
          </w:rPr>
          <w:fldChar w:fldCharType="separate"/>
        </w:r>
        <w:r w:rsidR="006C7815">
          <w:rPr>
            <w:noProof/>
            <w:webHidden/>
          </w:rPr>
          <w:t>108</w:t>
        </w:r>
        <w:r w:rsidR="00D6345E">
          <w:rPr>
            <w:noProof/>
            <w:webHidden/>
          </w:rPr>
          <w:fldChar w:fldCharType="end"/>
        </w:r>
      </w:hyperlink>
    </w:p>
    <w:p w14:paraId="23FDAA86" w14:textId="77777777" w:rsidR="00D6345E" w:rsidRDefault="00E2001F">
      <w:pPr>
        <w:pStyle w:val="Spisilustracji"/>
        <w:tabs>
          <w:tab w:val="right" w:leader="dot" w:pos="9060"/>
        </w:tabs>
        <w:rPr>
          <w:rFonts w:eastAsiaTheme="minorEastAsia"/>
          <w:i w:val="0"/>
          <w:noProof/>
          <w:sz w:val="22"/>
          <w:lang w:eastAsia="pl-PL"/>
        </w:rPr>
      </w:pPr>
      <w:hyperlink w:anchor="_Toc81301623" w:history="1">
        <w:r w:rsidR="00D6345E" w:rsidRPr="00574CFC">
          <w:rPr>
            <w:rStyle w:val="Hipercze"/>
            <w:noProof/>
          </w:rPr>
          <w:t>Wykres 5 Ocena jakości życia w powiecie.</w:t>
        </w:r>
        <w:r w:rsidR="00D6345E">
          <w:rPr>
            <w:noProof/>
            <w:webHidden/>
          </w:rPr>
          <w:tab/>
        </w:r>
        <w:r w:rsidR="00D6345E">
          <w:rPr>
            <w:noProof/>
            <w:webHidden/>
          </w:rPr>
          <w:fldChar w:fldCharType="begin"/>
        </w:r>
        <w:r w:rsidR="00D6345E">
          <w:rPr>
            <w:noProof/>
            <w:webHidden/>
          </w:rPr>
          <w:instrText xml:space="preserve"> PAGEREF _Toc81301623 \h </w:instrText>
        </w:r>
        <w:r w:rsidR="00D6345E">
          <w:rPr>
            <w:noProof/>
            <w:webHidden/>
          </w:rPr>
        </w:r>
        <w:r w:rsidR="00D6345E">
          <w:rPr>
            <w:noProof/>
            <w:webHidden/>
          </w:rPr>
          <w:fldChar w:fldCharType="separate"/>
        </w:r>
        <w:r w:rsidR="006C7815">
          <w:rPr>
            <w:noProof/>
            <w:webHidden/>
          </w:rPr>
          <w:t>109</w:t>
        </w:r>
        <w:r w:rsidR="00D6345E">
          <w:rPr>
            <w:noProof/>
            <w:webHidden/>
          </w:rPr>
          <w:fldChar w:fldCharType="end"/>
        </w:r>
      </w:hyperlink>
    </w:p>
    <w:p w14:paraId="55838D9A" w14:textId="77777777" w:rsidR="00D6345E" w:rsidRDefault="00E2001F">
      <w:pPr>
        <w:pStyle w:val="Spisilustracji"/>
        <w:tabs>
          <w:tab w:val="right" w:leader="dot" w:pos="9060"/>
        </w:tabs>
        <w:rPr>
          <w:rFonts w:eastAsiaTheme="minorEastAsia"/>
          <w:i w:val="0"/>
          <w:noProof/>
          <w:sz w:val="22"/>
          <w:lang w:eastAsia="pl-PL"/>
        </w:rPr>
      </w:pPr>
      <w:hyperlink w:anchor="_Toc81301624" w:history="1">
        <w:r w:rsidR="00D6345E" w:rsidRPr="00574CFC">
          <w:rPr>
            <w:rStyle w:val="Hipercze"/>
            <w:noProof/>
          </w:rPr>
          <w:t>Wykres 6 Ocena jakości życia w miejscowości</w:t>
        </w:r>
        <w:r w:rsidR="00D6345E">
          <w:rPr>
            <w:noProof/>
            <w:webHidden/>
          </w:rPr>
          <w:tab/>
        </w:r>
        <w:r w:rsidR="00D6345E">
          <w:rPr>
            <w:noProof/>
            <w:webHidden/>
          </w:rPr>
          <w:fldChar w:fldCharType="begin"/>
        </w:r>
        <w:r w:rsidR="00D6345E">
          <w:rPr>
            <w:noProof/>
            <w:webHidden/>
          </w:rPr>
          <w:instrText xml:space="preserve"> PAGEREF _Toc81301624 \h </w:instrText>
        </w:r>
        <w:r w:rsidR="00D6345E">
          <w:rPr>
            <w:noProof/>
            <w:webHidden/>
          </w:rPr>
        </w:r>
        <w:r w:rsidR="00D6345E">
          <w:rPr>
            <w:noProof/>
            <w:webHidden/>
          </w:rPr>
          <w:fldChar w:fldCharType="separate"/>
        </w:r>
        <w:r w:rsidR="006C7815">
          <w:rPr>
            <w:noProof/>
            <w:webHidden/>
          </w:rPr>
          <w:t>109</w:t>
        </w:r>
        <w:r w:rsidR="00D6345E">
          <w:rPr>
            <w:noProof/>
            <w:webHidden/>
          </w:rPr>
          <w:fldChar w:fldCharType="end"/>
        </w:r>
      </w:hyperlink>
    </w:p>
    <w:p w14:paraId="32DC2C41" w14:textId="77777777" w:rsidR="00D6345E" w:rsidRDefault="00E2001F">
      <w:pPr>
        <w:pStyle w:val="Spisilustracji"/>
        <w:tabs>
          <w:tab w:val="right" w:leader="dot" w:pos="9060"/>
        </w:tabs>
        <w:rPr>
          <w:rFonts w:eastAsiaTheme="minorEastAsia"/>
          <w:i w:val="0"/>
          <w:noProof/>
          <w:sz w:val="22"/>
          <w:lang w:eastAsia="pl-PL"/>
        </w:rPr>
      </w:pPr>
      <w:hyperlink w:anchor="_Toc81301625" w:history="1">
        <w:r w:rsidR="00D6345E" w:rsidRPr="00574CFC">
          <w:rPr>
            <w:rStyle w:val="Hipercze"/>
            <w:noProof/>
          </w:rPr>
          <w:t>Wykres 7 Ocena elementów infrastruktury oraz oferty dostępnej na terenie zamieszkiwanym</w:t>
        </w:r>
        <w:r w:rsidR="00D6345E">
          <w:rPr>
            <w:noProof/>
            <w:webHidden/>
          </w:rPr>
          <w:tab/>
        </w:r>
        <w:r w:rsidR="00D6345E">
          <w:rPr>
            <w:noProof/>
            <w:webHidden/>
          </w:rPr>
          <w:fldChar w:fldCharType="begin"/>
        </w:r>
        <w:r w:rsidR="00D6345E">
          <w:rPr>
            <w:noProof/>
            <w:webHidden/>
          </w:rPr>
          <w:instrText xml:space="preserve"> PAGEREF _Toc81301625 \h </w:instrText>
        </w:r>
        <w:r w:rsidR="00D6345E">
          <w:rPr>
            <w:noProof/>
            <w:webHidden/>
          </w:rPr>
        </w:r>
        <w:r w:rsidR="00D6345E">
          <w:rPr>
            <w:noProof/>
            <w:webHidden/>
          </w:rPr>
          <w:fldChar w:fldCharType="separate"/>
        </w:r>
        <w:r w:rsidR="006C7815">
          <w:rPr>
            <w:noProof/>
            <w:webHidden/>
          </w:rPr>
          <w:t>111</w:t>
        </w:r>
        <w:r w:rsidR="00D6345E">
          <w:rPr>
            <w:noProof/>
            <w:webHidden/>
          </w:rPr>
          <w:fldChar w:fldCharType="end"/>
        </w:r>
      </w:hyperlink>
    </w:p>
    <w:p w14:paraId="439A9540" w14:textId="77777777" w:rsidR="00D6345E" w:rsidRDefault="00E2001F">
      <w:pPr>
        <w:pStyle w:val="Spisilustracji"/>
        <w:tabs>
          <w:tab w:val="right" w:leader="dot" w:pos="9060"/>
        </w:tabs>
        <w:rPr>
          <w:rFonts w:eastAsiaTheme="minorEastAsia"/>
          <w:i w:val="0"/>
          <w:noProof/>
          <w:sz w:val="22"/>
          <w:lang w:eastAsia="pl-PL"/>
        </w:rPr>
      </w:pPr>
      <w:hyperlink w:anchor="_Toc81301626" w:history="1">
        <w:r w:rsidR="00D6345E" w:rsidRPr="00574CFC">
          <w:rPr>
            <w:rStyle w:val="Hipercze"/>
            <w:noProof/>
          </w:rPr>
          <w:t>Wykres 8 Ocena elementów infrastruktury oraz oferty dostępnej na terenie zamieszkiwanym - powiat szczycieński</w:t>
        </w:r>
        <w:r w:rsidR="00D6345E">
          <w:rPr>
            <w:noProof/>
            <w:webHidden/>
          </w:rPr>
          <w:tab/>
        </w:r>
        <w:r w:rsidR="00D6345E">
          <w:rPr>
            <w:noProof/>
            <w:webHidden/>
          </w:rPr>
          <w:fldChar w:fldCharType="begin"/>
        </w:r>
        <w:r w:rsidR="00D6345E">
          <w:rPr>
            <w:noProof/>
            <w:webHidden/>
          </w:rPr>
          <w:instrText xml:space="preserve"> PAGEREF _Toc81301626 \h </w:instrText>
        </w:r>
        <w:r w:rsidR="00D6345E">
          <w:rPr>
            <w:noProof/>
            <w:webHidden/>
          </w:rPr>
        </w:r>
        <w:r w:rsidR="00D6345E">
          <w:rPr>
            <w:noProof/>
            <w:webHidden/>
          </w:rPr>
          <w:fldChar w:fldCharType="separate"/>
        </w:r>
        <w:r w:rsidR="006C7815">
          <w:rPr>
            <w:noProof/>
            <w:webHidden/>
          </w:rPr>
          <w:t>112</w:t>
        </w:r>
        <w:r w:rsidR="00D6345E">
          <w:rPr>
            <w:noProof/>
            <w:webHidden/>
          </w:rPr>
          <w:fldChar w:fldCharType="end"/>
        </w:r>
      </w:hyperlink>
    </w:p>
    <w:p w14:paraId="1C5C97B6" w14:textId="77777777" w:rsidR="00D6345E" w:rsidRDefault="00E2001F">
      <w:pPr>
        <w:pStyle w:val="Spisilustracji"/>
        <w:tabs>
          <w:tab w:val="right" w:leader="dot" w:pos="9060"/>
        </w:tabs>
        <w:rPr>
          <w:rFonts w:eastAsiaTheme="minorEastAsia"/>
          <w:i w:val="0"/>
          <w:noProof/>
          <w:sz w:val="22"/>
          <w:lang w:eastAsia="pl-PL"/>
        </w:rPr>
      </w:pPr>
      <w:hyperlink w:anchor="_Toc81301627" w:history="1">
        <w:r w:rsidR="00D6345E" w:rsidRPr="00574CFC">
          <w:rPr>
            <w:rStyle w:val="Hipercze"/>
            <w:noProof/>
          </w:rPr>
          <w:t>Wykres 9 Ocena elementów infrastruktury oraz oferty dostępnej na terenie zamieszkiwanym - powiat nidzicki</w:t>
        </w:r>
        <w:r w:rsidR="00D6345E">
          <w:rPr>
            <w:noProof/>
            <w:webHidden/>
          </w:rPr>
          <w:tab/>
        </w:r>
        <w:r w:rsidR="00D6345E">
          <w:rPr>
            <w:noProof/>
            <w:webHidden/>
          </w:rPr>
          <w:fldChar w:fldCharType="begin"/>
        </w:r>
        <w:r w:rsidR="00D6345E">
          <w:rPr>
            <w:noProof/>
            <w:webHidden/>
          </w:rPr>
          <w:instrText xml:space="preserve"> PAGEREF _Toc81301627 \h </w:instrText>
        </w:r>
        <w:r w:rsidR="00D6345E">
          <w:rPr>
            <w:noProof/>
            <w:webHidden/>
          </w:rPr>
        </w:r>
        <w:r w:rsidR="00D6345E">
          <w:rPr>
            <w:noProof/>
            <w:webHidden/>
          </w:rPr>
          <w:fldChar w:fldCharType="separate"/>
        </w:r>
        <w:r w:rsidR="006C7815">
          <w:rPr>
            <w:noProof/>
            <w:webHidden/>
          </w:rPr>
          <w:t>113</w:t>
        </w:r>
        <w:r w:rsidR="00D6345E">
          <w:rPr>
            <w:noProof/>
            <w:webHidden/>
          </w:rPr>
          <w:fldChar w:fldCharType="end"/>
        </w:r>
      </w:hyperlink>
    </w:p>
    <w:p w14:paraId="2734E454" w14:textId="77777777" w:rsidR="00D6345E" w:rsidRDefault="00E2001F">
      <w:pPr>
        <w:pStyle w:val="Spisilustracji"/>
        <w:tabs>
          <w:tab w:val="right" w:leader="dot" w:pos="9060"/>
        </w:tabs>
        <w:rPr>
          <w:rFonts w:eastAsiaTheme="minorEastAsia"/>
          <w:i w:val="0"/>
          <w:noProof/>
          <w:sz w:val="22"/>
          <w:lang w:eastAsia="pl-PL"/>
        </w:rPr>
      </w:pPr>
      <w:hyperlink w:anchor="_Toc81301628" w:history="1">
        <w:r w:rsidR="00D6345E" w:rsidRPr="00574CFC">
          <w:rPr>
            <w:rStyle w:val="Hipercze"/>
            <w:noProof/>
          </w:rPr>
          <w:t>Wykres 10 Ocena elementów infrastruktury oraz oferty dostępnej na terenie zamieszkiwanym - powiat piski</w:t>
        </w:r>
        <w:r w:rsidR="00D6345E">
          <w:rPr>
            <w:noProof/>
            <w:webHidden/>
          </w:rPr>
          <w:tab/>
        </w:r>
        <w:r w:rsidR="00D6345E">
          <w:rPr>
            <w:noProof/>
            <w:webHidden/>
          </w:rPr>
          <w:fldChar w:fldCharType="begin"/>
        </w:r>
        <w:r w:rsidR="00D6345E">
          <w:rPr>
            <w:noProof/>
            <w:webHidden/>
          </w:rPr>
          <w:instrText xml:space="preserve"> PAGEREF _Toc81301628 \h </w:instrText>
        </w:r>
        <w:r w:rsidR="00D6345E">
          <w:rPr>
            <w:noProof/>
            <w:webHidden/>
          </w:rPr>
        </w:r>
        <w:r w:rsidR="00D6345E">
          <w:rPr>
            <w:noProof/>
            <w:webHidden/>
          </w:rPr>
          <w:fldChar w:fldCharType="separate"/>
        </w:r>
        <w:r w:rsidR="006C7815">
          <w:rPr>
            <w:noProof/>
            <w:webHidden/>
          </w:rPr>
          <w:t>114</w:t>
        </w:r>
        <w:r w:rsidR="00D6345E">
          <w:rPr>
            <w:noProof/>
            <w:webHidden/>
          </w:rPr>
          <w:fldChar w:fldCharType="end"/>
        </w:r>
      </w:hyperlink>
    </w:p>
    <w:p w14:paraId="332841BC" w14:textId="77777777" w:rsidR="00D6345E" w:rsidRDefault="00E2001F">
      <w:pPr>
        <w:pStyle w:val="Spisilustracji"/>
        <w:tabs>
          <w:tab w:val="right" w:leader="dot" w:pos="9060"/>
        </w:tabs>
        <w:rPr>
          <w:rFonts w:eastAsiaTheme="minorEastAsia"/>
          <w:i w:val="0"/>
          <w:noProof/>
          <w:sz w:val="22"/>
          <w:lang w:eastAsia="pl-PL"/>
        </w:rPr>
      </w:pPr>
      <w:hyperlink w:anchor="_Toc81301629" w:history="1">
        <w:r w:rsidR="00D6345E" w:rsidRPr="00574CFC">
          <w:rPr>
            <w:rStyle w:val="Hipercze"/>
            <w:noProof/>
          </w:rPr>
          <w:t>Wykres 11 Ocena elementów infrastruktury oraz oferty dostępnej na terenie zamieszkiwanym - powiat działdowski</w:t>
        </w:r>
        <w:r w:rsidR="00D6345E">
          <w:rPr>
            <w:noProof/>
            <w:webHidden/>
          </w:rPr>
          <w:tab/>
        </w:r>
        <w:r w:rsidR="00D6345E">
          <w:rPr>
            <w:noProof/>
            <w:webHidden/>
          </w:rPr>
          <w:fldChar w:fldCharType="begin"/>
        </w:r>
        <w:r w:rsidR="00D6345E">
          <w:rPr>
            <w:noProof/>
            <w:webHidden/>
          </w:rPr>
          <w:instrText xml:space="preserve"> PAGEREF _Toc81301629 \h </w:instrText>
        </w:r>
        <w:r w:rsidR="00D6345E">
          <w:rPr>
            <w:noProof/>
            <w:webHidden/>
          </w:rPr>
        </w:r>
        <w:r w:rsidR="00D6345E">
          <w:rPr>
            <w:noProof/>
            <w:webHidden/>
          </w:rPr>
          <w:fldChar w:fldCharType="separate"/>
        </w:r>
        <w:r w:rsidR="006C7815">
          <w:rPr>
            <w:noProof/>
            <w:webHidden/>
          </w:rPr>
          <w:t>115</w:t>
        </w:r>
        <w:r w:rsidR="00D6345E">
          <w:rPr>
            <w:noProof/>
            <w:webHidden/>
          </w:rPr>
          <w:fldChar w:fldCharType="end"/>
        </w:r>
      </w:hyperlink>
    </w:p>
    <w:p w14:paraId="2A6E8D42" w14:textId="77777777" w:rsidR="00D6345E" w:rsidRDefault="00E2001F">
      <w:pPr>
        <w:pStyle w:val="Spisilustracji"/>
        <w:tabs>
          <w:tab w:val="right" w:leader="dot" w:pos="9060"/>
        </w:tabs>
        <w:rPr>
          <w:rFonts w:eastAsiaTheme="minorEastAsia"/>
          <w:i w:val="0"/>
          <w:noProof/>
          <w:sz w:val="22"/>
          <w:lang w:eastAsia="pl-PL"/>
        </w:rPr>
      </w:pPr>
      <w:hyperlink w:anchor="_Toc81301630" w:history="1">
        <w:r w:rsidR="00D6345E" w:rsidRPr="00574CFC">
          <w:rPr>
            <w:rStyle w:val="Hipercze"/>
            <w:noProof/>
          </w:rPr>
          <w:t>Wykres 12 Zalety, mocne strony, zamieszkiwanych powiatów</w:t>
        </w:r>
        <w:r w:rsidR="00D6345E">
          <w:rPr>
            <w:noProof/>
            <w:webHidden/>
          </w:rPr>
          <w:tab/>
        </w:r>
        <w:r w:rsidR="00D6345E">
          <w:rPr>
            <w:noProof/>
            <w:webHidden/>
          </w:rPr>
          <w:fldChar w:fldCharType="begin"/>
        </w:r>
        <w:r w:rsidR="00D6345E">
          <w:rPr>
            <w:noProof/>
            <w:webHidden/>
          </w:rPr>
          <w:instrText xml:space="preserve"> PAGEREF _Toc81301630 \h </w:instrText>
        </w:r>
        <w:r w:rsidR="00D6345E">
          <w:rPr>
            <w:noProof/>
            <w:webHidden/>
          </w:rPr>
        </w:r>
        <w:r w:rsidR="00D6345E">
          <w:rPr>
            <w:noProof/>
            <w:webHidden/>
          </w:rPr>
          <w:fldChar w:fldCharType="separate"/>
        </w:r>
        <w:r w:rsidR="006C7815">
          <w:rPr>
            <w:noProof/>
            <w:webHidden/>
          </w:rPr>
          <w:t>117</w:t>
        </w:r>
        <w:r w:rsidR="00D6345E">
          <w:rPr>
            <w:noProof/>
            <w:webHidden/>
          </w:rPr>
          <w:fldChar w:fldCharType="end"/>
        </w:r>
      </w:hyperlink>
    </w:p>
    <w:p w14:paraId="6E2DED26" w14:textId="77777777" w:rsidR="00D6345E" w:rsidRDefault="00E2001F">
      <w:pPr>
        <w:pStyle w:val="Spisilustracji"/>
        <w:tabs>
          <w:tab w:val="right" w:leader="dot" w:pos="9060"/>
        </w:tabs>
        <w:rPr>
          <w:rFonts w:eastAsiaTheme="minorEastAsia"/>
          <w:i w:val="0"/>
          <w:noProof/>
          <w:sz w:val="22"/>
          <w:lang w:eastAsia="pl-PL"/>
        </w:rPr>
      </w:pPr>
      <w:hyperlink w:anchor="_Toc81301631" w:history="1">
        <w:r w:rsidR="00D6345E" w:rsidRPr="00574CFC">
          <w:rPr>
            <w:rStyle w:val="Hipercze"/>
            <w:noProof/>
          </w:rPr>
          <w:t>Wykres 13 Najważniejsze wady, słabe strony zamieszkiwanego powiatu</w:t>
        </w:r>
        <w:r w:rsidR="00D6345E">
          <w:rPr>
            <w:noProof/>
            <w:webHidden/>
          </w:rPr>
          <w:tab/>
        </w:r>
        <w:r w:rsidR="00D6345E">
          <w:rPr>
            <w:noProof/>
            <w:webHidden/>
          </w:rPr>
          <w:fldChar w:fldCharType="begin"/>
        </w:r>
        <w:r w:rsidR="00D6345E">
          <w:rPr>
            <w:noProof/>
            <w:webHidden/>
          </w:rPr>
          <w:instrText xml:space="preserve"> PAGEREF _Toc81301631 \h </w:instrText>
        </w:r>
        <w:r w:rsidR="00D6345E">
          <w:rPr>
            <w:noProof/>
            <w:webHidden/>
          </w:rPr>
        </w:r>
        <w:r w:rsidR="00D6345E">
          <w:rPr>
            <w:noProof/>
            <w:webHidden/>
          </w:rPr>
          <w:fldChar w:fldCharType="separate"/>
        </w:r>
        <w:r w:rsidR="006C7815">
          <w:rPr>
            <w:noProof/>
            <w:webHidden/>
          </w:rPr>
          <w:t>118</w:t>
        </w:r>
        <w:r w:rsidR="00D6345E">
          <w:rPr>
            <w:noProof/>
            <w:webHidden/>
          </w:rPr>
          <w:fldChar w:fldCharType="end"/>
        </w:r>
      </w:hyperlink>
    </w:p>
    <w:p w14:paraId="72EFB247" w14:textId="77777777" w:rsidR="00D6345E" w:rsidRDefault="00E2001F">
      <w:pPr>
        <w:pStyle w:val="Spisilustracji"/>
        <w:tabs>
          <w:tab w:val="right" w:leader="dot" w:pos="9060"/>
        </w:tabs>
        <w:rPr>
          <w:rFonts w:eastAsiaTheme="minorEastAsia"/>
          <w:i w:val="0"/>
          <w:noProof/>
          <w:sz w:val="22"/>
          <w:lang w:eastAsia="pl-PL"/>
        </w:rPr>
      </w:pPr>
      <w:hyperlink w:anchor="_Toc81301632" w:history="1">
        <w:r w:rsidR="00D6345E" w:rsidRPr="00574CFC">
          <w:rPr>
            <w:rStyle w:val="Hipercze"/>
            <w:noProof/>
          </w:rPr>
          <w:t>Wykres 14 Elementy lub oferta, która wymaga interwencji w najbliższych latach</w:t>
        </w:r>
        <w:r w:rsidR="00D6345E">
          <w:rPr>
            <w:noProof/>
            <w:webHidden/>
          </w:rPr>
          <w:tab/>
        </w:r>
        <w:r w:rsidR="00D6345E">
          <w:rPr>
            <w:noProof/>
            <w:webHidden/>
          </w:rPr>
          <w:fldChar w:fldCharType="begin"/>
        </w:r>
        <w:r w:rsidR="00D6345E">
          <w:rPr>
            <w:noProof/>
            <w:webHidden/>
          </w:rPr>
          <w:instrText xml:space="preserve"> PAGEREF _Toc81301632 \h </w:instrText>
        </w:r>
        <w:r w:rsidR="00D6345E">
          <w:rPr>
            <w:noProof/>
            <w:webHidden/>
          </w:rPr>
        </w:r>
        <w:r w:rsidR="00D6345E">
          <w:rPr>
            <w:noProof/>
            <w:webHidden/>
          </w:rPr>
          <w:fldChar w:fldCharType="separate"/>
        </w:r>
        <w:r w:rsidR="006C7815">
          <w:rPr>
            <w:noProof/>
            <w:webHidden/>
          </w:rPr>
          <w:t>119</w:t>
        </w:r>
        <w:r w:rsidR="00D6345E">
          <w:rPr>
            <w:noProof/>
            <w:webHidden/>
          </w:rPr>
          <w:fldChar w:fldCharType="end"/>
        </w:r>
      </w:hyperlink>
    </w:p>
    <w:p w14:paraId="70974826" w14:textId="77777777" w:rsidR="00D6345E" w:rsidRDefault="00E2001F">
      <w:pPr>
        <w:pStyle w:val="Spisilustracji"/>
        <w:tabs>
          <w:tab w:val="right" w:leader="dot" w:pos="9060"/>
        </w:tabs>
        <w:rPr>
          <w:rFonts w:eastAsiaTheme="minorEastAsia"/>
          <w:i w:val="0"/>
          <w:noProof/>
          <w:sz w:val="22"/>
          <w:lang w:eastAsia="pl-PL"/>
        </w:rPr>
      </w:pPr>
      <w:hyperlink w:anchor="_Toc81301633" w:history="1">
        <w:r w:rsidR="00D6345E" w:rsidRPr="00574CFC">
          <w:rPr>
            <w:rStyle w:val="Hipercze"/>
            <w:noProof/>
          </w:rPr>
          <w:t>Wykres 15 Ocena elementów rynku pracy w zamieszkiwanym powiacie</w:t>
        </w:r>
        <w:r w:rsidR="00D6345E">
          <w:rPr>
            <w:noProof/>
            <w:webHidden/>
          </w:rPr>
          <w:tab/>
        </w:r>
        <w:r w:rsidR="00D6345E">
          <w:rPr>
            <w:noProof/>
            <w:webHidden/>
          </w:rPr>
          <w:fldChar w:fldCharType="begin"/>
        </w:r>
        <w:r w:rsidR="00D6345E">
          <w:rPr>
            <w:noProof/>
            <w:webHidden/>
          </w:rPr>
          <w:instrText xml:space="preserve"> PAGEREF _Toc81301633 \h </w:instrText>
        </w:r>
        <w:r w:rsidR="00D6345E">
          <w:rPr>
            <w:noProof/>
            <w:webHidden/>
          </w:rPr>
        </w:r>
        <w:r w:rsidR="00D6345E">
          <w:rPr>
            <w:noProof/>
            <w:webHidden/>
          </w:rPr>
          <w:fldChar w:fldCharType="separate"/>
        </w:r>
        <w:r w:rsidR="006C7815">
          <w:rPr>
            <w:noProof/>
            <w:webHidden/>
          </w:rPr>
          <w:t>120</w:t>
        </w:r>
        <w:r w:rsidR="00D6345E">
          <w:rPr>
            <w:noProof/>
            <w:webHidden/>
          </w:rPr>
          <w:fldChar w:fldCharType="end"/>
        </w:r>
      </w:hyperlink>
    </w:p>
    <w:p w14:paraId="76B7CB78" w14:textId="77777777" w:rsidR="00D6345E" w:rsidRDefault="00E2001F">
      <w:pPr>
        <w:pStyle w:val="Spisilustracji"/>
        <w:tabs>
          <w:tab w:val="right" w:leader="dot" w:pos="9060"/>
        </w:tabs>
        <w:rPr>
          <w:rFonts w:eastAsiaTheme="minorEastAsia"/>
          <w:i w:val="0"/>
          <w:noProof/>
          <w:sz w:val="22"/>
          <w:lang w:eastAsia="pl-PL"/>
        </w:rPr>
      </w:pPr>
      <w:hyperlink w:anchor="_Toc81301634" w:history="1">
        <w:r w:rsidR="00D6345E" w:rsidRPr="00574CFC">
          <w:rPr>
            <w:rStyle w:val="Hipercze"/>
            <w:rFonts w:asciiTheme="majorHAnsi" w:hAnsiTheme="majorHAnsi" w:cstheme="majorHAnsi"/>
            <w:noProof/>
          </w:rPr>
          <w:t>Wykres 16 Obawa o utratę pracy</w:t>
        </w:r>
        <w:r w:rsidR="00D6345E">
          <w:rPr>
            <w:noProof/>
            <w:webHidden/>
          </w:rPr>
          <w:tab/>
        </w:r>
        <w:r w:rsidR="00D6345E">
          <w:rPr>
            <w:noProof/>
            <w:webHidden/>
          </w:rPr>
          <w:fldChar w:fldCharType="begin"/>
        </w:r>
        <w:r w:rsidR="00D6345E">
          <w:rPr>
            <w:noProof/>
            <w:webHidden/>
          </w:rPr>
          <w:instrText xml:space="preserve"> PAGEREF _Toc81301634 \h </w:instrText>
        </w:r>
        <w:r w:rsidR="00D6345E">
          <w:rPr>
            <w:noProof/>
            <w:webHidden/>
          </w:rPr>
        </w:r>
        <w:r w:rsidR="00D6345E">
          <w:rPr>
            <w:noProof/>
            <w:webHidden/>
          </w:rPr>
          <w:fldChar w:fldCharType="separate"/>
        </w:r>
        <w:r w:rsidR="006C7815">
          <w:rPr>
            <w:noProof/>
            <w:webHidden/>
          </w:rPr>
          <w:t>121</w:t>
        </w:r>
        <w:r w:rsidR="00D6345E">
          <w:rPr>
            <w:noProof/>
            <w:webHidden/>
          </w:rPr>
          <w:fldChar w:fldCharType="end"/>
        </w:r>
      </w:hyperlink>
    </w:p>
    <w:p w14:paraId="0405A991" w14:textId="77777777" w:rsidR="00D6345E" w:rsidRDefault="00E2001F">
      <w:pPr>
        <w:pStyle w:val="Spisilustracji"/>
        <w:tabs>
          <w:tab w:val="right" w:leader="dot" w:pos="9060"/>
        </w:tabs>
        <w:rPr>
          <w:rFonts w:eastAsiaTheme="minorEastAsia"/>
          <w:i w:val="0"/>
          <w:noProof/>
          <w:sz w:val="22"/>
          <w:lang w:eastAsia="pl-PL"/>
        </w:rPr>
      </w:pPr>
      <w:hyperlink w:anchor="_Toc81301635" w:history="1">
        <w:r w:rsidR="00D6345E" w:rsidRPr="00574CFC">
          <w:rPr>
            <w:rStyle w:val="Hipercze"/>
            <w:noProof/>
          </w:rPr>
          <w:t>Wykres 17 Sposoby działania w razie utraty pracy</w:t>
        </w:r>
        <w:r w:rsidR="00D6345E">
          <w:rPr>
            <w:noProof/>
            <w:webHidden/>
          </w:rPr>
          <w:tab/>
        </w:r>
        <w:r w:rsidR="00D6345E">
          <w:rPr>
            <w:noProof/>
            <w:webHidden/>
          </w:rPr>
          <w:fldChar w:fldCharType="begin"/>
        </w:r>
        <w:r w:rsidR="00D6345E">
          <w:rPr>
            <w:noProof/>
            <w:webHidden/>
          </w:rPr>
          <w:instrText xml:space="preserve"> PAGEREF _Toc81301635 \h </w:instrText>
        </w:r>
        <w:r w:rsidR="00D6345E">
          <w:rPr>
            <w:noProof/>
            <w:webHidden/>
          </w:rPr>
        </w:r>
        <w:r w:rsidR="00D6345E">
          <w:rPr>
            <w:noProof/>
            <w:webHidden/>
          </w:rPr>
          <w:fldChar w:fldCharType="separate"/>
        </w:r>
        <w:r w:rsidR="006C7815">
          <w:rPr>
            <w:noProof/>
            <w:webHidden/>
          </w:rPr>
          <w:t>122</w:t>
        </w:r>
        <w:r w:rsidR="00D6345E">
          <w:rPr>
            <w:noProof/>
            <w:webHidden/>
          </w:rPr>
          <w:fldChar w:fldCharType="end"/>
        </w:r>
      </w:hyperlink>
    </w:p>
    <w:p w14:paraId="5D90338C" w14:textId="77777777" w:rsidR="00575FF9" w:rsidRDefault="001676E7" w:rsidP="00575FF9">
      <w:r>
        <w:fldChar w:fldCharType="end"/>
      </w:r>
    </w:p>
    <w:p w14:paraId="6413675E" w14:textId="77777777" w:rsidR="00844729" w:rsidRDefault="001676E7">
      <w:pPr>
        <w:pStyle w:val="Spisilustracji"/>
        <w:tabs>
          <w:tab w:val="right" w:leader="dot" w:pos="9060"/>
        </w:tabs>
        <w:rPr>
          <w:rFonts w:eastAsiaTheme="minorEastAsia"/>
          <w:i w:val="0"/>
          <w:noProof/>
          <w:sz w:val="22"/>
          <w:lang w:eastAsia="pl-PL"/>
        </w:rPr>
      </w:pPr>
      <w:r>
        <w:fldChar w:fldCharType="begin"/>
      </w:r>
      <w:r>
        <w:instrText xml:space="preserve"> TOC \h \z \c "Rysunek" </w:instrText>
      </w:r>
      <w:r>
        <w:fldChar w:fldCharType="separate"/>
      </w:r>
      <w:hyperlink w:anchor="_Toc81301529" w:history="1">
        <w:r w:rsidR="00844729" w:rsidRPr="00127267">
          <w:rPr>
            <w:rStyle w:val="Hipercze"/>
            <w:noProof/>
          </w:rPr>
          <w:t>Rysunek 1. Południowe Mazury na tle kulturowych struktur przestrzennych województwa warmińsko-mazurskiego</w:t>
        </w:r>
        <w:r w:rsidR="00844729">
          <w:rPr>
            <w:noProof/>
            <w:webHidden/>
          </w:rPr>
          <w:tab/>
        </w:r>
        <w:r w:rsidR="00844729">
          <w:rPr>
            <w:noProof/>
            <w:webHidden/>
          </w:rPr>
          <w:fldChar w:fldCharType="begin"/>
        </w:r>
        <w:r w:rsidR="00844729">
          <w:rPr>
            <w:noProof/>
            <w:webHidden/>
          </w:rPr>
          <w:instrText xml:space="preserve"> PAGEREF _Toc81301529 \h </w:instrText>
        </w:r>
        <w:r w:rsidR="00844729">
          <w:rPr>
            <w:noProof/>
            <w:webHidden/>
          </w:rPr>
        </w:r>
        <w:r w:rsidR="00844729">
          <w:rPr>
            <w:noProof/>
            <w:webHidden/>
          </w:rPr>
          <w:fldChar w:fldCharType="separate"/>
        </w:r>
        <w:r w:rsidR="006C7815">
          <w:rPr>
            <w:noProof/>
            <w:webHidden/>
          </w:rPr>
          <w:t>14</w:t>
        </w:r>
        <w:r w:rsidR="00844729">
          <w:rPr>
            <w:noProof/>
            <w:webHidden/>
          </w:rPr>
          <w:fldChar w:fldCharType="end"/>
        </w:r>
      </w:hyperlink>
    </w:p>
    <w:p w14:paraId="57717C8B" w14:textId="77777777" w:rsidR="00844729" w:rsidRDefault="00E2001F">
      <w:pPr>
        <w:pStyle w:val="Spisilustracji"/>
        <w:tabs>
          <w:tab w:val="right" w:leader="dot" w:pos="9060"/>
        </w:tabs>
        <w:rPr>
          <w:rFonts w:eastAsiaTheme="minorEastAsia"/>
          <w:i w:val="0"/>
          <w:noProof/>
          <w:sz w:val="22"/>
          <w:lang w:eastAsia="pl-PL"/>
        </w:rPr>
      </w:pPr>
      <w:hyperlink w:anchor="_Toc81301530" w:history="1">
        <w:r w:rsidR="00844729" w:rsidRPr="00127267">
          <w:rPr>
            <w:rStyle w:val="Hipercze"/>
            <w:noProof/>
          </w:rPr>
          <w:t>Rysunek 2. Struktura administracyjna Południowych Mazur na tle województwa warmińsko-mazurskiego</w:t>
        </w:r>
        <w:r w:rsidR="00844729">
          <w:rPr>
            <w:noProof/>
            <w:webHidden/>
          </w:rPr>
          <w:tab/>
        </w:r>
        <w:r w:rsidR="00844729">
          <w:rPr>
            <w:noProof/>
            <w:webHidden/>
          </w:rPr>
          <w:fldChar w:fldCharType="begin"/>
        </w:r>
        <w:r w:rsidR="00844729">
          <w:rPr>
            <w:noProof/>
            <w:webHidden/>
          </w:rPr>
          <w:instrText xml:space="preserve"> PAGEREF _Toc81301530 \h </w:instrText>
        </w:r>
        <w:r w:rsidR="00844729">
          <w:rPr>
            <w:noProof/>
            <w:webHidden/>
          </w:rPr>
        </w:r>
        <w:r w:rsidR="00844729">
          <w:rPr>
            <w:noProof/>
            <w:webHidden/>
          </w:rPr>
          <w:fldChar w:fldCharType="separate"/>
        </w:r>
        <w:r w:rsidR="006C7815">
          <w:rPr>
            <w:noProof/>
            <w:webHidden/>
          </w:rPr>
          <w:t>15</w:t>
        </w:r>
        <w:r w:rsidR="00844729">
          <w:rPr>
            <w:noProof/>
            <w:webHidden/>
          </w:rPr>
          <w:fldChar w:fldCharType="end"/>
        </w:r>
      </w:hyperlink>
    </w:p>
    <w:p w14:paraId="37C3D7A2" w14:textId="77777777" w:rsidR="00844729" w:rsidRDefault="00E2001F">
      <w:pPr>
        <w:pStyle w:val="Spisilustracji"/>
        <w:tabs>
          <w:tab w:val="right" w:leader="dot" w:pos="9060"/>
        </w:tabs>
        <w:rPr>
          <w:rFonts w:eastAsiaTheme="minorEastAsia"/>
          <w:i w:val="0"/>
          <w:noProof/>
          <w:sz w:val="22"/>
          <w:lang w:eastAsia="pl-PL"/>
        </w:rPr>
      </w:pPr>
      <w:hyperlink w:anchor="_Toc81301531" w:history="1">
        <w:r w:rsidR="00844729" w:rsidRPr="00127267">
          <w:rPr>
            <w:rStyle w:val="Hipercze"/>
            <w:noProof/>
          </w:rPr>
          <w:t>Rysunek 3. Kierunki wykorzystania powierzchni Południowych Mazur (2014r.)</w:t>
        </w:r>
        <w:r w:rsidR="00844729">
          <w:rPr>
            <w:noProof/>
            <w:webHidden/>
          </w:rPr>
          <w:tab/>
        </w:r>
        <w:r w:rsidR="00844729">
          <w:rPr>
            <w:noProof/>
            <w:webHidden/>
          </w:rPr>
          <w:fldChar w:fldCharType="begin"/>
        </w:r>
        <w:r w:rsidR="00844729">
          <w:rPr>
            <w:noProof/>
            <w:webHidden/>
          </w:rPr>
          <w:instrText xml:space="preserve"> PAGEREF _Toc81301531 \h </w:instrText>
        </w:r>
        <w:r w:rsidR="00844729">
          <w:rPr>
            <w:noProof/>
            <w:webHidden/>
          </w:rPr>
        </w:r>
        <w:r w:rsidR="00844729">
          <w:rPr>
            <w:noProof/>
            <w:webHidden/>
          </w:rPr>
          <w:fldChar w:fldCharType="separate"/>
        </w:r>
        <w:r w:rsidR="006C7815">
          <w:rPr>
            <w:noProof/>
            <w:webHidden/>
          </w:rPr>
          <w:t>17</w:t>
        </w:r>
        <w:r w:rsidR="00844729">
          <w:rPr>
            <w:noProof/>
            <w:webHidden/>
          </w:rPr>
          <w:fldChar w:fldCharType="end"/>
        </w:r>
      </w:hyperlink>
    </w:p>
    <w:p w14:paraId="6F343458" w14:textId="77777777" w:rsidR="00844729" w:rsidRDefault="00E2001F">
      <w:pPr>
        <w:pStyle w:val="Spisilustracji"/>
        <w:tabs>
          <w:tab w:val="right" w:leader="dot" w:pos="9060"/>
        </w:tabs>
        <w:rPr>
          <w:rFonts w:eastAsiaTheme="minorEastAsia"/>
          <w:i w:val="0"/>
          <w:noProof/>
          <w:sz w:val="22"/>
          <w:lang w:eastAsia="pl-PL"/>
        </w:rPr>
      </w:pPr>
      <w:hyperlink w:anchor="_Toc81301532" w:history="1">
        <w:r w:rsidR="00844729" w:rsidRPr="00127267">
          <w:rPr>
            <w:rStyle w:val="Hipercze"/>
            <w:noProof/>
          </w:rPr>
          <w:t>Rysunek 4. Emisja zanieczyszczeń gazowych na terenie Południowych Mazur w latach 2012-2019 (w tonach)</w:t>
        </w:r>
        <w:r w:rsidR="00844729">
          <w:rPr>
            <w:noProof/>
            <w:webHidden/>
          </w:rPr>
          <w:tab/>
        </w:r>
        <w:r w:rsidR="00844729">
          <w:rPr>
            <w:noProof/>
            <w:webHidden/>
          </w:rPr>
          <w:fldChar w:fldCharType="begin"/>
        </w:r>
        <w:r w:rsidR="00844729">
          <w:rPr>
            <w:noProof/>
            <w:webHidden/>
          </w:rPr>
          <w:instrText xml:space="preserve"> PAGEREF _Toc81301532 \h </w:instrText>
        </w:r>
        <w:r w:rsidR="00844729">
          <w:rPr>
            <w:noProof/>
            <w:webHidden/>
          </w:rPr>
        </w:r>
        <w:r w:rsidR="00844729">
          <w:rPr>
            <w:noProof/>
            <w:webHidden/>
          </w:rPr>
          <w:fldChar w:fldCharType="separate"/>
        </w:r>
        <w:r w:rsidR="006C7815">
          <w:rPr>
            <w:noProof/>
            <w:webHidden/>
          </w:rPr>
          <w:t>18</w:t>
        </w:r>
        <w:r w:rsidR="00844729">
          <w:rPr>
            <w:noProof/>
            <w:webHidden/>
          </w:rPr>
          <w:fldChar w:fldCharType="end"/>
        </w:r>
      </w:hyperlink>
    </w:p>
    <w:p w14:paraId="40C913A6" w14:textId="77777777" w:rsidR="00844729" w:rsidRDefault="00E2001F">
      <w:pPr>
        <w:pStyle w:val="Spisilustracji"/>
        <w:tabs>
          <w:tab w:val="right" w:leader="dot" w:pos="9060"/>
        </w:tabs>
        <w:rPr>
          <w:rFonts w:eastAsiaTheme="minorEastAsia"/>
          <w:i w:val="0"/>
          <w:noProof/>
          <w:sz w:val="22"/>
          <w:lang w:eastAsia="pl-PL"/>
        </w:rPr>
      </w:pPr>
      <w:hyperlink w:anchor="_Toc81301533" w:history="1">
        <w:r w:rsidR="00844729" w:rsidRPr="00127267">
          <w:rPr>
            <w:rStyle w:val="Hipercze"/>
            <w:noProof/>
          </w:rPr>
          <w:t>Rysunek 5. Emisja zanieczyszczeń pyłowych na terenie Południowych Mazur w latach 2012-2019 (w tonach)</w:t>
        </w:r>
        <w:r w:rsidR="00844729">
          <w:rPr>
            <w:noProof/>
            <w:webHidden/>
          </w:rPr>
          <w:tab/>
        </w:r>
        <w:r w:rsidR="00844729">
          <w:rPr>
            <w:noProof/>
            <w:webHidden/>
          </w:rPr>
          <w:fldChar w:fldCharType="begin"/>
        </w:r>
        <w:r w:rsidR="00844729">
          <w:rPr>
            <w:noProof/>
            <w:webHidden/>
          </w:rPr>
          <w:instrText xml:space="preserve"> PAGEREF _Toc81301533 \h </w:instrText>
        </w:r>
        <w:r w:rsidR="00844729">
          <w:rPr>
            <w:noProof/>
            <w:webHidden/>
          </w:rPr>
        </w:r>
        <w:r w:rsidR="00844729">
          <w:rPr>
            <w:noProof/>
            <w:webHidden/>
          </w:rPr>
          <w:fldChar w:fldCharType="separate"/>
        </w:r>
        <w:r w:rsidR="006C7815">
          <w:rPr>
            <w:noProof/>
            <w:webHidden/>
          </w:rPr>
          <w:t>19</w:t>
        </w:r>
        <w:r w:rsidR="00844729">
          <w:rPr>
            <w:noProof/>
            <w:webHidden/>
          </w:rPr>
          <w:fldChar w:fldCharType="end"/>
        </w:r>
      </w:hyperlink>
    </w:p>
    <w:p w14:paraId="7D038E8F" w14:textId="77777777" w:rsidR="00844729" w:rsidRDefault="00E2001F">
      <w:pPr>
        <w:pStyle w:val="Spisilustracji"/>
        <w:tabs>
          <w:tab w:val="right" w:leader="dot" w:pos="9060"/>
        </w:tabs>
        <w:rPr>
          <w:rFonts w:eastAsiaTheme="minorEastAsia"/>
          <w:i w:val="0"/>
          <w:noProof/>
          <w:sz w:val="22"/>
          <w:lang w:eastAsia="pl-PL"/>
        </w:rPr>
      </w:pPr>
      <w:hyperlink w:anchor="_Toc81301534" w:history="1">
        <w:r w:rsidR="00844729" w:rsidRPr="00127267">
          <w:rPr>
            <w:rStyle w:val="Hipercze"/>
            <w:noProof/>
          </w:rPr>
          <w:t>Rysunek 6. Liczba ludności w latach 2010-2019</w:t>
        </w:r>
        <w:r w:rsidR="00844729">
          <w:rPr>
            <w:noProof/>
            <w:webHidden/>
          </w:rPr>
          <w:tab/>
        </w:r>
        <w:r w:rsidR="00844729">
          <w:rPr>
            <w:noProof/>
            <w:webHidden/>
          </w:rPr>
          <w:fldChar w:fldCharType="begin"/>
        </w:r>
        <w:r w:rsidR="00844729">
          <w:rPr>
            <w:noProof/>
            <w:webHidden/>
          </w:rPr>
          <w:instrText xml:space="preserve"> PAGEREF _Toc81301534 \h </w:instrText>
        </w:r>
        <w:r w:rsidR="00844729">
          <w:rPr>
            <w:noProof/>
            <w:webHidden/>
          </w:rPr>
        </w:r>
        <w:r w:rsidR="00844729">
          <w:rPr>
            <w:noProof/>
            <w:webHidden/>
          </w:rPr>
          <w:fldChar w:fldCharType="separate"/>
        </w:r>
        <w:r w:rsidR="006C7815">
          <w:rPr>
            <w:noProof/>
            <w:webHidden/>
          </w:rPr>
          <w:t>23</w:t>
        </w:r>
        <w:r w:rsidR="00844729">
          <w:rPr>
            <w:noProof/>
            <w:webHidden/>
          </w:rPr>
          <w:fldChar w:fldCharType="end"/>
        </w:r>
      </w:hyperlink>
    </w:p>
    <w:p w14:paraId="0C80FA31" w14:textId="77777777" w:rsidR="00844729" w:rsidRDefault="00E2001F">
      <w:pPr>
        <w:pStyle w:val="Spisilustracji"/>
        <w:tabs>
          <w:tab w:val="right" w:leader="dot" w:pos="9060"/>
        </w:tabs>
        <w:rPr>
          <w:rFonts w:eastAsiaTheme="minorEastAsia"/>
          <w:i w:val="0"/>
          <w:noProof/>
          <w:sz w:val="22"/>
          <w:lang w:eastAsia="pl-PL"/>
        </w:rPr>
      </w:pPr>
      <w:hyperlink w:anchor="_Toc81301535" w:history="1">
        <w:r w:rsidR="00844729" w:rsidRPr="00127267">
          <w:rPr>
            <w:rStyle w:val="Hipercze"/>
            <w:noProof/>
          </w:rPr>
          <w:t>Rysunek 7. Odsetek ludności wg grup wieku w ogóle mieszkańców w latach 2010-2019</w:t>
        </w:r>
        <w:r w:rsidR="00844729">
          <w:rPr>
            <w:noProof/>
            <w:webHidden/>
          </w:rPr>
          <w:tab/>
        </w:r>
        <w:r w:rsidR="00844729">
          <w:rPr>
            <w:noProof/>
            <w:webHidden/>
          </w:rPr>
          <w:fldChar w:fldCharType="begin"/>
        </w:r>
        <w:r w:rsidR="00844729">
          <w:rPr>
            <w:noProof/>
            <w:webHidden/>
          </w:rPr>
          <w:instrText xml:space="preserve"> PAGEREF _Toc81301535 \h </w:instrText>
        </w:r>
        <w:r w:rsidR="00844729">
          <w:rPr>
            <w:noProof/>
            <w:webHidden/>
          </w:rPr>
        </w:r>
        <w:r w:rsidR="00844729">
          <w:rPr>
            <w:noProof/>
            <w:webHidden/>
          </w:rPr>
          <w:fldChar w:fldCharType="separate"/>
        </w:r>
        <w:r w:rsidR="006C7815">
          <w:rPr>
            <w:noProof/>
            <w:webHidden/>
          </w:rPr>
          <w:t>24</w:t>
        </w:r>
        <w:r w:rsidR="00844729">
          <w:rPr>
            <w:noProof/>
            <w:webHidden/>
          </w:rPr>
          <w:fldChar w:fldCharType="end"/>
        </w:r>
      </w:hyperlink>
    </w:p>
    <w:p w14:paraId="4B0ACF31" w14:textId="77777777" w:rsidR="00844729" w:rsidRDefault="00E2001F">
      <w:pPr>
        <w:pStyle w:val="Spisilustracji"/>
        <w:tabs>
          <w:tab w:val="right" w:leader="dot" w:pos="9060"/>
        </w:tabs>
        <w:rPr>
          <w:rFonts w:eastAsiaTheme="minorEastAsia"/>
          <w:i w:val="0"/>
          <w:noProof/>
          <w:sz w:val="22"/>
          <w:lang w:eastAsia="pl-PL"/>
        </w:rPr>
      </w:pPr>
      <w:hyperlink w:anchor="_Toc81301536" w:history="1">
        <w:r w:rsidR="00844729" w:rsidRPr="00127267">
          <w:rPr>
            <w:rStyle w:val="Hipercze"/>
            <w:noProof/>
          </w:rPr>
          <w:t>Rysunek 8. Urodzenia na 1.000 mieszkańców w latach 2010-2019</w:t>
        </w:r>
        <w:r w:rsidR="00844729">
          <w:rPr>
            <w:noProof/>
            <w:webHidden/>
          </w:rPr>
          <w:tab/>
        </w:r>
        <w:r w:rsidR="00844729">
          <w:rPr>
            <w:noProof/>
            <w:webHidden/>
          </w:rPr>
          <w:fldChar w:fldCharType="begin"/>
        </w:r>
        <w:r w:rsidR="00844729">
          <w:rPr>
            <w:noProof/>
            <w:webHidden/>
          </w:rPr>
          <w:instrText xml:space="preserve"> PAGEREF _Toc81301536 \h </w:instrText>
        </w:r>
        <w:r w:rsidR="00844729">
          <w:rPr>
            <w:noProof/>
            <w:webHidden/>
          </w:rPr>
        </w:r>
        <w:r w:rsidR="00844729">
          <w:rPr>
            <w:noProof/>
            <w:webHidden/>
          </w:rPr>
          <w:fldChar w:fldCharType="separate"/>
        </w:r>
        <w:r w:rsidR="006C7815">
          <w:rPr>
            <w:noProof/>
            <w:webHidden/>
          </w:rPr>
          <w:t>25</w:t>
        </w:r>
        <w:r w:rsidR="00844729">
          <w:rPr>
            <w:noProof/>
            <w:webHidden/>
          </w:rPr>
          <w:fldChar w:fldCharType="end"/>
        </w:r>
      </w:hyperlink>
    </w:p>
    <w:p w14:paraId="78BB56C6" w14:textId="77777777" w:rsidR="00844729" w:rsidRDefault="00E2001F">
      <w:pPr>
        <w:pStyle w:val="Spisilustracji"/>
        <w:tabs>
          <w:tab w:val="right" w:leader="dot" w:pos="9060"/>
        </w:tabs>
        <w:rPr>
          <w:rFonts w:eastAsiaTheme="minorEastAsia"/>
          <w:i w:val="0"/>
          <w:noProof/>
          <w:sz w:val="22"/>
          <w:lang w:eastAsia="pl-PL"/>
        </w:rPr>
      </w:pPr>
      <w:hyperlink w:anchor="_Toc81301537" w:history="1">
        <w:r w:rsidR="00844729" w:rsidRPr="00127267">
          <w:rPr>
            <w:rStyle w:val="Hipercze"/>
            <w:noProof/>
          </w:rPr>
          <w:t>Rysunek 9. Zgony na 1.000 mieszkańców w latach 2010-2019</w:t>
        </w:r>
        <w:r w:rsidR="00844729">
          <w:rPr>
            <w:noProof/>
            <w:webHidden/>
          </w:rPr>
          <w:tab/>
        </w:r>
        <w:r w:rsidR="00844729">
          <w:rPr>
            <w:noProof/>
            <w:webHidden/>
          </w:rPr>
          <w:fldChar w:fldCharType="begin"/>
        </w:r>
        <w:r w:rsidR="00844729">
          <w:rPr>
            <w:noProof/>
            <w:webHidden/>
          </w:rPr>
          <w:instrText xml:space="preserve"> PAGEREF _Toc81301537 \h </w:instrText>
        </w:r>
        <w:r w:rsidR="00844729">
          <w:rPr>
            <w:noProof/>
            <w:webHidden/>
          </w:rPr>
        </w:r>
        <w:r w:rsidR="00844729">
          <w:rPr>
            <w:noProof/>
            <w:webHidden/>
          </w:rPr>
          <w:fldChar w:fldCharType="separate"/>
        </w:r>
        <w:r w:rsidR="006C7815">
          <w:rPr>
            <w:noProof/>
            <w:webHidden/>
          </w:rPr>
          <w:t>26</w:t>
        </w:r>
        <w:r w:rsidR="00844729">
          <w:rPr>
            <w:noProof/>
            <w:webHidden/>
          </w:rPr>
          <w:fldChar w:fldCharType="end"/>
        </w:r>
      </w:hyperlink>
    </w:p>
    <w:p w14:paraId="45FCF12D" w14:textId="77777777" w:rsidR="00844729" w:rsidRDefault="00E2001F">
      <w:pPr>
        <w:pStyle w:val="Spisilustracji"/>
        <w:tabs>
          <w:tab w:val="right" w:leader="dot" w:pos="9060"/>
        </w:tabs>
        <w:rPr>
          <w:rFonts w:eastAsiaTheme="minorEastAsia"/>
          <w:i w:val="0"/>
          <w:noProof/>
          <w:sz w:val="22"/>
          <w:lang w:eastAsia="pl-PL"/>
        </w:rPr>
      </w:pPr>
      <w:hyperlink w:anchor="_Toc81301538" w:history="1">
        <w:r w:rsidR="00844729" w:rsidRPr="00127267">
          <w:rPr>
            <w:rStyle w:val="Hipercze"/>
            <w:noProof/>
          </w:rPr>
          <w:t>Rysunek 10. Przyrost naturalny na 1.000 mieszkańców w latach 2010-2019</w:t>
        </w:r>
        <w:r w:rsidR="00844729">
          <w:rPr>
            <w:noProof/>
            <w:webHidden/>
          </w:rPr>
          <w:tab/>
        </w:r>
        <w:r w:rsidR="00844729">
          <w:rPr>
            <w:noProof/>
            <w:webHidden/>
          </w:rPr>
          <w:fldChar w:fldCharType="begin"/>
        </w:r>
        <w:r w:rsidR="00844729">
          <w:rPr>
            <w:noProof/>
            <w:webHidden/>
          </w:rPr>
          <w:instrText xml:space="preserve"> PAGEREF _Toc81301538 \h </w:instrText>
        </w:r>
        <w:r w:rsidR="00844729">
          <w:rPr>
            <w:noProof/>
            <w:webHidden/>
          </w:rPr>
        </w:r>
        <w:r w:rsidR="00844729">
          <w:rPr>
            <w:noProof/>
            <w:webHidden/>
          </w:rPr>
          <w:fldChar w:fldCharType="separate"/>
        </w:r>
        <w:r w:rsidR="006C7815">
          <w:rPr>
            <w:noProof/>
            <w:webHidden/>
          </w:rPr>
          <w:t>26</w:t>
        </w:r>
        <w:r w:rsidR="00844729">
          <w:rPr>
            <w:noProof/>
            <w:webHidden/>
          </w:rPr>
          <w:fldChar w:fldCharType="end"/>
        </w:r>
      </w:hyperlink>
    </w:p>
    <w:p w14:paraId="13BD1FF2" w14:textId="77777777" w:rsidR="00844729" w:rsidRDefault="00E2001F">
      <w:pPr>
        <w:pStyle w:val="Spisilustracji"/>
        <w:tabs>
          <w:tab w:val="right" w:leader="dot" w:pos="9060"/>
        </w:tabs>
        <w:rPr>
          <w:rFonts w:eastAsiaTheme="minorEastAsia"/>
          <w:i w:val="0"/>
          <w:noProof/>
          <w:sz w:val="22"/>
          <w:lang w:eastAsia="pl-PL"/>
        </w:rPr>
      </w:pPr>
      <w:hyperlink w:anchor="_Toc81301539" w:history="1">
        <w:r w:rsidR="00844729" w:rsidRPr="00127267">
          <w:rPr>
            <w:rStyle w:val="Hipercze"/>
            <w:noProof/>
          </w:rPr>
          <w:t>Rysunek 11. Liczba organizacji pozarządowych w przeliczeniu na 10 tys. mieszkańców w latach 2010-2019</w:t>
        </w:r>
        <w:r w:rsidR="00844729">
          <w:rPr>
            <w:noProof/>
            <w:webHidden/>
          </w:rPr>
          <w:tab/>
        </w:r>
        <w:r w:rsidR="00844729">
          <w:rPr>
            <w:noProof/>
            <w:webHidden/>
          </w:rPr>
          <w:fldChar w:fldCharType="begin"/>
        </w:r>
        <w:r w:rsidR="00844729">
          <w:rPr>
            <w:noProof/>
            <w:webHidden/>
          </w:rPr>
          <w:instrText xml:space="preserve"> PAGEREF _Toc81301539 \h </w:instrText>
        </w:r>
        <w:r w:rsidR="00844729">
          <w:rPr>
            <w:noProof/>
            <w:webHidden/>
          </w:rPr>
        </w:r>
        <w:r w:rsidR="00844729">
          <w:rPr>
            <w:noProof/>
            <w:webHidden/>
          </w:rPr>
          <w:fldChar w:fldCharType="separate"/>
        </w:r>
        <w:r w:rsidR="006C7815">
          <w:rPr>
            <w:noProof/>
            <w:webHidden/>
          </w:rPr>
          <w:t>29</w:t>
        </w:r>
        <w:r w:rsidR="00844729">
          <w:rPr>
            <w:noProof/>
            <w:webHidden/>
          </w:rPr>
          <w:fldChar w:fldCharType="end"/>
        </w:r>
      </w:hyperlink>
    </w:p>
    <w:p w14:paraId="597F3D29" w14:textId="77777777" w:rsidR="00844729" w:rsidRDefault="00E2001F">
      <w:pPr>
        <w:pStyle w:val="Spisilustracji"/>
        <w:tabs>
          <w:tab w:val="right" w:leader="dot" w:pos="9060"/>
        </w:tabs>
        <w:rPr>
          <w:rFonts w:eastAsiaTheme="minorEastAsia"/>
          <w:i w:val="0"/>
          <w:noProof/>
          <w:sz w:val="22"/>
          <w:lang w:eastAsia="pl-PL"/>
        </w:rPr>
      </w:pPr>
      <w:hyperlink w:anchor="_Toc81301540" w:history="1">
        <w:r w:rsidR="00844729" w:rsidRPr="00127267">
          <w:rPr>
            <w:rStyle w:val="Hipercze"/>
            <w:noProof/>
          </w:rPr>
          <w:t>Rysunek 12. Zmiany liczby podmiotów wpisanych do rejestru REGON na tys. ludności w latach 2010-2019</w:t>
        </w:r>
        <w:r w:rsidR="00844729">
          <w:rPr>
            <w:noProof/>
            <w:webHidden/>
          </w:rPr>
          <w:tab/>
        </w:r>
        <w:r w:rsidR="00844729">
          <w:rPr>
            <w:noProof/>
            <w:webHidden/>
          </w:rPr>
          <w:fldChar w:fldCharType="begin"/>
        </w:r>
        <w:r w:rsidR="00844729">
          <w:rPr>
            <w:noProof/>
            <w:webHidden/>
          </w:rPr>
          <w:instrText xml:space="preserve"> PAGEREF _Toc81301540 \h </w:instrText>
        </w:r>
        <w:r w:rsidR="00844729">
          <w:rPr>
            <w:noProof/>
            <w:webHidden/>
          </w:rPr>
        </w:r>
        <w:r w:rsidR="00844729">
          <w:rPr>
            <w:noProof/>
            <w:webHidden/>
          </w:rPr>
          <w:fldChar w:fldCharType="separate"/>
        </w:r>
        <w:r w:rsidR="006C7815">
          <w:rPr>
            <w:noProof/>
            <w:webHidden/>
          </w:rPr>
          <w:t>30</w:t>
        </w:r>
        <w:r w:rsidR="00844729">
          <w:rPr>
            <w:noProof/>
            <w:webHidden/>
          </w:rPr>
          <w:fldChar w:fldCharType="end"/>
        </w:r>
      </w:hyperlink>
    </w:p>
    <w:p w14:paraId="015A3B38" w14:textId="77777777" w:rsidR="00844729" w:rsidRDefault="00E2001F">
      <w:pPr>
        <w:pStyle w:val="Spisilustracji"/>
        <w:tabs>
          <w:tab w:val="right" w:leader="dot" w:pos="9060"/>
        </w:tabs>
        <w:rPr>
          <w:rFonts w:eastAsiaTheme="minorEastAsia"/>
          <w:i w:val="0"/>
          <w:noProof/>
          <w:sz w:val="22"/>
          <w:lang w:eastAsia="pl-PL"/>
        </w:rPr>
      </w:pPr>
      <w:hyperlink w:anchor="_Toc81301541" w:history="1">
        <w:r w:rsidR="00844729" w:rsidRPr="00127267">
          <w:rPr>
            <w:rStyle w:val="Hipercze"/>
            <w:noProof/>
          </w:rPr>
          <w:t>Rysunek 13. Liczba nowo zarejestrowanych podmiotów na 10 tys. ludności i liczba podmiotów wykreślonych z rejestru REGON na 10 tys. ludności w latach 2010-2019</w:t>
        </w:r>
        <w:r w:rsidR="00844729">
          <w:rPr>
            <w:noProof/>
            <w:webHidden/>
          </w:rPr>
          <w:tab/>
        </w:r>
        <w:r w:rsidR="00844729">
          <w:rPr>
            <w:noProof/>
            <w:webHidden/>
          </w:rPr>
          <w:fldChar w:fldCharType="begin"/>
        </w:r>
        <w:r w:rsidR="00844729">
          <w:rPr>
            <w:noProof/>
            <w:webHidden/>
          </w:rPr>
          <w:instrText xml:space="preserve"> PAGEREF _Toc81301541 \h </w:instrText>
        </w:r>
        <w:r w:rsidR="00844729">
          <w:rPr>
            <w:noProof/>
            <w:webHidden/>
          </w:rPr>
        </w:r>
        <w:r w:rsidR="00844729">
          <w:rPr>
            <w:noProof/>
            <w:webHidden/>
          </w:rPr>
          <w:fldChar w:fldCharType="separate"/>
        </w:r>
        <w:r w:rsidR="006C7815">
          <w:rPr>
            <w:noProof/>
            <w:webHidden/>
          </w:rPr>
          <w:t>31</w:t>
        </w:r>
        <w:r w:rsidR="00844729">
          <w:rPr>
            <w:noProof/>
            <w:webHidden/>
          </w:rPr>
          <w:fldChar w:fldCharType="end"/>
        </w:r>
      </w:hyperlink>
    </w:p>
    <w:p w14:paraId="7D9E8757" w14:textId="77777777" w:rsidR="00844729" w:rsidRDefault="00E2001F">
      <w:pPr>
        <w:pStyle w:val="Spisilustracji"/>
        <w:tabs>
          <w:tab w:val="right" w:leader="dot" w:pos="9060"/>
        </w:tabs>
        <w:rPr>
          <w:rFonts w:eastAsiaTheme="minorEastAsia"/>
          <w:i w:val="0"/>
          <w:noProof/>
          <w:sz w:val="22"/>
          <w:lang w:eastAsia="pl-PL"/>
        </w:rPr>
      </w:pPr>
      <w:hyperlink w:anchor="_Toc81301542" w:history="1">
        <w:r w:rsidR="00844729" w:rsidRPr="00127267">
          <w:rPr>
            <w:rStyle w:val="Hipercze"/>
            <w:noProof/>
          </w:rPr>
          <w:t>Rysunek 14. Zmiana 2010-2019 przeciętnego miesięczne wynagrodzenia brutto mieszkańców PM w relacji do średniej krajowej (Polska=100)</w:t>
        </w:r>
        <w:r w:rsidR="00844729">
          <w:rPr>
            <w:noProof/>
            <w:webHidden/>
          </w:rPr>
          <w:tab/>
        </w:r>
        <w:r w:rsidR="00844729">
          <w:rPr>
            <w:noProof/>
            <w:webHidden/>
          </w:rPr>
          <w:fldChar w:fldCharType="begin"/>
        </w:r>
        <w:r w:rsidR="00844729">
          <w:rPr>
            <w:noProof/>
            <w:webHidden/>
          </w:rPr>
          <w:instrText xml:space="preserve"> PAGEREF _Toc81301542 \h </w:instrText>
        </w:r>
        <w:r w:rsidR="00844729">
          <w:rPr>
            <w:noProof/>
            <w:webHidden/>
          </w:rPr>
        </w:r>
        <w:r w:rsidR="00844729">
          <w:rPr>
            <w:noProof/>
            <w:webHidden/>
          </w:rPr>
          <w:fldChar w:fldCharType="separate"/>
        </w:r>
        <w:r w:rsidR="006C7815">
          <w:rPr>
            <w:noProof/>
            <w:webHidden/>
          </w:rPr>
          <w:t>36</w:t>
        </w:r>
        <w:r w:rsidR="00844729">
          <w:rPr>
            <w:noProof/>
            <w:webHidden/>
          </w:rPr>
          <w:fldChar w:fldCharType="end"/>
        </w:r>
      </w:hyperlink>
    </w:p>
    <w:p w14:paraId="45BB170F" w14:textId="77777777" w:rsidR="00844729" w:rsidRDefault="00E2001F">
      <w:pPr>
        <w:pStyle w:val="Spisilustracji"/>
        <w:tabs>
          <w:tab w:val="right" w:leader="dot" w:pos="9060"/>
        </w:tabs>
        <w:rPr>
          <w:rFonts w:eastAsiaTheme="minorEastAsia"/>
          <w:i w:val="0"/>
          <w:noProof/>
          <w:sz w:val="22"/>
          <w:lang w:eastAsia="pl-PL"/>
        </w:rPr>
      </w:pPr>
      <w:hyperlink w:anchor="_Toc81301543" w:history="1">
        <w:r w:rsidR="00844729" w:rsidRPr="00127267">
          <w:rPr>
            <w:rStyle w:val="Hipercze"/>
            <w:noProof/>
          </w:rPr>
          <w:t>Rysunek 15. Infrastruktura komunikacyjna - Mazury Południowe na tle województwa warmińsko-mazurskiego</w:t>
        </w:r>
        <w:r w:rsidR="00844729">
          <w:rPr>
            <w:noProof/>
            <w:webHidden/>
          </w:rPr>
          <w:tab/>
        </w:r>
        <w:r w:rsidR="00844729">
          <w:rPr>
            <w:noProof/>
            <w:webHidden/>
          </w:rPr>
          <w:fldChar w:fldCharType="begin"/>
        </w:r>
        <w:r w:rsidR="00844729">
          <w:rPr>
            <w:noProof/>
            <w:webHidden/>
          </w:rPr>
          <w:instrText xml:space="preserve"> PAGEREF _Toc81301543 \h </w:instrText>
        </w:r>
        <w:r w:rsidR="00844729">
          <w:rPr>
            <w:noProof/>
            <w:webHidden/>
          </w:rPr>
        </w:r>
        <w:r w:rsidR="00844729">
          <w:rPr>
            <w:noProof/>
            <w:webHidden/>
          </w:rPr>
          <w:fldChar w:fldCharType="separate"/>
        </w:r>
        <w:r w:rsidR="006C7815">
          <w:rPr>
            <w:noProof/>
            <w:webHidden/>
          </w:rPr>
          <w:t>37</w:t>
        </w:r>
        <w:r w:rsidR="00844729">
          <w:rPr>
            <w:noProof/>
            <w:webHidden/>
          </w:rPr>
          <w:fldChar w:fldCharType="end"/>
        </w:r>
      </w:hyperlink>
    </w:p>
    <w:p w14:paraId="3570629B" w14:textId="77777777" w:rsidR="00844729" w:rsidRDefault="00E2001F">
      <w:pPr>
        <w:pStyle w:val="Spisilustracji"/>
        <w:tabs>
          <w:tab w:val="right" w:leader="dot" w:pos="9060"/>
        </w:tabs>
        <w:rPr>
          <w:rFonts w:eastAsiaTheme="minorEastAsia"/>
          <w:i w:val="0"/>
          <w:noProof/>
          <w:sz w:val="22"/>
          <w:lang w:eastAsia="pl-PL"/>
        </w:rPr>
      </w:pPr>
      <w:hyperlink w:anchor="_Toc81301544" w:history="1">
        <w:r w:rsidR="00844729" w:rsidRPr="00127267">
          <w:rPr>
            <w:rStyle w:val="Hipercze"/>
            <w:noProof/>
          </w:rPr>
          <w:t>Rysunek 16. Zmiany długości dróg gminnych i powiatowych w latach 2010-2019 (w km)</w:t>
        </w:r>
        <w:r w:rsidR="00844729">
          <w:rPr>
            <w:noProof/>
            <w:webHidden/>
          </w:rPr>
          <w:tab/>
        </w:r>
        <w:r w:rsidR="00844729">
          <w:rPr>
            <w:noProof/>
            <w:webHidden/>
          </w:rPr>
          <w:fldChar w:fldCharType="begin"/>
        </w:r>
        <w:r w:rsidR="00844729">
          <w:rPr>
            <w:noProof/>
            <w:webHidden/>
          </w:rPr>
          <w:instrText xml:space="preserve"> PAGEREF _Toc81301544 \h </w:instrText>
        </w:r>
        <w:r w:rsidR="00844729">
          <w:rPr>
            <w:noProof/>
            <w:webHidden/>
          </w:rPr>
        </w:r>
        <w:r w:rsidR="00844729">
          <w:rPr>
            <w:noProof/>
            <w:webHidden/>
          </w:rPr>
          <w:fldChar w:fldCharType="separate"/>
        </w:r>
        <w:r w:rsidR="006C7815">
          <w:rPr>
            <w:noProof/>
            <w:webHidden/>
          </w:rPr>
          <w:t>39</w:t>
        </w:r>
        <w:r w:rsidR="00844729">
          <w:rPr>
            <w:noProof/>
            <w:webHidden/>
          </w:rPr>
          <w:fldChar w:fldCharType="end"/>
        </w:r>
      </w:hyperlink>
    </w:p>
    <w:p w14:paraId="3383AB14" w14:textId="77777777" w:rsidR="00844729" w:rsidRDefault="00E2001F">
      <w:pPr>
        <w:pStyle w:val="Spisilustracji"/>
        <w:tabs>
          <w:tab w:val="right" w:leader="dot" w:pos="9060"/>
        </w:tabs>
        <w:rPr>
          <w:rFonts w:eastAsiaTheme="minorEastAsia"/>
          <w:i w:val="0"/>
          <w:noProof/>
          <w:sz w:val="22"/>
          <w:lang w:eastAsia="pl-PL"/>
        </w:rPr>
      </w:pPr>
      <w:hyperlink w:anchor="_Toc81301545" w:history="1">
        <w:r w:rsidR="00844729" w:rsidRPr="00127267">
          <w:rPr>
            <w:rStyle w:val="Hipercze"/>
            <w:noProof/>
          </w:rPr>
          <w:t>Rysunek 17. Lotniska i lądowiska Południowych Mazur (2017r.)</w:t>
        </w:r>
        <w:r w:rsidR="00844729">
          <w:rPr>
            <w:noProof/>
            <w:webHidden/>
          </w:rPr>
          <w:tab/>
        </w:r>
        <w:r w:rsidR="00844729">
          <w:rPr>
            <w:noProof/>
            <w:webHidden/>
          </w:rPr>
          <w:fldChar w:fldCharType="begin"/>
        </w:r>
        <w:r w:rsidR="00844729">
          <w:rPr>
            <w:noProof/>
            <w:webHidden/>
          </w:rPr>
          <w:instrText xml:space="preserve"> PAGEREF _Toc81301545 \h </w:instrText>
        </w:r>
        <w:r w:rsidR="00844729">
          <w:rPr>
            <w:noProof/>
            <w:webHidden/>
          </w:rPr>
        </w:r>
        <w:r w:rsidR="00844729">
          <w:rPr>
            <w:noProof/>
            <w:webHidden/>
          </w:rPr>
          <w:fldChar w:fldCharType="separate"/>
        </w:r>
        <w:r w:rsidR="006C7815">
          <w:rPr>
            <w:noProof/>
            <w:webHidden/>
          </w:rPr>
          <w:t>41</w:t>
        </w:r>
        <w:r w:rsidR="00844729">
          <w:rPr>
            <w:noProof/>
            <w:webHidden/>
          </w:rPr>
          <w:fldChar w:fldCharType="end"/>
        </w:r>
      </w:hyperlink>
    </w:p>
    <w:p w14:paraId="5D46DEC7" w14:textId="77777777" w:rsidR="00844729" w:rsidRDefault="00E2001F">
      <w:pPr>
        <w:pStyle w:val="Spisilustracji"/>
        <w:tabs>
          <w:tab w:val="right" w:leader="dot" w:pos="9060"/>
        </w:tabs>
        <w:rPr>
          <w:rFonts w:eastAsiaTheme="minorEastAsia"/>
          <w:i w:val="0"/>
          <w:noProof/>
          <w:sz w:val="22"/>
          <w:lang w:eastAsia="pl-PL"/>
        </w:rPr>
      </w:pPr>
      <w:hyperlink w:anchor="_Toc81301546" w:history="1">
        <w:r w:rsidR="00844729" w:rsidRPr="00127267">
          <w:rPr>
            <w:rStyle w:val="Hipercze"/>
            <w:noProof/>
          </w:rPr>
          <w:t>Rysunek 18. Planowany regionalny system tras rowerowych</w:t>
        </w:r>
        <w:r w:rsidR="00844729">
          <w:rPr>
            <w:noProof/>
            <w:webHidden/>
          </w:rPr>
          <w:tab/>
        </w:r>
        <w:r w:rsidR="00844729">
          <w:rPr>
            <w:noProof/>
            <w:webHidden/>
          </w:rPr>
          <w:fldChar w:fldCharType="begin"/>
        </w:r>
        <w:r w:rsidR="00844729">
          <w:rPr>
            <w:noProof/>
            <w:webHidden/>
          </w:rPr>
          <w:instrText xml:space="preserve"> PAGEREF _Toc81301546 \h </w:instrText>
        </w:r>
        <w:r w:rsidR="00844729">
          <w:rPr>
            <w:noProof/>
            <w:webHidden/>
          </w:rPr>
        </w:r>
        <w:r w:rsidR="00844729">
          <w:rPr>
            <w:noProof/>
            <w:webHidden/>
          </w:rPr>
          <w:fldChar w:fldCharType="separate"/>
        </w:r>
        <w:r w:rsidR="006C7815">
          <w:rPr>
            <w:noProof/>
            <w:webHidden/>
          </w:rPr>
          <w:t>43</w:t>
        </w:r>
        <w:r w:rsidR="00844729">
          <w:rPr>
            <w:noProof/>
            <w:webHidden/>
          </w:rPr>
          <w:fldChar w:fldCharType="end"/>
        </w:r>
      </w:hyperlink>
    </w:p>
    <w:p w14:paraId="02DD6132" w14:textId="77777777" w:rsidR="00844729" w:rsidRDefault="00E2001F">
      <w:pPr>
        <w:pStyle w:val="Spisilustracji"/>
        <w:tabs>
          <w:tab w:val="right" w:leader="dot" w:pos="9060"/>
        </w:tabs>
        <w:rPr>
          <w:rFonts w:eastAsiaTheme="minorEastAsia"/>
          <w:i w:val="0"/>
          <w:noProof/>
          <w:sz w:val="22"/>
          <w:lang w:eastAsia="pl-PL"/>
        </w:rPr>
      </w:pPr>
      <w:hyperlink w:anchor="_Toc81301547" w:history="1">
        <w:r w:rsidR="00844729" w:rsidRPr="00127267">
          <w:rPr>
            <w:rStyle w:val="Hipercze"/>
            <w:noProof/>
          </w:rPr>
          <w:t>Rysunek 19. Główne kierunki zasilania województwa warmińsko-mazurskiego w gaz przewodowy</w:t>
        </w:r>
        <w:r w:rsidR="00844729">
          <w:rPr>
            <w:noProof/>
            <w:webHidden/>
          </w:rPr>
          <w:tab/>
        </w:r>
        <w:r w:rsidR="00844729">
          <w:rPr>
            <w:noProof/>
            <w:webHidden/>
          </w:rPr>
          <w:fldChar w:fldCharType="begin"/>
        </w:r>
        <w:r w:rsidR="00844729">
          <w:rPr>
            <w:noProof/>
            <w:webHidden/>
          </w:rPr>
          <w:instrText xml:space="preserve"> PAGEREF _Toc81301547 \h </w:instrText>
        </w:r>
        <w:r w:rsidR="00844729">
          <w:rPr>
            <w:noProof/>
            <w:webHidden/>
          </w:rPr>
        </w:r>
        <w:r w:rsidR="00844729">
          <w:rPr>
            <w:noProof/>
            <w:webHidden/>
          </w:rPr>
          <w:fldChar w:fldCharType="separate"/>
        </w:r>
        <w:r w:rsidR="006C7815">
          <w:rPr>
            <w:noProof/>
            <w:webHidden/>
          </w:rPr>
          <w:t>44</w:t>
        </w:r>
        <w:r w:rsidR="00844729">
          <w:rPr>
            <w:noProof/>
            <w:webHidden/>
          </w:rPr>
          <w:fldChar w:fldCharType="end"/>
        </w:r>
      </w:hyperlink>
    </w:p>
    <w:p w14:paraId="01E67A08" w14:textId="77777777" w:rsidR="00844729" w:rsidRDefault="00E2001F">
      <w:pPr>
        <w:pStyle w:val="Spisilustracji"/>
        <w:tabs>
          <w:tab w:val="right" w:leader="dot" w:pos="9060"/>
        </w:tabs>
        <w:rPr>
          <w:rFonts w:eastAsiaTheme="minorEastAsia"/>
          <w:i w:val="0"/>
          <w:noProof/>
          <w:sz w:val="22"/>
          <w:lang w:eastAsia="pl-PL"/>
        </w:rPr>
      </w:pPr>
      <w:hyperlink w:anchor="_Toc81301548" w:history="1">
        <w:r w:rsidR="00844729" w:rsidRPr="00127267">
          <w:rPr>
            <w:rStyle w:val="Hipercze"/>
            <w:noProof/>
          </w:rPr>
          <w:t>Rysunek 20. Zmiany w zakresie długości sieci przesyłowej i rozdzielczej PM w latach 2010-2019 (w km)</w:t>
        </w:r>
        <w:r w:rsidR="00844729">
          <w:rPr>
            <w:noProof/>
            <w:webHidden/>
          </w:rPr>
          <w:tab/>
        </w:r>
        <w:r w:rsidR="00844729">
          <w:rPr>
            <w:noProof/>
            <w:webHidden/>
          </w:rPr>
          <w:fldChar w:fldCharType="begin"/>
        </w:r>
        <w:r w:rsidR="00844729">
          <w:rPr>
            <w:noProof/>
            <w:webHidden/>
          </w:rPr>
          <w:instrText xml:space="preserve"> PAGEREF _Toc81301548 \h </w:instrText>
        </w:r>
        <w:r w:rsidR="00844729">
          <w:rPr>
            <w:noProof/>
            <w:webHidden/>
          </w:rPr>
        </w:r>
        <w:r w:rsidR="00844729">
          <w:rPr>
            <w:noProof/>
            <w:webHidden/>
          </w:rPr>
          <w:fldChar w:fldCharType="separate"/>
        </w:r>
        <w:r w:rsidR="006C7815">
          <w:rPr>
            <w:noProof/>
            <w:webHidden/>
          </w:rPr>
          <w:t>45</w:t>
        </w:r>
        <w:r w:rsidR="00844729">
          <w:rPr>
            <w:noProof/>
            <w:webHidden/>
          </w:rPr>
          <w:fldChar w:fldCharType="end"/>
        </w:r>
      </w:hyperlink>
    </w:p>
    <w:p w14:paraId="01E44799" w14:textId="77777777" w:rsidR="00844729" w:rsidRDefault="00E2001F">
      <w:pPr>
        <w:pStyle w:val="Spisilustracji"/>
        <w:tabs>
          <w:tab w:val="right" w:leader="dot" w:pos="9060"/>
        </w:tabs>
        <w:rPr>
          <w:rFonts w:eastAsiaTheme="minorEastAsia"/>
          <w:i w:val="0"/>
          <w:noProof/>
          <w:sz w:val="22"/>
          <w:lang w:eastAsia="pl-PL"/>
        </w:rPr>
      </w:pPr>
      <w:hyperlink w:anchor="_Toc81301549" w:history="1">
        <w:r w:rsidR="00844729" w:rsidRPr="00127267">
          <w:rPr>
            <w:rStyle w:val="Hipercze"/>
            <w:noProof/>
          </w:rPr>
          <w:t>Rysunek 21. Przebieg linii przesyłowych najwyższych napięć w województwie warmińsko-mazurskim</w:t>
        </w:r>
        <w:r w:rsidR="00844729">
          <w:rPr>
            <w:noProof/>
            <w:webHidden/>
          </w:rPr>
          <w:tab/>
        </w:r>
        <w:r w:rsidR="00844729">
          <w:rPr>
            <w:noProof/>
            <w:webHidden/>
          </w:rPr>
          <w:fldChar w:fldCharType="begin"/>
        </w:r>
        <w:r w:rsidR="00844729">
          <w:rPr>
            <w:noProof/>
            <w:webHidden/>
          </w:rPr>
          <w:instrText xml:space="preserve"> PAGEREF _Toc81301549 \h </w:instrText>
        </w:r>
        <w:r w:rsidR="00844729">
          <w:rPr>
            <w:noProof/>
            <w:webHidden/>
          </w:rPr>
        </w:r>
        <w:r w:rsidR="00844729">
          <w:rPr>
            <w:noProof/>
            <w:webHidden/>
          </w:rPr>
          <w:fldChar w:fldCharType="separate"/>
        </w:r>
        <w:r w:rsidR="006C7815">
          <w:rPr>
            <w:noProof/>
            <w:webHidden/>
          </w:rPr>
          <w:t>46</w:t>
        </w:r>
        <w:r w:rsidR="00844729">
          <w:rPr>
            <w:noProof/>
            <w:webHidden/>
          </w:rPr>
          <w:fldChar w:fldCharType="end"/>
        </w:r>
      </w:hyperlink>
    </w:p>
    <w:p w14:paraId="2D9B7605" w14:textId="77777777" w:rsidR="00844729" w:rsidRDefault="00E2001F">
      <w:pPr>
        <w:pStyle w:val="Spisilustracji"/>
        <w:tabs>
          <w:tab w:val="right" w:leader="dot" w:pos="9060"/>
        </w:tabs>
        <w:rPr>
          <w:rFonts w:eastAsiaTheme="minorEastAsia"/>
          <w:i w:val="0"/>
          <w:noProof/>
          <w:sz w:val="22"/>
          <w:lang w:eastAsia="pl-PL"/>
        </w:rPr>
      </w:pPr>
      <w:hyperlink w:anchor="_Toc81301550" w:history="1">
        <w:r w:rsidR="00844729" w:rsidRPr="00127267">
          <w:rPr>
            <w:rStyle w:val="Hipercze"/>
            <w:noProof/>
          </w:rPr>
          <w:t>Rysunek 22. Długość sieci kanalizacyjnej w relacji do sieci wodociągowej w latach 2010-2019 (%)</w:t>
        </w:r>
        <w:r w:rsidR="00844729">
          <w:rPr>
            <w:noProof/>
            <w:webHidden/>
          </w:rPr>
          <w:tab/>
        </w:r>
        <w:r w:rsidR="00844729">
          <w:rPr>
            <w:noProof/>
            <w:webHidden/>
          </w:rPr>
          <w:fldChar w:fldCharType="begin"/>
        </w:r>
        <w:r w:rsidR="00844729">
          <w:rPr>
            <w:noProof/>
            <w:webHidden/>
          </w:rPr>
          <w:instrText xml:space="preserve"> PAGEREF _Toc81301550 \h </w:instrText>
        </w:r>
        <w:r w:rsidR="00844729">
          <w:rPr>
            <w:noProof/>
            <w:webHidden/>
          </w:rPr>
        </w:r>
        <w:r w:rsidR="00844729">
          <w:rPr>
            <w:noProof/>
            <w:webHidden/>
          </w:rPr>
          <w:fldChar w:fldCharType="separate"/>
        </w:r>
        <w:r w:rsidR="006C7815">
          <w:rPr>
            <w:noProof/>
            <w:webHidden/>
          </w:rPr>
          <w:t>48</w:t>
        </w:r>
        <w:r w:rsidR="00844729">
          <w:rPr>
            <w:noProof/>
            <w:webHidden/>
          </w:rPr>
          <w:fldChar w:fldCharType="end"/>
        </w:r>
      </w:hyperlink>
    </w:p>
    <w:p w14:paraId="400B6DEE" w14:textId="77777777" w:rsidR="00844729" w:rsidRDefault="00E2001F">
      <w:pPr>
        <w:pStyle w:val="Spisilustracji"/>
        <w:tabs>
          <w:tab w:val="right" w:leader="dot" w:pos="9060"/>
        </w:tabs>
        <w:rPr>
          <w:rFonts w:eastAsiaTheme="minorEastAsia"/>
          <w:i w:val="0"/>
          <w:noProof/>
          <w:sz w:val="22"/>
          <w:lang w:eastAsia="pl-PL"/>
        </w:rPr>
      </w:pPr>
      <w:hyperlink w:anchor="_Toc81301551" w:history="1">
        <w:r w:rsidR="00844729" w:rsidRPr="00127267">
          <w:rPr>
            <w:rStyle w:val="Hipercze"/>
            <w:noProof/>
          </w:rPr>
          <w:t>Rysunek 23. Zmiany współczynnika skolaryzacji w latach 2010-2018 w powiatach Południowych Mazur</w:t>
        </w:r>
        <w:r w:rsidR="00844729">
          <w:rPr>
            <w:noProof/>
            <w:webHidden/>
          </w:rPr>
          <w:tab/>
        </w:r>
        <w:r w:rsidR="00844729">
          <w:rPr>
            <w:noProof/>
            <w:webHidden/>
          </w:rPr>
          <w:fldChar w:fldCharType="begin"/>
        </w:r>
        <w:r w:rsidR="00844729">
          <w:rPr>
            <w:noProof/>
            <w:webHidden/>
          </w:rPr>
          <w:instrText xml:space="preserve"> PAGEREF _Toc81301551 \h </w:instrText>
        </w:r>
        <w:r w:rsidR="00844729">
          <w:rPr>
            <w:noProof/>
            <w:webHidden/>
          </w:rPr>
        </w:r>
        <w:r w:rsidR="00844729">
          <w:rPr>
            <w:noProof/>
            <w:webHidden/>
          </w:rPr>
          <w:fldChar w:fldCharType="separate"/>
        </w:r>
        <w:r w:rsidR="006C7815">
          <w:rPr>
            <w:noProof/>
            <w:webHidden/>
          </w:rPr>
          <w:t>51</w:t>
        </w:r>
        <w:r w:rsidR="00844729">
          <w:rPr>
            <w:noProof/>
            <w:webHidden/>
          </w:rPr>
          <w:fldChar w:fldCharType="end"/>
        </w:r>
      </w:hyperlink>
    </w:p>
    <w:p w14:paraId="11852B81" w14:textId="77777777" w:rsidR="00844729" w:rsidRDefault="00E2001F">
      <w:pPr>
        <w:pStyle w:val="Spisilustracji"/>
        <w:tabs>
          <w:tab w:val="right" w:leader="dot" w:pos="9060"/>
        </w:tabs>
        <w:rPr>
          <w:rFonts w:eastAsiaTheme="minorEastAsia"/>
          <w:i w:val="0"/>
          <w:noProof/>
          <w:sz w:val="22"/>
          <w:lang w:eastAsia="pl-PL"/>
        </w:rPr>
      </w:pPr>
      <w:hyperlink w:anchor="_Toc81301552" w:history="1">
        <w:r w:rsidR="00844729" w:rsidRPr="00127267">
          <w:rPr>
            <w:rStyle w:val="Hipercze"/>
            <w:noProof/>
          </w:rPr>
          <w:t>Rysunek 24. Kierunki kształcenia młodzieży uczęszczającej do techników na terenie PM (2018r.)</w:t>
        </w:r>
        <w:r w:rsidR="00844729">
          <w:rPr>
            <w:noProof/>
            <w:webHidden/>
          </w:rPr>
          <w:tab/>
        </w:r>
        <w:r w:rsidR="00844729">
          <w:rPr>
            <w:noProof/>
            <w:webHidden/>
          </w:rPr>
          <w:fldChar w:fldCharType="begin"/>
        </w:r>
        <w:r w:rsidR="00844729">
          <w:rPr>
            <w:noProof/>
            <w:webHidden/>
          </w:rPr>
          <w:instrText xml:space="preserve"> PAGEREF _Toc81301552 \h </w:instrText>
        </w:r>
        <w:r w:rsidR="00844729">
          <w:rPr>
            <w:noProof/>
            <w:webHidden/>
          </w:rPr>
        </w:r>
        <w:r w:rsidR="00844729">
          <w:rPr>
            <w:noProof/>
            <w:webHidden/>
          </w:rPr>
          <w:fldChar w:fldCharType="separate"/>
        </w:r>
        <w:r w:rsidR="006C7815">
          <w:rPr>
            <w:noProof/>
            <w:webHidden/>
          </w:rPr>
          <w:t>53</w:t>
        </w:r>
        <w:r w:rsidR="00844729">
          <w:rPr>
            <w:noProof/>
            <w:webHidden/>
          </w:rPr>
          <w:fldChar w:fldCharType="end"/>
        </w:r>
      </w:hyperlink>
    </w:p>
    <w:p w14:paraId="3CE29C2D" w14:textId="77777777" w:rsidR="00844729" w:rsidRDefault="00E2001F">
      <w:pPr>
        <w:pStyle w:val="Spisilustracji"/>
        <w:tabs>
          <w:tab w:val="right" w:leader="dot" w:pos="9060"/>
        </w:tabs>
        <w:rPr>
          <w:rFonts w:eastAsiaTheme="minorEastAsia"/>
          <w:i w:val="0"/>
          <w:noProof/>
          <w:sz w:val="22"/>
          <w:lang w:eastAsia="pl-PL"/>
        </w:rPr>
      </w:pPr>
      <w:hyperlink w:anchor="_Toc81301553" w:history="1">
        <w:r w:rsidR="00844729" w:rsidRPr="00127267">
          <w:rPr>
            <w:rStyle w:val="Hipercze"/>
            <w:noProof/>
          </w:rPr>
          <w:t>Rysunek 25. Liczba porad lekarskich podstawowej opieki medycznej na 10 tys. mieszkańców w latach 2012-2019</w:t>
        </w:r>
        <w:r w:rsidR="00844729">
          <w:rPr>
            <w:noProof/>
            <w:webHidden/>
          </w:rPr>
          <w:tab/>
        </w:r>
        <w:r w:rsidR="00844729">
          <w:rPr>
            <w:noProof/>
            <w:webHidden/>
          </w:rPr>
          <w:fldChar w:fldCharType="begin"/>
        </w:r>
        <w:r w:rsidR="00844729">
          <w:rPr>
            <w:noProof/>
            <w:webHidden/>
          </w:rPr>
          <w:instrText xml:space="preserve"> PAGEREF _Toc81301553 \h </w:instrText>
        </w:r>
        <w:r w:rsidR="00844729">
          <w:rPr>
            <w:noProof/>
            <w:webHidden/>
          </w:rPr>
        </w:r>
        <w:r w:rsidR="00844729">
          <w:rPr>
            <w:noProof/>
            <w:webHidden/>
          </w:rPr>
          <w:fldChar w:fldCharType="separate"/>
        </w:r>
        <w:r w:rsidR="006C7815">
          <w:rPr>
            <w:noProof/>
            <w:webHidden/>
          </w:rPr>
          <w:t>57</w:t>
        </w:r>
        <w:r w:rsidR="00844729">
          <w:rPr>
            <w:noProof/>
            <w:webHidden/>
          </w:rPr>
          <w:fldChar w:fldCharType="end"/>
        </w:r>
      </w:hyperlink>
    </w:p>
    <w:p w14:paraId="5C8E398C" w14:textId="77777777" w:rsidR="00844729" w:rsidRDefault="00E2001F">
      <w:pPr>
        <w:pStyle w:val="Spisilustracji"/>
        <w:tabs>
          <w:tab w:val="right" w:leader="dot" w:pos="9060"/>
        </w:tabs>
        <w:rPr>
          <w:rFonts w:eastAsiaTheme="minorEastAsia"/>
          <w:i w:val="0"/>
          <w:noProof/>
          <w:sz w:val="22"/>
          <w:lang w:eastAsia="pl-PL"/>
        </w:rPr>
      </w:pPr>
      <w:hyperlink w:anchor="_Toc81301554" w:history="1">
        <w:r w:rsidR="00844729" w:rsidRPr="00127267">
          <w:rPr>
            <w:rStyle w:val="Hipercze"/>
            <w:noProof/>
          </w:rPr>
          <w:t>Rysunek 26. Liczba lekarzy (personel pracujący ogółem) na 10 tys. mieszkańców w latach 2010-2018</w:t>
        </w:r>
        <w:r w:rsidR="00844729">
          <w:rPr>
            <w:noProof/>
            <w:webHidden/>
          </w:rPr>
          <w:tab/>
        </w:r>
        <w:r w:rsidR="00844729">
          <w:rPr>
            <w:noProof/>
            <w:webHidden/>
          </w:rPr>
          <w:fldChar w:fldCharType="begin"/>
        </w:r>
        <w:r w:rsidR="00844729">
          <w:rPr>
            <w:noProof/>
            <w:webHidden/>
          </w:rPr>
          <w:instrText xml:space="preserve"> PAGEREF _Toc81301554 \h </w:instrText>
        </w:r>
        <w:r w:rsidR="00844729">
          <w:rPr>
            <w:noProof/>
            <w:webHidden/>
          </w:rPr>
        </w:r>
        <w:r w:rsidR="00844729">
          <w:rPr>
            <w:noProof/>
            <w:webHidden/>
          </w:rPr>
          <w:fldChar w:fldCharType="separate"/>
        </w:r>
        <w:r w:rsidR="006C7815">
          <w:rPr>
            <w:noProof/>
            <w:webHidden/>
          </w:rPr>
          <w:t>61</w:t>
        </w:r>
        <w:r w:rsidR="00844729">
          <w:rPr>
            <w:noProof/>
            <w:webHidden/>
          </w:rPr>
          <w:fldChar w:fldCharType="end"/>
        </w:r>
      </w:hyperlink>
    </w:p>
    <w:p w14:paraId="57428979" w14:textId="77777777" w:rsidR="00844729" w:rsidRDefault="00E2001F">
      <w:pPr>
        <w:pStyle w:val="Spisilustracji"/>
        <w:tabs>
          <w:tab w:val="right" w:leader="dot" w:pos="9060"/>
        </w:tabs>
        <w:rPr>
          <w:rFonts w:eastAsiaTheme="minorEastAsia"/>
          <w:i w:val="0"/>
          <w:noProof/>
          <w:sz w:val="22"/>
          <w:lang w:eastAsia="pl-PL"/>
        </w:rPr>
      </w:pPr>
      <w:hyperlink w:anchor="_Toc81301555" w:history="1">
        <w:r w:rsidR="00844729" w:rsidRPr="00127267">
          <w:rPr>
            <w:rStyle w:val="Hipercze"/>
            <w:noProof/>
          </w:rPr>
          <w:t>Rysunek 27. Liczba pielęgniarek i położnych (personel pracujący ogółem) na 10 tys. mieszkańców w latach 2010-2018</w:t>
        </w:r>
        <w:r w:rsidR="00844729">
          <w:rPr>
            <w:noProof/>
            <w:webHidden/>
          </w:rPr>
          <w:tab/>
        </w:r>
        <w:r w:rsidR="00844729">
          <w:rPr>
            <w:noProof/>
            <w:webHidden/>
          </w:rPr>
          <w:fldChar w:fldCharType="begin"/>
        </w:r>
        <w:r w:rsidR="00844729">
          <w:rPr>
            <w:noProof/>
            <w:webHidden/>
          </w:rPr>
          <w:instrText xml:space="preserve"> PAGEREF _Toc81301555 \h </w:instrText>
        </w:r>
        <w:r w:rsidR="00844729">
          <w:rPr>
            <w:noProof/>
            <w:webHidden/>
          </w:rPr>
        </w:r>
        <w:r w:rsidR="00844729">
          <w:rPr>
            <w:noProof/>
            <w:webHidden/>
          </w:rPr>
          <w:fldChar w:fldCharType="separate"/>
        </w:r>
        <w:r w:rsidR="006C7815">
          <w:rPr>
            <w:noProof/>
            <w:webHidden/>
          </w:rPr>
          <w:t>61</w:t>
        </w:r>
        <w:r w:rsidR="00844729">
          <w:rPr>
            <w:noProof/>
            <w:webHidden/>
          </w:rPr>
          <w:fldChar w:fldCharType="end"/>
        </w:r>
      </w:hyperlink>
    </w:p>
    <w:p w14:paraId="2EA0CA17" w14:textId="77777777" w:rsidR="00844729" w:rsidRDefault="00E2001F">
      <w:pPr>
        <w:pStyle w:val="Spisilustracji"/>
        <w:tabs>
          <w:tab w:val="right" w:leader="dot" w:pos="9060"/>
        </w:tabs>
        <w:rPr>
          <w:rFonts w:eastAsiaTheme="minorEastAsia"/>
          <w:i w:val="0"/>
          <w:noProof/>
          <w:sz w:val="22"/>
          <w:lang w:eastAsia="pl-PL"/>
        </w:rPr>
      </w:pPr>
      <w:hyperlink w:anchor="_Toc81301556" w:history="1">
        <w:r w:rsidR="00844729" w:rsidRPr="00127267">
          <w:rPr>
            <w:rStyle w:val="Hipercze"/>
            <w:noProof/>
          </w:rPr>
          <w:t>Rysunek 28. Rodziny, którym na podstawie decyzji przyznano pomoc wg przyczyn (2014-2019)</w:t>
        </w:r>
        <w:r w:rsidR="00844729">
          <w:rPr>
            <w:noProof/>
            <w:webHidden/>
          </w:rPr>
          <w:tab/>
        </w:r>
        <w:r w:rsidR="00844729">
          <w:rPr>
            <w:noProof/>
            <w:webHidden/>
          </w:rPr>
          <w:fldChar w:fldCharType="begin"/>
        </w:r>
        <w:r w:rsidR="00844729">
          <w:rPr>
            <w:noProof/>
            <w:webHidden/>
          </w:rPr>
          <w:instrText xml:space="preserve"> PAGEREF _Toc81301556 \h </w:instrText>
        </w:r>
        <w:r w:rsidR="00844729">
          <w:rPr>
            <w:noProof/>
            <w:webHidden/>
          </w:rPr>
        </w:r>
        <w:r w:rsidR="00844729">
          <w:rPr>
            <w:noProof/>
            <w:webHidden/>
          </w:rPr>
          <w:fldChar w:fldCharType="separate"/>
        </w:r>
        <w:r w:rsidR="006C7815">
          <w:rPr>
            <w:noProof/>
            <w:webHidden/>
          </w:rPr>
          <w:t>62</w:t>
        </w:r>
        <w:r w:rsidR="00844729">
          <w:rPr>
            <w:noProof/>
            <w:webHidden/>
          </w:rPr>
          <w:fldChar w:fldCharType="end"/>
        </w:r>
      </w:hyperlink>
    </w:p>
    <w:p w14:paraId="697593BE" w14:textId="77777777" w:rsidR="00844729" w:rsidRDefault="00E2001F">
      <w:pPr>
        <w:pStyle w:val="Spisilustracji"/>
        <w:tabs>
          <w:tab w:val="right" w:leader="dot" w:pos="9060"/>
        </w:tabs>
        <w:rPr>
          <w:rFonts w:eastAsiaTheme="minorEastAsia"/>
          <w:i w:val="0"/>
          <w:noProof/>
          <w:sz w:val="22"/>
          <w:lang w:eastAsia="pl-PL"/>
        </w:rPr>
      </w:pPr>
      <w:hyperlink w:anchor="_Toc81301557" w:history="1">
        <w:r w:rsidR="00844729" w:rsidRPr="00127267">
          <w:rPr>
            <w:rStyle w:val="Hipercze"/>
            <w:noProof/>
          </w:rPr>
          <w:t>Rysunek 29. Beneficjenci środowiskowej pomocy społecznej w powiatach PM w latach 2010-2018</w:t>
        </w:r>
        <w:r w:rsidR="00844729">
          <w:rPr>
            <w:noProof/>
            <w:webHidden/>
          </w:rPr>
          <w:tab/>
        </w:r>
        <w:r w:rsidR="00844729">
          <w:rPr>
            <w:noProof/>
            <w:webHidden/>
          </w:rPr>
          <w:fldChar w:fldCharType="begin"/>
        </w:r>
        <w:r w:rsidR="00844729">
          <w:rPr>
            <w:noProof/>
            <w:webHidden/>
          </w:rPr>
          <w:instrText xml:space="preserve"> PAGEREF _Toc81301557 \h </w:instrText>
        </w:r>
        <w:r w:rsidR="00844729">
          <w:rPr>
            <w:noProof/>
            <w:webHidden/>
          </w:rPr>
        </w:r>
        <w:r w:rsidR="00844729">
          <w:rPr>
            <w:noProof/>
            <w:webHidden/>
          </w:rPr>
          <w:fldChar w:fldCharType="separate"/>
        </w:r>
        <w:r w:rsidR="006C7815">
          <w:rPr>
            <w:noProof/>
            <w:webHidden/>
          </w:rPr>
          <w:t>63</w:t>
        </w:r>
        <w:r w:rsidR="00844729">
          <w:rPr>
            <w:noProof/>
            <w:webHidden/>
          </w:rPr>
          <w:fldChar w:fldCharType="end"/>
        </w:r>
      </w:hyperlink>
    </w:p>
    <w:p w14:paraId="5EB1D37D" w14:textId="77777777" w:rsidR="00844729" w:rsidRDefault="00E2001F">
      <w:pPr>
        <w:pStyle w:val="Spisilustracji"/>
        <w:tabs>
          <w:tab w:val="right" w:leader="dot" w:pos="9060"/>
        </w:tabs>
        <w:rPr>
          <w:rFonts w:eastAsiaTheme="minorEastAsia"/>
          <w:i w:val="0"/>
          <w:noProof/>
          <w:sz w:val="22"/>
          <w:lang w:eastAsia="pl-PL"/>
        </w:rPr>
      </w:pPr>
      <w:hyperlink w:anchor="_Toc81301558" w:history="1">
        <w:r w:rsidR="00844729" w:rsidRPr="00127267">
          <w:rPr>
            <w:rStyle w:val="Hipercze"/>
            <w:noProof/>
          </w:rPr>
          <w:t>Rysunek 30. Dochody własne powiatów PM w przeliczeniu na mieszkańca (2010-2019)</w:t>
        </w:r>
        <w:r w:rsidR="00844729">
          <w:rPr>
            <w:noProof/>
            <w:webHidden/>
          </w:rPr>
          <w:tab/>
        </w:r>
        <w:r w:rsidR="00844729">
          <w:rPr>
            <w:noProof/>
            <w:webHidden/>
          </w:rPr>
          <w:fldChar w:fldCharType="begin"/>
        </w:r>
        <w:r w:rsidR="00844729">
          <w:rPr>
            <w:noProof/>
            <w:webHidden/>
          </w:rPr>
          <w:instrText xml:space="preserve"> PAGEREF _Toc81301558 \h </w:instrText>
        </w:r>
        <w:r w:rsidR="00844729">
          <w:rPr>
            <w:noProof/>
            <w:webHidden/>
          </w:rPr>
        </w:r>
        <w:r w:rsidR="00844729">
          <w:rPr>
            <w:noProof/>
            <w:webHidden/>
          </w:rPr>
          <w:fldChar w:fldCharType="separate"/>
        </w:r>
        <w:r w:rsidR="006C7815">
          <w:rPr>
            <w:noProof/>
            <w:webHidden/>
          </w:rPr>
          <w:t>64</w:t>
        </w:r>
        <w:r w:rsidR="00844729">
          <w:rPr>
            <w:noProof/>
            <w:webHidden/>
          </w:rPr>
          <w:fldChar w:fldCharType="end"/>
        </w:r>
      </w:hyperlink>
    </w:p>
    <w:p w14:paraId="670B38BA" w14:textId="77777777" w:rsidR="00844729" w:rsidRDefault="00E2001F">
      <w:pPr>
        <w:pStyle w:val="Spisilustracji"/>
        <w:tabs>
          <w:tab w:val="right" w:leader="dot" w:pos="9060"/>
        </w:tabs>
        <w:rPr>
          <w:rFonts w:eastAsiaTheme="minorEastAsia"/>
          <w:i w:val="0"/>
          <w:noProof/>
          <w:sz w:val="22"/>
          <w:lang w:eastAsia="pl-PL"/>
        </w:rPr>
      </w:pPr>
      <w:hyperlink w:anchor="_Toc81301559" w:history="1">
        <w:r w:rsidR="00844729" w:rsidRPr="00127267">
          <w:rPr>
            <w:rStyle w:val="Hipercze"/>
            <w:noProof/>
          </w:rPr>
          <w:t>Rysunek 31. Udział subwencji ogólnej w dochodach ogółem budżetów powiatów w latach 2010-2019</w:t>
        </w:r>
        <w:r w:rsidR="00844729">
          <w:rPr>
            <w:noProof/>
            <w:webHidden/>
          </w:rPr>
          <w:tab/>
        </w:r>
        <w:r w:rsidR="00844729">
          <w:rPr>
            <w:noProof/>
            <w:webHidden/>
          </w:rPr>
          <w:fldChar w:fldCharType="begin"/>
        </w:r>
        <w:r w:rsidR="00844729">
          <w:rPr>
            <w:noProof/>
            <w:webHidden/>
          </w:rPr>
          <w:instrText xml:space="preserve"> PAGEREF _Toc81301559 \h </w:instrText>
        </w:r>
        <w:r w:rsidR="00844729">
          <w:rPr>
            <w:noProof/>
            <w:webHidden/>
          </w:rPr>
        </w:r>
        <w:r w:rsidR="00844729">
          <w:rPr>
            <w:noProof/>
            <w:webHidden/>
          </w:rPr>
          <w:fldChar w:fldCharType="separate"/>
        </w:r>
        <w:r w:rsidR="006C7815">
          <w:rPr>
            <w:noProof/>
            <w:webHidden/>
          </w:rPr>
          <w:t>65</w:t>
        </w:r>
        <w:r w:rsidR="00844729">
          <w:rPr>
            <w:noProof/>
            <w:webHidden/>
          </w:rPr>
          <w:fldChar w:fldCharType="end"/>
        </w:r>
      </w:hyperlink>
    </w:p>
    <w:p w14:paraId="348C1B00" w14:textId="77777777" w:rsidR="00844729" w:rsidRDefault="00E2001F">
      <w:pPr>
        <w:pStyle w:val="Spisilustracji"/>
        <w:tabs>
          <w:tab w:val="right" w:leader="dot" w:pos="9060"/>
        </w:tabs>
        <w:rPr>
          <w:rFonts w:eastAsiaTheme="minorEastAsia"/>
          <w:i w:val="0"/>
          <w:noProof/>
          <w:sz w:val="22"/>
          <w:lang w:eastAsia="pl-PL"/>
        </w:rPr>
      </w:pPr>
      <w:hyperlink w:anchor="_Toc81301560" w:history="1">
        <w:r w:rsidR="00844729" w:rsidRPr="00127267">
          <w:rPr>
            <w:rStyle w:val="Hipercze"/>
            <w:noProof/>
          </w:rPr>
          <w:t>Rysunek 32. Dochody własne powiatów na mieszkańca w latach 2010-2019</w:t>
        </w:r>
        <w:r w:rsidR="00844729">
          <w:rPr>
            <w:noProof/>
            <w:webHidden/>
          </w:rPr>
          <w:tab/>
        </w:r>
        <w:r w:rsidR="00844729">
          <w:rPr>
            <w:noProof/>
            <w:webHidden/>
          </w:rPr>
          <w:fldChar w:fldCharType="begin"/>
        </w:r>
        <w:r w:rsidR="00844729">
          <w:rPr>
            <w:noProof/>
            <w:webHidden/>
          </w:rPr>
          <w:instrText xml:space="preserve"> PAGEREF _Toc81301560 \h </w:instrText>
        </w:r>
        <w:r w:rsidR="00844729">
          <w:rPr>
            <w:noProof/>
            <w:webHidden/>
          </w:rPr>
        </w:r>
        <w:r w:rsidR="00844729">
          <w:rPr>
            <w:noProof/>
            <w:webHidden/>
          </w:rPr>
          <w:fldChar w:fldCharType="separate"/>
        </w:r>
        <w:r w:rsidR="006C7815">
          <w:rPr>
            <w:noProof/>
            <w:webHidden/>
          </w:rPr>
          <w:t>65</w:t>
        </w:r>
        <w:r w:rsidR="00844729">
          <w:rPr>
            <w:noProof/>
            <w:webHidden/>
          </w:rPr>
          <w:fldChar w:fldCharType="end"/>
        </w:r>
      </w:hyperlink>
    </w:p>
    <w:p w14:paraId="7DF4AA42" w14:textId="77777777" w:rsidR="00844729" w:rsidRDefault="00E2001F">
      <w:pPr>
        <w:pStyle w:val="Spisilustracji"/>
        <w:tabs>
          <w:tab w:val="right" w:leader="dot" w:pos="9060"/>
        </w:tabs>
        <w:rPr>
          <w:rFonts w:eastAsiaTheme="minorEastAsia"/>
          <w:i w:val="0"/>
          <w:noProof/>
          <w:sz w:val="22"/>
          <w:lang w:eastAsia="pl-PL"/>
        </w:rPr>
      </w:pPr>
      <w:hyperlink w:anchor="_Toc81301561" w:history="1">
        <w:r w:rsidR="00844729" w:rsidRPr="00127267">
          <w:rPr>
            <w:rStyle w:val="Hipercze"/>
            <w:noProof/>
          </w:rPr>
          <w:t>Rysunek 33. Wydatki budżetów powiatów w przeliczeniu na mieszkańca w latach 2010-2019</w:t>
        </w:r>
        <w:r w:rsidR="00844729">
          <w:rPr>
            <w:noProof/>
            <w:webHidden/>
          </w:rPr>
          <w:tab/>
        </w:r>
        <w:r w:rsidR="00844729">
          <w:rPr>
            <w:noProof/>
            <w:webHidden/>
          </w:rPr>
          <w:fldChar w:fldCharType="begin"/>
        </w:r>
        <w:r w:rsidR="00844729">
          <w:rPr>
            <w:noProof/>
            <w:webHidden/>
          </w:rPr>
          <w:instrText xml:space="preserve"> PAGEREF _Toc81301561 \h </w:instrText>
        </w:r>
        <w:r w:rsidR="00844729">
          <w:rPr>
            <w:noProof/>
            <w:webHidden/>
          </w:rPr>
        </w:r>
        <w:r w:rsidR="00844729">
          <w:rPr>
            <w:noProof/>
            <w:webHidden/>
          </w:rPr>
          <w:fldChar w:fldCharType="separate"/>
        </w:r>
        <w:r w:rsidR="006C7815">
          <w:rPr>
            <w:noProof/>
            <w:webHidden/>
          </w:rPr>
          <w:t>66</w:t>
        </w:r>
        <w:r w:rsidR="00844729">
          <w:rPr>
            <w:noProof/>
            <w:webHidden/>
          </w:rPr>
          <w:fldChar w:fldCharType="end"/>
        </w:r>
      </w:hyperlink>
    </w:p>
    <w:p w14:paraId="2E34AF52" w14:textId="77777777" w:rsidR="00844729" w:rsidRDefault="00E2001F">
      <w:pPr>
        <w:pStyle w:val="Spisilustracji"/>
        <w:tabs>
          <w:tab w:val="right" w:leader="dot" w:pos="9060"/>
        </w:tabs>
        <w:rPr>
          <w:rFonts w:eastAsiaTheme="minorEastAsia"/>
          <w:i w:val="0"/>
          <w:noProof/>
          <w:sz w:val="22"/>
          <w:lang w:eastAsia="pl-PL"/>
        </w:rPr>
      </w:pPr>
      <w:hyperlink w:anchor="_Toc81301562" w:history="1">
        <w:r w:rsidR="00844729" w:rsidRPr="00127267">
          <w:rPr>
            <w:rStyle w:val="Hipercze"/>
            <w:noProof/>
          </w:rPr>
          <w:t>Rysunek 34. Wynik finansowy budżetów powiatów Południowych Mazur w latach 2010-2019</w:t>
        </w:r>
        <w:r w:rsidR="00844729">
          <w:rPr>
            <w:noProof/>
            <w:webHidden/>
          </w:rPr>
          <w:tab/>
        </w:r>
        <w:r w:rsidR="00844729">
          <w:rPr>
            <w:noProof/>
            <w:webHidden/>
          </w:rPr>
          <w:fldChar w:fldCharType="begin"/>
        </w:r>
        <w:r w:rsidR="00844729">
          <w:rPr>
            <w:noProof/>
            <w:webHidden/>
          </w:rPr>
          <w:instrText xml:space="preserve"> PAGEREF _Toc81301562 \h </w:instrText>
        </w:r>
        <w:r w:rsidR="00844729">
          <w:rPr>
            <w:noProof/>
            <w:webHidden/>
          </w:rPr>
        </w:r>
        <w:r w:rsidR="00844729">
          <w:rPr>
            <w:noProof/>
            <w:webHidden/>
          </w:rPr>
          <w:fldChar w:fldCharType="separate"/>
        </w:r>
        <w:r w:rsidR="006C7815">
          <w:rPr>
            <w:noProof/>
            <w:webHidden/>
          </w:rPr>
          <w:t>68</w:t>
        </w:r>
        <w:r w:rsidR="00844729">
          <w:rPr>
            <w:noProof/>
            <w:webHidden/>
          </w:rPr>
          <w:fldChar w:fldCharType="end"/>
        </w:r>
      </w:hyperlink>
    </w:p>
    <w:p w14:paraId="3636B4AE" w14:textId="77777777" w:rsidR="00844729" w:rsidRDefault="00E2001F">
      <w:pPr>
        <w:pStyle w:val="Spisilustracji"/>
        <w:tabs>
          <w:tab w:val="right" w:leader="dot" w:pos="9060"/>
        </w:tabs>
        <w:rPr>
          <w:rFonts w:eastAsiaTheme="minorEastAsia"/>
          <w:i w:val="0"/>
          <w:noProof/>
          <w:sz w:val="22"/>
          <w:lang w:eastAsia="pl-PL"/>
        </w:rPr>
      </w:pPr>
      <w:hyperlink w:anchor="_Toc81301563" w:history="1">
        <w:r w:rsidR="00844729" w:rsidRPr="00127267">
          <w:rPr>
            <w:rStyle w:val="Hipercze"/>
            <w:noProof/>
          </w:rPr>
          <w:t>Rysunek 35 Struktura zarządzania procesem wdrażania Strategii</w:t>
        </w:r>
        <w:r w:rsidR="00844729">
          <w:rPr>
            <w:noProof/>
            <w:webHidden/>
          </w:rPr>
          <w:tab/>
        </w:r>
        <w:r w:rsidR="00844729">
          <w:rPr>
            <w:noProof/>
            <w:webHidden/>
          </w:rPr>
          <w:fldChar w:fldCharType="begin"/>
        </w:r>
        <w:r w:rsidR="00844729">
          <w:rPr>
            <w:noProof/>
            <w:webHidden/>
          </w:rPr>
          <w:instrText xml:space="preserve"> PAGEREF _Toc81301563 \h </w:instrText>
        </w:r>
        <w:r w:rsidR="00844729">
          <w:rPr>
            <w:noProof/>
            <w:webHidden/>
          </w:rPr>
        </w:r>
        <w:r w:rsidR="00844729">
          <w:rPr>
            <w:noProof/>
            <w:webHidden/>
          </w:rPr>
          <w:fldChar w:fldCharType="separate"/>
        </w:r>
        <w:r w:rsidR="006C7815">
          <w:rPr>
            <w:noProof/>
            <w:webHidden/>
          </w:rPr>
          <w:t>104</w:t>
        </w:r>
        <w:r w:rsidR="00844729">
          <w:rPr>
            <w:noProof/>
            <w:webHidden/>
          </w:rPr>
          <w:fldChar w:fldCharType="end"/>
        </w:r>
      </w:hyperlink>
    </w:p>
    <w:p w14:paraId="1231C6BF" w14:textId="2C29CE1B" w:rsidR="00575FF9" w:rsidRPr="005D5D6B" w:rsidRDefault="001676E7" w:rsidP="005D5D6B">
      <w:r>
        <w:fldChar w:fldCharType="end"/>
      </w:r>
    </w:p>
    <w:sectPr w:rsidR="00575FF9" w:rsidRPr="005D5D6B" w:rsidSect="00BB5769">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C032C2" w14:textId="77777777" w:rsidR="00E2001F" w:rsidRDefault="00E2001F" w:rsidP="00EA2B5F">
      <w:pPr>
        <w:spacing w:after="0" w:line="240" w:lineRule="auto"/>
      </w:pPr>
      <w:r>
        <w:separator/>
      </w:r>
    </w:p>
  </w:endnote>
  <w:endnote w:type="continuationSeparator" w:id="0">
    <w:p w14:paraId="756CB2C8" w14:textId="77777777" w:rsidR="00E2001F" w:rsidRDefault="00E2001F" w:rsidP="00EA2B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8526678"/>
      <w:docPartObj>
        <w:docPartGallery w:val="Page Numbers (Bottom of Page)"/>
        <w:docPartUnique/>
      </w:docPartObj>
    </w:sdtPr>
    <w:sdtEndPr>
      <w:rPr>
        <w:b/>
        <w:color w:val="00B0F0"/>
      </w:rPr>
    </w:sdtEndPr>
    <w:sdtContent>
      <w:p w14:paraId="6800E1CD" w14:textId="77777777" w:rsidR="006D24CC" w:rsidRPr="00374AD6" w:rsidRDefault="006D24CC" w:rsidP="00374AD6">
        <w:pPr>
          <w:pStyle w:val="Nagwek"/>
          <w:rPr>
            <w:b/>
            <w:color w:val="00B0F0"/>
            <w:sz w:val="20"/>
            <w:szCs w:val="23"/>
          </w:rPr>
        </w:pPr>
      </w:p>
      <w:p w14:paraId="04E35144" w14:textId="77777777" w:rsidR="006D24CC" w:rsidRDefault="00E2001F" w:rsidP="00374AD6">
        <w:pPr>
          <w:tabs>
            <w:tab w:val="center" w:pos="4536"/>
            <w:tab w:val="right" w:pos="9072"/>
          </w:tabs>
          <w:spacing w:after="0" w:line="120" w:lineRule="auto"/>
          <w:jc w:val="center"/>
        </w:pPr>
        <w:r>
          <w:pict w14:anchorId="1DBDA019">
            <v:rect id="_x0000_i1027" style="width:453.6pt;height:1pt" o:hralign="center" o:hrstd="t" o:hrnoshade="t" o:hr="t" fillcolor="#92d050" stroked="f"/>
          </w:pict>
        </w:r>
      </w:p>
      <w:p w14:paraId="1FB13E60" w14:textId="77777777" w:rsidR="006D24CC" w:rsidRPr="00374AD6" w:rsidRDefault="006D24CC" w:rsidP="00374AD6">
        <w:pPr>
          <w:pStyle w:val="Stopka"/>
          <w:rPr>
            <w:b/>
            <w:color w:val="00B0F0"/>
          </w:rPr>
        </w:pPr>
        <w:r w:rsidRPr="00374AD6">
          <w:rPr>
            <w:b/>
            <w:color w:val="00B0F0"/>
          </w:rPr>
          <w:fldChar w:fldCharType="begin"/>
        </w:r>
        <w:r w:rsidRPr="00374AD6">
          <w:rPr>
            <w:b/>
            <w:color w:val="00B0F0"/>
          </w:rPr>
          <w:instrText>PAGE   \* MERGEFORMAT</w:instrText>
        </w:r>
        <w:r w:rsidRPr="00374AD6">
          <w:rPr>
            <w:b/>
            <w:color w:val="00B0F0"/>
          </w:rPr>
          <w:fldChar w:fldCharType="separate"/>
        </w:r>
        <w:r w:rsidR="00977BB5">
          <w:rPr>
            <w:b/>
            <w:noProof/>
            <w:color w:val="00B0F0"/>
          </w:rPr>
          <w:t>110</w:t>
        </w:r>
        <w:r w:rsidRPr="00374AD6">
          <w:rPr>
            <w:b/>
            <w:color w:val="00B0F0"/>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60245298"/>
      <w:docPartObj>
        <w:docPartGallery w:val="Page Numbers (Bottom of Page)"/>
        <w:docPartUnique/>
      </w:docPartObj>
    </w:sdtPr>
    <w:sdtEndPr>
      <w:rPr>
        <w:b/>
        <w:color w:val="00B0F0"/>
      </w:rPr>
    </w:sdtEndPr>
    <w:sdtContent>
      <w:p w14:paraId="670CC571" w14:textId="1B6734A6" w:rsidR="006D24CC" w:rsidRPr="00374AD6" w:rsidRDefault="006D24CC" w:rsidP="00374AD6">
        <w:pPr>
          <w:pStyle w:val="Nagwek"/>
          <w:rPr>
            <w:b/>
            <w:color w:val="00B0F0"/>
            <w:sz w:val="20"/>
            <w:szCs w:val="23"/>
          </w:rPr>
        </w:pPr>
      </w:p>
      <w:p w14:paraId="6FFF790F" w14:textId="77777777" w:rsidR="006D24CC" w:rsidRDefault="00E2001F" w:rsidP="00374AD6">
        <w:pPr>
          <w:tabs>
            <w:tab w:val="center" w:pos="4536"/>
            <w:tab w:val="right" w:pos="9072"/>
          </w:tabs>
          <w:spacing w:after="0" w:line="120" w:lineRule="auto"/>
          <w:jc w:val="center"/>
        </w:pPr>
        <w:r>
          <w:pict w14:anchorId="47AD867A">
            <v:rect id="_x0000_i1028" style="width:453.6pt;height:1pt" o:hralign="center" o:hrstd="t" o:hrnoshade="t" o:hr="t" fillcolor="#92d050" stroked="f"/>
          </w:pict>
        </w:r>
      </w:p>
      <w:p w14:paraId="487B4706" w14:textId="5F4C0A47" w:rsidR="006D24CC" w:rsidRPr="00374AD6" w:rsidRDefault="006D24CC" w:rsidP="00374AD6">
        <w:pPr>
          <w:pStyle w:val="Stopka"/>
          <w:jc w:val="right"/>
          <w:rPr>
            <w:b/>
            <w:color w:val="00B0F0"/>
          </w:rPr>
        </w:pPr>
        <w:r w:rsidRPr="00374AD6">
          <w:rPr>
            <w:b/>
            <w:color w:val="00B0F0"/>
          </w:rPr>
          <w:fldChar w:fldCharType="begin"/>
        </w:r>
        <w:r w:rsidRPr="00374AD6">
          <w:rPr>
            <w:b/>
            <w:color w:val="00B0F0"/>
          </w:rPr>
          <w:instrText>PAGE   \* MERGEFORMAT</w:instrText>
        </w:r>
        <w:r w:rsidRPr="00374AD6">
          <w:rPr>
            <w:b/>
            <w:color w:val="00B0F0"/>
          </w:rPr>
          <w:fldChar w:fldCharType="separate"/>
        </w:r>
        <w:r w:rsidR="00977BB5">
          <w:rPr>
            <w:b/>
            <w:noProof/>
            <w:color w:val="00B0F0"/>
          </w:rPr>
          <w:t>109</w:t>
        </w:r>
        <w:r w:rsidRPr="00374AD6">
          <w:rPr>
            <w:b/>
            <w:color w:val="00B0F0"/>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17376840"/>
      <w:docPartObj>
        <w:docPartGallery w:val="Page Numbers (Bottom of Page)"/>
        <w:docPartUnique/>
      </w:docPartObj>
    </w:sdtPr>
    <w:sdtEndPr/>
    <w:sdtContent>
      <w:p w14:paraId="12FCB01B" w14:textId="77777777" w:rsidR="006D24CC" w:rsidRPr="00374AD6" w:rsidRDefault="006D24CC" w:rsidP="00374AD6">
        <w:pPr>
          <w:pStyle w:val="Nagwek"/>
          <w:rPr>
            <w:b/>
            <w:color w:val="00B0F0"/>
            <w:sz w:val="20"/>
            <w:szCs w:val="23"/>
          </w:rPr>
        </w:pPr>
      </w:p>
      <w:p w14:paraId="02FCBBA7" w14:textId="77777777" w:rsidR="006D24CC" w:rsidRDefault="00E2001F" w:rsidP="00374AD6">
        <w:pPr>
          <w:tabs>
            <w:tab w:val="center" w:pos="4536"/>
            <w:tab w:val="right" w:pos="9072"/>
          </w:tabs>
          <w:spacing w:after="0" w:line="120" w:lineRule="auto"/>
          <w:jc w:val="center"/>
        </w:pPr>
        <w:r>
          <w:pict w14:anchorId="412DA2AF">
            <v:rect id="_x0000_i1029" style="width:453.6pt;height:1pt" o:hralign="center" o:hrstd="t" o:hrnoshade="t" o:hr="t" fillcolor="#92d050" stroked="f"/>
          </w:pict>
        </w:r>
      </w:p>
      <w:p w14:paraId="34B7AB5B" w14:textId="77777777" w:rsidR="006D24CC" w:rsidRDefault="006D24CC" w:rsidP="00374AD6">
        <w:pPr>
          <w:pStyle w:val="Stopka"/>
        </w:pPr>
        <w:r>
          <w:fldChar w:fldCharType="begin"/>
        </w:r>
        <w:r>
          <w:instrText>PAGE   \* MERGEFORMAT</w:instrText>
        </w:r>
        <w:r>
          <w:fldChar w:fldCharType="separate"/>
        </w:r>
        <w:r>
          <w:rPr>
            <w:noProof/>
          </w:rPr>
          <w:t>0</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694F1F" w14:textId="77777777" w:rsidR="00E2001F" w:rsidRDefault="00E2001F" w:rsidP="00EA2B5F">
      <w:pPr>
        <w:spacing w:after="0" w:line="240" w:lineRule="auto"/>
      </w:pPr>
      <w:r>
        <w:separator/>
      </w:r>
    </w:p>
  </w:footnote>
  <w:footnote w:type="continuationSeparator" w:id="0">
    <w:p w14:paraId="36420441" w14:textId="77777777" w:rsidR="00E2001F" w:rsidRDefault="00E2001F" w:rsidP="00EA2B5F">
      <w:pPr>
        <w:spacing w:after="0" w:line="240" w:lineRule="auto"/>
      </w:pPr>
      <w:r>
        <w:continuationSeparator/>
      </w:r>
    </w:p>
  </w:footnote>
  <w:footnote w:id="1">
    <w:p w14:paraId="0287AC85" w14:textId="77777777" w:rsidR="006D24CC" w:rsidRPr="009327EE" w:rsidRDefault="006D24CC" w:rsidP="00EA2B5F">
      <w:pPr>
        <w:pStyle w:val="Tekstprzypisudolnego"/>
        <w:rPr>
          <w:rFonts w:asciiTheme="majorHAnsi" w:hAnsiTheme="majorHAnsi" w:cstheme="majorHAnsi"/>
          <w:sz w:val="18"/>
          <w:szCs w:val="18"/>
        </w:rPr>
      </w:pPr>
      <w:r w:rsidRPr="009327EE">
        <w:rPr>
          <w:rStyle w:val="Odwoanieprzypisudolnego"/>
          <w:rFonts w:asciiTheme="majorHAnsi" w:hAnsiTheme="majorHAnsi" w:cstheme="majorHAnsi"/>
          <w:sz w:val="18"/>
          <w:szCs w:val="18"/>
        </w:rPr>
        <w:footnoteRef/>
      </w:r>
      <w:r w:rsidRPr="009327EE">
        <w:rPr>
          <w:rFonts w:asciiTheme="majorHAnsi" w:hAnsiTheme="majorHAnsi" w:cstheme="majorHAnsi"/>
          <w:sz w:val="18"/>
          <w:szCs w:val="18"/>
        </w:rPr>
        <w:t xml:space="preserve"> https://www.mazury.com.pl/warunkiklimatyczne/index.htm</w:t>
      </w:r>
    </w:p>
  </w:footnote>
  <w:footnote w:id="2">
    <w:p w14:paraId="29F21314" w14:textId="77777777" w:rsidR="006D24CC" w:rsidRPr="000434EA" w:rsidRDefault="006D24CC" w:rsidP="00EA2B5F">
      <w:pPr>
        <w:pStyle w:val="Tekstprzypisudolnego"/>
        <w:rPr>
          <w:rFonts w:asciiTheme="majorHAnsi" w:hAnsiTheme="majorHAnsi" w:cstheme="majorHAnsi"/>
          <w:sz w:val="18"/>
          <w:szCs w:val="18"/>
        </w:rPr>
      </w:pPr>
      <w:r w:rsidRPr="000434EA">
        <w:rPr>
          <w:rStyle w:val="Odwoanieprzypisudolnego"/>
          <w:rFonts w:asciiTheme="majorHAnsi" w:hAnsiTheme="majorHAnsi" w:cstheme="majorHAnsi"/>
          <w:sz w:val="18"/>
          <w:szCs w:val="18"/>
        </w:rPr>
        <w:footnoteRef/>
      </w:r>
      <w:r w:rsidRPr="000434EA">
        <w:rPr>
          <w:rFonts w:asciiTheme="majorHAnsi" w:hAnsiTheme="majorHAnsi" w:cstheme="majorHAnsi"/>
          <w:sz w:val="18"/>
          <w:szCs w:val="18"/>
        </w:rPr>
        <w:t xml:space="preserve"> http://o-historii.pl/skad_ci_mazurzy/</w:t>
      </w:r>
    </w:p>
  </w:footnote>
  <w:footnote w:id="3">
    <w:p w14:paraId="46D2B8EA" w14:textId="77777777" w:rsidR="006D24CC" w:rsidRPr="000434EA" w:rsidRDefault="006D24CC" w:rsidP="00EA2B5F">
      <w:pPr>
        <w:pStyle w:val="Tekstprzypisudolnego"/>
        <w:rPr>
          <w:rFonts w:asciiTheme="majorHAnsi" w:hAnsiTheme="majorHAnsi" w:cstheme="majorHAnsi"/>
          <w:sz w:val="18"/>
          <w:szCs w:val="18"/>
        </w:rPr>
      </w:pPr>
      <w:r w:rsidRPr="000434EA">
        <w:rPr>
          <w:rStyle w:val="Odwoanieprzypisudolnego"/>
          <w:rFonts w:asciiTheme="majorHAnsi" w:hAnsiTheme="majorHAnsi" w:cstheme="majorHAnsi"/>
          <w:sz w:val="18"/>
          <w:szCs w:val="18"/>
        </w:rPr>
        <w:footnoteRef/>
      </w:r>
      <w:r w:rsidRPr="000434EA">
        <w:rPr>
          <w:rFonts w:asciiTheme="majorHAnsi" w:hAnsiTheme="majorHAnsi" w:cstheme="majorHAnsi"/>
          <w:sz w:val="18"/>
          <w:szCs w:val="18"/>
        </w:rPr>
        <w:t xml:space="preserve"> http://encyklopedia.warmia.mazury.pl/index.php/Mazury</w:t>
      </w:r>
    </w:p>
  </w:footnote>
  <w:footnote w:id="4">
    <w:p w14:paraId="1D0CC0E7" w14:textId="77777777" w:rsidR="006D24CC" w:rsidRPr="000434EA" w:rsidRDefault="006D24CC" w:rsidP="00EA2B5F">
      <w:pPr>
        <w:pStyle w:val="Tekstprzypisudolnego"/>
        <w:rPr>
          <w:rFonts w:asciiTheme="majorHAnsi" w:hAnsiTheme="majorHAnsi" w:cstheme="majorHAnsi"/>
          <w:sz w:val="18"/>
          <w:szCs w:val="18"/>
        </w:rPr>
      </w:pPr>
      <w:r w:rsidRPr="000434EA">
        <w:rPr>
          <w:rStyle w:val="Odwoanieprzypisudolnego"/>
          <w:rFonts w:asciiTheme="majorHAnsi" w:hAnsiTheme="majorHAnsi" w:cstheme="majorHAnsi"/>
          <w:sz w:val="18"/>
          <w:szCs w:val="18"/>
        </w:rPr>
        <w:footnoteRef/>
      </w:r>
      <w:r w:rsidRPr="000434EA">
        <w:rPr>
          <w:rFonts w:asciiTheme="majorHAnsi" w:hAnsiTheme="majorHAnsi" w:cstheme="majorHAnsi"/>
          <w:sz w:val="18"/>
          <w:szCs w:val="18"/>
        </w:rPr>
        <w:t xml:space="preserve"> http://www.warminsko-mazurskie.iap.pl/?id=31192&amp;location=f&amp;msg=1</w:t>
      </w:r>
    </w:p>
  </w:footnote>
  <w:footnote w:id="5">
    <w:p w14:paraId="0D5113DF" w14:textId="77777777" w:rsidR="006D24CC" w:rsidRPr="000434EA" w:rsidRDefault="006D24CC" w:rsidP="00EA2B5F">
      <w:pPr>
        <w:pStyle w:val="Tekstprzypisudolnego"/>
        <w:rPr>
          <w:rFonts w:asciiTheme="majorHAnsi" w:hAnsiTheme="majorHAnsi" w:cstheme="majorHAnsi"/>
          <w:sz w:val="18"/>
          <w:szCs w:val="18"/>
        </w:rPr>
      </w:pPr>
      <w:r w:rsidRPr="000434EA">
        <w:rPr>
          <w:rStyle w:val="Odwoanieprzypisudolnego"/>
          <w:rFonts w:asciiTheme="majorHAnsi" w:hAnsiTheme="majorHAnsi" w:cstheme="majorHAnsi"/>
          <w:sz w:val="18"/>
          <w:szCs w:val="18"/>
        </w:rPr>
        <w:footnoteRef/>
      </w:r>
      <w:r w:rsidRPr="000434EA">
        <w:rPr>
          <w:rFonts w:asciiTheme="majorHAnsi" w:hAnsiTheme="majorHAnsi" w:cstheme="majorHAnsi"/>
          <w:sz w:val="18"/>
          <w:szCs w:val="18"/>
        </w:rPr>
        <w:t xml:space="preserve"> http://encyklopedia.warmia.mazury.pl/index.php/Mazury</w:t>
      </w:r>
    </w:p>
  </w:footnote>
  <w:footnote w:id="6">
    <w:p w14:paraId="7A73FD18" w14:textId="77777777" w:rsidR="006D24CC" w:rsidRDefault="006D24CC" w:rsidP="00EA2B5F">
      <w:pPr>
        <w:pStyle w:val="Tekstprzypisudolnego"/>
      </w:pPr>
      <w:r w:rsidRPr="000434EA">
        <w:rPr>
          <w:rStyle w:val="Odwoanieprzypisudolnego"/>
          <w:rFonts w:asciiTheme="majorHAnsi" w:hAnsiTheme="majorHAnsi" w:cstheme="majorHAnsi"/>
          <w:sz w:val="18"/>
          <w:szCs w:val="18"/>
        </w:rPr>
        <w:footnoteRef/>
      </w:r>
      <w:r w:rsidRPr="000434EA">
        <w:rPr>
          <w:rFonts w:asciiTheme="majorHAnsi" w:hAnsiTheme="majorHAnsi" w:cstheme="majorHAnsi"/>
          <w:sz w:val="18"/>
          <w:szCs w:val="18"/>
        </w:rPr>
        <w:t xml:space="preserve"> http://www.warminsko-mazurskie.iap.pl/?id=31192&amp;location=f&amp;msg=1; ibidem</w:t>
      </w:r>
    </w:p>
  </w:footnote>
  <w:footnote w:id="7">
    <w:p w14:paraId="4EC16C91" w14:textId="77777777" w:rsidR="006D24CC" w:rsidRPr="000434EA" w:rsidRDefault="006D24CC" w:rsidP="00EA2B5F">
      <w:pPr>
        <w:pStyle w:val="Tekstprzypisudolnego"/>
        <w:rPr>
          <w:rFonts w:asciiTheme="majorHAnsi" w:hAnsiTheme="majorHAnsi" w:cstheme="majorHAnsi"/>
          <w:sz w:val="18"/>
          <w:szCs w:val="18"/>
        </w:rPr>
      </w:pPr>
      <w:r w:rsidRPr="000434EA">
        <w:rPr>
          <w:rStyle w:val="Odwoanieprzypisudolnego"/>
          <w:rFonts w:asciiTheme="majorHAnsi" w:hAnsiTheme="majorHAnsi" w:cstheme="majorHAnsi"/>
          <w:sz w:val="18"/>
          <w:szCs w:val="18"/>
        </w:rPr>
        <w:footnoteRef/>
      </w:r>
      <w:r w:rsidRPr="000434EA">
        <w:rPr>
          <w:rFonts w:asciiTheme="majorHAnsi" w:hAnsiTheme="majorHAnsi" w:cstheme="majorHAnsi"/>
          <w:sz w:val="18"/>
          <w:szCs w:val="18"/>
        </w:rPr>
        <w:t xml:space="preserve"> https://www.newsweek.pl/polska/historia-mazurow-na-ziemiach-polskich-polscy-prusacy/kc7l47c</w:t>
      </w:r>
    </w:p>
  </w:footnote>
  <w:footnote w:id="8">
    <w:p w14:paraId="6D6ED169" w14:textId="77777777" w:rsidR="006D24CC" w:rsidRDefault="006D24CC" w:rsidP="00EA2B5F">
      <w:pPr>
        <w:pStyle w:val="Tekstprzypisudolnego"/>
      </w:pPr>
      <w:r w:rsidRPr="000434EA">
        <w:rPr>
          <w:rStyle w:val="Odwoanieprzypisudolnego"/>
          <w:rFonts w:asciiTheme="majorHAnsi" w:hAnsiTheme="majorHAnsi" w:cstheme="majorHAnsi"/>
          <w:sz w:val="18"/>
          <w:szCs w:val="18"/>
        </w:rPr>
        <w:footnoteRef/>
      </w:r>
      <w:r w:rsidRPr="000434EA">
        <w:rPr>
          <w:rFonts w:asciiTheme="majorHAnsi" w:hAnsiTheme="majorHAnsi" w:cstheme="majorHAnsi"/>
          <w:sz w:val="18"/>
          <w:szCs w:val="18"/>
        </w:rPr>
        <w:t xml:space="preserve"> https://stat.gov.pl/spisy-powszechne/nsp-2011/nsp-2011-wyniki/wybrane-tablice-dotyczace-przynaleznosci-narodowo-etnicznej-jezyka-i-wyznania-nsp-2011,8,1.html</w:t>
      </w:r>
    </w:p>
  </w:footnote>
  <w:footnote w:id="9">
    <w:p w14:paraId="4F64A813" w14:textId="77777777" w:rsidR="006D24CC" w:rsidRPr="000434EA" w:rsidRDefault="006D24CC" w:rsidP="00EA2B5F">
      <w:pPr>
        <w:pStyle w:val="Tekstprzypisudolnego"/>
        <w:rPr>
          <w:rFonts w:asciiTheme="majorHAnsi" w:hAnsiTheme="majorHAnsi" w:cstheme="majorHAnsi"/>
        </w:rPr>
      </w:pPr>
      <w:r w:rsidRPr="000434EA">
        <w:rPr>
          <w:rStyle w:val="Odwoanieprzypisudolnego"/>
          <w:rFonts w:asciiTheme="majorHAnsi" w:hAnsiTheme="majorHAnsi" w:cstheme="majorHAnsi"/>
          <w:sz w:val="18"/>
          <w:szCs w:val="18"/>
        </w:rPr>
        <w:footnoteRef/>
      </w:r>
      <w:r w:rsidRPr="000434EA">
        <w:rPr>
          <w:rFonts w:asciiTheme="majorHAnsi" w:hAnsiTheme="majorHAnsi" w:cstheme="majorHAnsi"/>
          <w:sz w:val="18"/>
          <w:szCs w:val="18"/>
        </w:rPr>
        <w:t xml:space="preserve"> </w:t>
      </w:r>
      <w:r w:rsidRPr="000434EA">
        <w:rPr>
          <w:rFonts w:asciiTheme="majorHAnsi" w:hAnsiTheme="majorHAnsi" w:cstheme="majorHAnsi"/>
          <w:i/>
          <w:iCs/>
          <w:sz w:val="18"/>
          <w:szCs w:val="18"/>
        </w:rPr>
        <w:t>Powierzchnia i ludność w przekroju terytorialnym w 2019 r.</w:t>
      </w:r>
      <w:r w:rsidRPr="000434EA">
        <w:rPr>
          <w:rFonts w:asciiTheme="majorHAnsi" w:hAnsiTheme="majorHAnsi" w:cstheme="majorHAnsi"/>
          <w:sz w:val="18"/>
          <w:szCs w:val="18"/>
        </w:rPr>
        <w:t xml:space="preserve"> 2019. GUS, Warszawa, s. 19.</w:t>
      </w:r>
    </w:p>
  </w:footnote>
  <w:footnote w:id="10">
    <w:p w14:paraId="6390AF5A" w14:textId="77777777" w:rsidR="006D24CC" w:rsidRPr="009327EE" w:rsidRDefault="006D24CC" w:rsidP="00EA2B5F">
      <w:pPr>
        <w:pStyle w:val="Tekstprzypisudolnego"/>
        <w:jc w:val="both"/>
        <w:rPr>
          <w:rFonts w:asciiTheme="majorHAnsi" w:hAnsiTheme="majorHAnsi" w:cstheme="majorHAnsi"/>
          <w:sz w:val="18"/>
          <w:szCs w:val="18"/>
        </w:rPr>
      </w:pPr>
      <w:r w:rsidRPr="009327EE">
        <w:rPr>
          <w:rStyle w:val="Odwoanieprzypisudolnego"/>
          <w:rFonts w:asciiTheme="majorHAnsi" w:hAnsiTheme="majorHAnsi" w:cstheme="majorHAnsi"/>
          <w:sz w:val="18"/>
          <w:szCs w:val="18"/>
        </w:rPr>
        <w:footnoteRef/>
      </w:r>
      <w:r w:rsidRPr="009327EE">
        <w:rPr>
          <w:rFonts w:asciiTheme="majorHAnsi" w:hAnsiTheme="majorHAnsi" w:cstheme="majorHAnsi"/>
          <w:sz w:val="18"/>
          <w:szCs w:val="18"/>
        </w:rPr>
        <w:t xml:space="preserve"> Dane o kierunkach zagospodarowania powierzchni do poziomu gmin i powiatów dostępne są w GUS BDL tylko dla lat 2012-2014.</w:t>
      </w:r>
    </w:p>
  </w:footnote>
  <w:footnote w:id="11">
    <w:p w14:paraId="40A3F05A" w14:textId="77777777" w:rsidR="006D24CC" w:rsidRPr="007A5888" w:rsidRDefault="006D24CC" w:rsidP="00EA2B5F">
      <w:pPr>
        <w:pStyle w:val="Tekstprzypisudolnego"/>
        <w:rPr>
          <w:rFonts w:asciiTheme="majorHAnsi" w:hAnsiTheme="majorHAnsi"/>
          <w:sz w:val="18"/>
        </w:rPr>
      </w:pPr>
      <w:r w:rsidRPr="007A5888">
        <w:rPr>
          <w:rStyle w:val="Odwoanieprzypisudolnego"/>
          <w:rFonts w:asciiTheme="majorHAnsi" w:hAnsiTheme="majorHAnsi"/>
          <w:sz w:val="18"/>
        </w:rPr>
        <w:footnoteRef/>
      </w:r>
      <w:r w:rsidRPr="007A5888">
        <w:rPr>
          <w:rFonts w:asciiTheme="majorHAnsi" w:hAnsiTheme="majorHAnsi"/>
          <w:sz w:val="18"/>
        </w:rPr>
        <w:t xml:space="preserve"> Kasperowicz A., Wacław B., Wasilewski T. 2017. </w:t>
      </w:r>
      <w:r w:rsidRPr="007A5888">
        <w:rPr>
          <w:rFonts w:asciiTheme="majorHAnsi" w:hAnsiTheme="majorHAnsi"/>
          <w:i/>
          <w:iCs/>
          <w:sz w:val="18"/>
        </w:rPr>
        <w:t>Program ochrony środowiska dla powiatu nidzickiego na lata 2018-2021 z perspektywą na lata 2022-2025</w:t>
      </w:r>
      <w:r w:rsidRPr="007A5888">
        <w:rPr>
          <w:rFonts w:asciiTheme="majorHAnsi" w:hAnsiTheme="majorHAnsi"/>
          <w:sz w:val="18"/>
        </w:rPr>
        <w:t>. Instytut Zrównoważonego Rozwoju Sp. z o.o., Białystok, str. 22.</w:t>
      </w:r>
    </w:p>
  </w:footnote>
  <w:footnote w:id="12">
    <w:p w14:paraId="6C4892AC" w14:textId="77777777" w:rsidR="006D24CC" w:rsidRDefault="006D24CC" w:rsidP="00EA2B5F">
      <w:pPr>
        <w:pStyle w:val="Tekstprzypisudolnego"/>
        <w:jc w:val="both"/>
      </w:pPr>
      <w:r w:rsidRPr="007A5888">
        <w:rPr>
          <w:rStyle w:val="Odwoanieprzypisudolnego"/>
          <w:rFonts w:asciiTheme="majorHAnsi" w:hAnsiTheme="majorHAnsi"/>
          <w:sz w:val="18"/>
        </w:rPr>
        <w:footnoteRef/>
      </w:r>
      <w:r w:rsidRPr="007A5888">
        <w:rPr>
          <w:rFonts w:asciiTheme="majorHAnsi" w:hAnsiTheme="majorHAnsi"/>
          <w:sz w:val="18"/>
        </w:rPr>
        <w:t xml:space="preserve"> Zakres czasowy analizy zdeterminowany jest dostępnością porównywalnych danych w BDL dla wszystkich powiatów wchodzących w skład Południowych Mazur.</w:t>
      </w:r>
    </w:p>
  </w:footnote>
  <w:footnote w:id="13">
    <w:p w14:paraId="372FB27E" w14:textId="77777777" w:rsidR="006D24CC" w:rsidRPr="0060383F" w:rsidRDefault="006D24CC" w:rsidP="00EA2B5F">
      <w:pPr>
        <w:pStyle w:val="Tekstprzypisudolnego"/>
        <w:rPr>
          <w:rFonts w:asciiTheme="majorHAnsi" w:hAnsiTheme="majorHAnsi"/>
        </w:rPr>
      </w:pPr>
      <w:r w:rsidRPr="0060383F">
        <w:rPr>
          <w:rStyle w:val="Odwoanieprzypisudolnego"/>
          <w:rFonts w:asciiTheme="majorHAnsi" w:hAnsiTheme="majorHAnsi"/>
        </w:rPr>
        <w:footnoteRef/>
      </w:r>
      <w:r w:rsidRPr="0060383F">
        <w:rPr>
          <w:rFonts w:asciiTheme="majorHAnsi" w:hAnsiTheme="majorHAnsi"/>
        </w:rPr>
        <w:t xml:space="preserve"> Zakres czasowy analizy zdeterminowany jest dostępnością danych statystycznych w BDL.</w:t>
      </w:r>
    </w:p>
  </w:footnote>
  <w:footnote w:id="14">
    <w:p w14:paraId="3BDF55BA" w14:textId="77777777" w:rsidR="006D24CC" w:rsidRPr="00642DFD" w:rsidRDefault="006D24CC" w:rsidP="00EA2B5F">
      <w:pPr>
        <w:pStyle w:val="Tekstprzypisudolnego"/>
        <w:jc w:val="both"/>
        <w:rPr>
          <w:rFonts w:asciiTheme="majorHAnsi" w:hAnsiTheme="majorHAnsi" w:cstheme="majorHAnsi"/>
          <w:sz w:val="18"/>
          <w:szCs w:val="18"/>
        </w:rPr>
      </w:pPr>
      <w:r w:rsidRPr="00642DFD">
        <w:rPr>
          <w:rStyle w:val="Odwoanieprzypisudolnego"/>
          <w:rFonts w:asciiTheme="majorHAnsi" w:hAnsiTheme="majorHAnsi" w:cstheme="majorHAnsi"/>
          <w:sz w:val="18"/>
          <w:szCs w:val="18"/>
        </w:rPr>
        <w:footnoteRef/>
      </w:r>
      <w:r w:rsidRPr="00642DFD">
        <w:rPr>
          <w:rFonts w:asciiTheme="majorHAnsi" w:hAnsiTheme="majorHAnsi" w:cstheme="majorHAnsi"/>
          <w:sz w:val="18"/>
          <w:szCs w:val="18"/>
        </w:rPr>
        <w:t xml:space="preserve"> Indeksy jednopodstawowe (o stałej podstawie) informują o tym jak zmieniła się wartość zjawiska w danym roku względem okresu bazowego, którym w tym przypadku był 2010 r.</w:t>
      </w:r>
    </w:p>
  </w:footnote>
  <w:footnote w:id="15">
    <w:p w14:paraId="01E8A521" w14:textId="77777777" w:rsidR="006D24CC" w:rsidRPr="00642DFD" w:rsidRDefault="006D24CC" w:rsidP="00EA2B5F">
      <w:pPr>
        <w:pStyle w:val="Tekstprzypisudolnego"/>
        <w:jc w:val="both"/>
        <w:rPr>
          <w:rFonts w:asciiTheme="majorHAnsi" w:hAnsiTheme="majorHAnsi"/>
          <w:sz w:val="18"/>
          <w:szCs w:val="18"/>
        </w:rPr>
      </w:pPr>
      <w:r w:rsidRPr="00642DFD">
        <w:rPr>
          <w:rStyle w:val="Odwoanieprzypisudolnego"/>
          <w:rFonts w:asciiTheme="majorHAnsi" w:hAnsiTheme="majorHAnsi"/>
          <w:sz w:val="18"/>
          <w:szCs w:val="18"/>
        </w:rPr>
        <w:footnoteRef/>
      </w:r>
      <w:r w:rsidRPr="00642DFD">
        <w:rPr>
          <w:rFonts w:asciiTheme="majorHAnsi" w:hAnsiTheme="majorHAnsi"/>
          <w:sz w:val="18"/>
          <w:szCs w:val="18"/>
        </w:rPr>
        <w:t xml:space="preserve"> W zestawieniu brane były pod uwagę tylko powiaty ziemskie województwa warmińsko-mazurskiego (19 jednostek).</w:t>
      </w:r>
    </w:p>
  </w:footnote>
  <w:footnote w:id="16">
    <w:p w14:paraId="55138D52" w14:textId="77777777" w:rsidR="006D24CC" w:rsidRPr="00642DFD" w:rsidRDefault="006D24CC" w:rsidP="00EA2B5F">
      <w:pPr>
        <w:pStyle w:val="Tekstprzypisudolnego"/>
        <w:jc w:val="both"/>
        <w:rPr>
          <w:rFonts w:asciiTheme="majorHAnsi" w:hAnsiTheme="majorHAnsi"/>
          <w:sz w:val="18"/>
          <w:szCs w:val="18"/>
        </w:rPr>
      </w:pPr>
      <w:r w:rsidRPr="00642DFD">
        <w:rPr>
          <w:rStyle w:val="Odwoanieprzypisudolnego"/>
          <w:rFonts w:asciiTheme="majorHAnsi" w:hAnsiTheme="majorHAnsi"/>
          <w:sz w:val="18"/>
          <w:szCs w:val="18"/>
        </w:rPr>
        <w:footnoteRef/>
      </w:r>
      <w:r w:rsidRPr="00642DFD">
        <w:rPr>
          <w:rFonts w:asciiTheme="majorHAnsi" w:hAnsiTheme="majorHAnsi"/>
          <w:sz w:val="18"/>
          <w:szCs w:val="18"/>
        </w:rPr>
        <w:t xml:space="preserve"> W tej części analizy posłużono się wykorzystywanym przez Główny Urząd Statystyczny podziałem ludności na cztery grupy wiekowe, tj. wiek przedprodukcyjny (17 lat i mniej), produkcyjny mobilny (18-44 lata), produkcyjny niemobilny (mężczyźni – 45-64 lata, kobiety – 45-59 lat) oraz poprodukcyjny (dla mężczyzn – 65 lat i więcej, dla kobiet – 60 lat i więcej).</w:t>
      </w:r>
    </w:p>
  </w:footnote>
  <w:footnote w:id="17">
    <w:p w14:paraId="6A2174AE" w14:textId="77777777" w:rsidR="006D24CC" w:rsidRPr="007A5888" w:rsidRDefault="006D24CC" w:rsidP="00EA2B5F">
      <w:pPr>
        <w:pStyle w:val="Tekstprzypisudolnego"/>
        <w:rPr>
          <w:rFonts w:asciiTheme="majorHAnsi" w:hAnsiTheme="majorHAnsi"/>
          <w:sz w:val="18"/>
        </w:rPr>
      </w:pPr>
      <w:r w:rsidRPr="007A5888">
        <w:rPr>
          <w:rStyle w:val="Odwoanieprzypisudolnego"/>
          <w:rFonts w:asciiTheme="majorHAnsi" w:hAnsiTheme="majorHAnsi"/>
          <w:sz w:val="18"/>
        </w:rPr>
        <w:footnoteRef/>
      </w:r>
      <w:r w:rsidRPr="007A5888">
        <w:rPr>
          <w:rFonts w:asciiTheme="majorHAnsi" w:hAnsiTheme="majorHAnsi"/>
          <w:sz w:val="18"/>
        </w:rPr>
        <w:t xml:space="preserve"> Z wyłączeniem 2015 r., dla którego Główny Urząd Statystyczny nie publikuje danych.</w:t>
      </w:r>
    </w:p>
  </w:footnote>
  <w:footnote w:id="18">
    <w:p w14:paraId="20862BA7" w14:textId="77777777" w:rsidR="006D24CC" w:rsidRPr="007A5888" w:rsidRDefault="006D24CC" w:rsidP="00EA2B5F">
      <w:pPr>
        <w:pStyle w:val="Tekstprzypisudolnego"/>
        <w:rPr>
          <w:rFonts w:asciiTheme="majorHAnsi" w:hAnsiTheme="majorHAnsi"/>
          <w:sz w:val="18"/>
        </w:rPr>
      </w:pPr>
      <w:r w:rsidRPr="007A5888">
        <w:rPr>
          <w:rStyle w:val="Odwoanieprzypisudolnego"/>
          <w:rFonts w:asciiTheme="majorHAnsi" w:hAnsiTheme="majorHAnsi"/>
          <w:sz w:val="18"/>
        </w:rPr>
        <w:footnoteRef/>
      </w:r>
      <w:r w:rsidRPr="007A5888">
        <w:rPr>
          <w:rFonts w:asciiTheme="majorHAnsi" w:hAnsiTheme="majorHAnsi"/>
          <w:sz w:val="18"/>
        </w:rPr>
        <w:t xml:space="preserve"> https://stat.gov.pl/metainformacje/slownik-pojec/pojecia-stosowane-w-statystyce-publicznej/212,pojecie.html</w:t>
      </w:r>
    </w:p>
  </w:footnote>
  <w:footnote w:id="19">
    <w:p w14:paraId="5645637C" w14:textId="77777777" w:rsidR="006D24CC" w:rsidRPr="007A5888" w:rsidRDefault="006D24CC" w:rsidP="00EA2B5F">
      <w:pPr>
        <w:pStyle w:val="Tekstprzypisudolnego"/>
        <w:jc w:val="both"/>
        <w:rPr>
          <w:rFonts w:asciiTheme="majorHAnsi" w:hAnsiTheme="majorHAnsi"/>
          <w:sz w:val="18"/>
        </w:rPr>
      </w:pPr>
      <w:r w:rsidRPr="007A5888">
        <w:rPr>
          <w:rStyle w:val="Odwoanieprzypisudolnego"/>
          <w:rFonts w:asciiTheme="majorHAnsi" w:hAnsiTheme="majorHAnsi"/>
          <w:sz w:val="18"/>
        </w:rPr>
        <w:footnoteRef/>
      </w:r>
      <w:r w:rsidRPr="007A5888">
        <w:rPr>
          <w:rFonts w:asciiTheme="majorHAnsi" w:hAnsiTheme="majorHAnsi"/>
          <w:sz w:val="18"/>
        </w:rPr>
        <w:t xml:space="preserve"> Analiza przeprowadzona na bazie danych jednostkowych GUS opisujących migracje wewnętrzne ludności na pobyt stały według gminy poprzedniego i obecnego miejsca zamieszkania ma charakter szacunkowy, nie uwzględniała bowiem informacji niejawnych stanowiących tajemnicę statystyczną. </w:t>
      </w:r>
    </w:p>
  </w:footnote>
  <w:footnote w:id="20">
    <w:p w14:paraId="3F066044" w14:textId="77777777" w:rsidR="006D24CC" w:rsidRPr="007A5888" w:rsidRDefault="006D24CC" w:rsidP="00EA2B5F">
      <w:pPr>
        <w:pStyle w:val="Tekstprzypisudolnego"/>
        <w:rPr>
          <w:rFonts w:asciiTheme="majorHAnsi" w:hAnsiTheme="majorHAnsi"/>
          <w:sz w:val="18"/>
        </w:rPr>
      </w:pPr>
      <w:r w:rsidRPr="007A5888">
        <w:rPr>
          <w:rStyle w:val="Odwoanieprzypisudolnego"/>
          <w:rFonts w:asciiTheme="majorHAnsi" w:hAnsiTheme="majorHAnsi"/>
          <w:sz w:val="18"/>
        </w:rPr>
        <w:footnoteRef/>
      </w:r>
      <w:r w:rsidRPr="007A5888">
        <w:rPr>
          <w:rFonts w:asciiTheme="majorHAnsi" w:hAnsiTheme="majorHAnsi"/>
          <w:sz w:val="18"/>
        </w:rPr>
        <w:t xml:space="preserve"> Z wyłączeniem 2015 r., dla którego Główny Urząd Statystyczny nie publikuje danych.</w:t>
      </w:r>
    </w:p>
  </w:footnote>
  <w:footnote w:id="21">
    <w:p w14:paraId="72A7F0D5" w14:textId="77777777" w:rsidR="006D24CC" w:rsidRDefault="006D24CC" w:rsidP="00EA2B5F">
      <w:pPr>
        <w:pStyle w:val="Tekstprzypisudolnego"/>
        <w:jc w:val="both"/>
      </w:pPr>
      <w:r w:rsidRPr="007A5888">
        <w:rPr>
          <w:rStyle w:val="Odwoanieprzypisudolnego"/>
          <w:rFonts w:asciiTheme="majorHAnsi" w:hAnsiTheme="majorHAnsi"/>
          <w:sz w:val="18"/>
        </w:rPr>
        <w:footnoteRef/>
      </w:r>
      <w:r w:rsidRPr="007A5888">
        <w:rPr>
          <w:rFonts w:asciiTheme="majorHAnsi" w:hAnsiTheme="majorHAnsi"/>
          <w:sz w:val="18"/>
        </w:rPr>
        <w:t xml:space="preserve"> Analiza przeprowadzona na bazie danych jednostkowych GUS opisujących migracje wewnętrzne ludności na pobyt stały według gminy poprzedniego i obecnego miejsca zamieszkania ma charakter szacunkowy, nie uwzględniała bowiem informacji niejawnych stanowiących tajemnicę statystyczną.</w:t>
      </w:r>
    </w:p>
  </w:footnote>
  <w:footnote w:id="22">
    <w:p w14:paraId="2FCF1D4E" w14:textId="77777777" w:rsidR="006D24CC" w:rsidRPr="0045293D" w:rsidRDefault="006D24CC" w:rsidP="00EA2B5F">
      <w:pPr>
        <w:pStyle w:val="Tekstprzypisudolnego"/>
        <w:rPr>
          <w:rFonts w:asciiTheme="majorHAnsi" w:hAnsiTheme="majorHAnsi" w:cstheme="majorHAnsi"/>
          <w:sz w:val="18"/>
          <w:szCs w:val="18"/>
        </w:rPr>
      </w:pPr>
      <w:r w:rsidRPr="0045293D">
        <w:rPr>
          <w:rStyle w:val="Odwoanieprzypisudolnego"/>
          <w:rFonts w:asciiTheme="majorHAnsi" w:hAnsiTheme="majorHAnsi" w:cstheme="majorHAnsi"/>
          <w:sz w:val="18"/>
          <w:szCs w:val="18"/>
        </w:rPr>
        <w:footnoteRef/>
      </w:r>
      <w:r w:rsidRPr="0045293D">
        <w:rPr>
          <w:rFonts w:asciiTheme="majorHAnsi" w:hAnsiTheme="majorHAnsi" w:cstheme="majorHAnsi"/>
          <w:sz w:val="18"/>
          <w:szCs w:val="18"/>
        </w:rPr>
        <w:t xml:space="preserve"> Z wyłączeniem 2015 r., dla którego Główny Urząd Statystyczny nie publikuje danych.</w:t>
      </w:r>
    </w:p>
  </w:footnote>
  <w:footnote w:id="23">
    <w:p w14:paraId="37A411FA" w14:textId="77777777" w:rsidR="006D24CC" w:rsidRPr="00161053" w:rsidRDefault="006D24CC" w:rsidP="00EA2B5F">
      <w:pPr>
        <w:pStyle w:val="Tekstprzypisudolnego"/>
        <w:rPr>
          <w:rFonts w:asciiTheme="majorHAnsi" w:hAnsiTheme="majorHAnsi" w:cstheme="majorHAnsi"/>
          <w:sz w:val="18"/>
          <w:szCs w:val="18"/>
        </w:rPr>
      </w:pPr>
      <w:r w:rsidRPr="00161053">
        <w:rPr>
          <w:rStyle w:val="Odwoanieprzypisudolnego"/>
          <w:rFonts w:asciiTheme="majorHAnsi" w:hAnsiTheme="majorHAnsi" w:cstheme="majorHAnsi"/>
          <w:sz w:val="18"/>
          <w:szCs w:val="18"/>
        </w:rPr>
        <w:footnoteRef/>
      </w:r>
      <w:r w:rsidRPr="00161053">
        <w:rPr>
          <w:rFonts w:asciiTheme="majorHAnsi" w:hAnsiTheme="majorHAnsi" w:cstheme="majorHAnsi"/>
          <w:sz w:val="18"/>
          <w:szCs w:val="18"/>
        </w:rPr>
        <w:t xml:space="preserve"> Milewski R. (red.). 2003. </w:t>
      </w:r>
      <w:r w:rsidRPr="00161053">
        <w:rPr>
          <w:rFonts w:asciiTheme="majorHAnsi" w:hAnsiTheme="majorHAnsi" w:cstheme="majorHAnsi"/>
          <w:i/>
          <w:sz w:val="18"/>
          <w:szCs w:val="18"/>
        </w:rPr>
        <w:t>Podstawy ekonomii</w:t>
      </w:r>
      <w:r w:rsidRPr="00161053">
        <w:rPr>
          <w:rFonts w:asciiTheme="majorHAnsi" w:hAnsiTheme="majorHAnsi" w:cstheme="majorHAnsi"/>
          <w:sz w:val="18"/>
          <w:szCs w:val="18"/>
        </w:rPr>
        <w:t>. PWN, Warszawa.</w:t>
      </w:r>
    </w:p>
  </w:footnote>
  <w:footnote w:id="24">
    <w:p w14:paraId="2C527917" w14:textId="77777777" w:rsidR="006D24CC" w:rsidRPr="00161053" w:rsidRDefault="006D24CC" w:rsidP="00EA2B5F">
      <w:pPr>
        <w:pStyle w:val="Tekstprzypisudolnego"/>
        <w:rPr>
          <w:rFonts w:asciiTheme="majorHAnsi" w:hAnsiTheme="majorHAnsi" w:cstheme="majorHAnsi"/>
          <w:sz w:val="18"/>
          <w:szCs w:val="18"/>
        </w:rPr>
      </w:pPr>
      <w:r w:rsidRPr="00161053">
        <w:rPr>
          <w:rStyle w:val="Odwoanieprzypisudolnego"/>
          <w:rFonts w:asciiTheme="majorHAnsi" w:hAnsiTheme="majorHAnsi" w:cstheme="majorHAnsi"/>
          <w:sz w:val="18"/>
          <w:szCs w:val="18"/>
        </w:rPr>
        <w:footnoteRef/>
      </w:r>
      <w:r w:rsidRPr="00161053">
        <w:rPr>
          <w:rFonts w:asciiTheme="majorHAnsi" w:hAnsiTheme="majorHAnsi" w:cstheme="majorHAnsi"/>
          <w:sz w:val="18"/>
          <w:szCs w:val="18"/>
        </w:rPr>
        <w:t xml:space="preserve"> https://barometrzawodow.pl/strona-glowna/o-badaniu</w:t>
      </w:r>
    </w:p>
  </w:footnote>
  <w:footnote w:id="25">
    <w:p w14:paraId="72FC35F4" w14:textId="77777777" w:rsidR="006D24CC" w:rsidRPr="00161053" w:rsidRDefault="006D24CC" w:rsidP="00EA2B5F">
      <w:pPr>
        <w:pStyle w:val="Tekstprzypisudolnego"/>
        <w:jc w:val="both"/>
        <w:rPr>
          <w:rFonts w:asciiTheme="majorHAnsi" w:hAnsiTheme="majorHAnsi" w:cstheme="majorHAnsi"/>
          <w:sz w:val="18"/>
          <w:szCs w:val="18"/>
        </w:rPr>
      </w:pPr>
      <w:r w:rsidRPr="00161053">
        <w:rPr>
          <w:rStyle w:val="Odwoanieprzypisudolnego"/>
          <w:rFonts w:asciiTheme="majorHAnsi" w:hAnsiTheme="majorHAnsi" w:cstheme="majorHAnsi"/>
          <w:sz w:val="18"/>
          <w:szCs w:val="18"/>
        </w:rPr>
        <w:footnoteRef/>
      </w:r>
      <w:r w:rsidRPr="00161053">
        <w:rPr>
          <w:rFonts w:asciiTheme="majorHAnsi" w:hAnsiTheme="majorHAnsi" w:cstheme="majorHAnsi"/>
          <w:sz w:val="18"/>
          <w:szCs w:val="18"/>
        </w:rPr>
        <w:t xml:space="preserve"> Plan Zagospodarowania Przestrzennego Województwa Warmińsko-Mazurskiego. 2018. Warmińsko-Mazurskie Biuro Planowania Przestrzennego, Olsztyn</w:t>
      </w:r>
    </w:p>
  </w:footnote>
  <w:footnote w:id="26">
    <w:p w14:paraId="50AEC03C" w14:textId="77777777" w:rsidR="006D24CC" w:rsidRPr="00161053" w:rsidRDefault="006D24CC" w:rsidP="00EA2B5F">
      <w:pPr>
        <w:pStyle w:val="Tekstprzypisudolnego"/>
        <w:rPr>
          <w:rFonts w:asciiTheme="majorHAnsi" w:hAnsiTheme="majorHAnsi" w:cstheme="majorHAnsi"/>
          <w:sz w:val="18"/>
          <w:szCs w:val="18"/>
        </w:rPr>
      </w:pPr>
      <w:r w:rsidRPr="00161053">
        <w:rPr>
          <w:rStyle w:val="Odwoanieprzypisudolnego"/>
          <w:rFonts w:asciiTheme="majorHAnsi" w:hAnsiTheme="majorHAnsi" w:cstheme="majorHAnsi"/>
          <w:sz w:val="18"/>
          <w:szCs w:val="18"/>
        </w:rPr>
        <w:footnoteRef/>
      </w:r>
      <w:r w:rsidRPr="00161053">
        <w:rPr>
          <w:rFonts w:asciiTheme="majorHAnsi" w:hAnsiTheme="majorHAnsi" w:cstheme="majorHAnsi"/>
          <w:sz w:val="18"/>
          <w:szCs w:val="18"/>
        </w:rPr>
        <w:t xml:space="preserve"> http://www.ulc.gov.pl/_download/lotniska/regulacje_europejskie/Wykaz_ladowisk_cyw_27_04_2018.pdf; https://lotniska.dlapilota.pl/</w:t>
      </w:r>
    </w:p>
  </w:footnote>
  <w:footnote w:id="27">
    <w:p w14:paraId="5B119B88" w14:textId="77777777" w:rsidR="006D24CC" w:rsidRPr="008543EA" w:rsidRDefault="006D24CC" w:rsidP="00EA2B5F">
      <w:pPr>
        <w:pStyle w:val="Tekstprzypisudolnego"/>
        <w:jc w:val="both"/>
        <w:rPr>
          <w:rFonts w:asciiTheme="majorHAnsi" w:hAnsiTheme="majorHAnsi"/>
          <w:sz w:val="18"/>
        </w:rPr>
      </w:pPr>
      <w:r w:rsidRPr="008543EA">
        <w:rPr>
          <w:rStyle w:val="Odwoanieprzypisudolnego"/>
          <w:rFonts w:asciiTheme="majorHAnsi" w:hAnsiTheme="majorHAnsi"/>
          <w:sz w:val="18"/>
        </w:rPr>
        <w:footnoteRef/>
      </w:r>
      <w:r w:rsidRPr="008543EA">
        <w:rPr>
          <w:rFonts w:asciiTheme="majorHAnsi" w:hAnsiTheme="majorHAnsi"/>
          <w:sz w:val="18"/>
        </w:rPr>
        <w:t xml:space="preserve"> Plan Zagospodarowania Przestrzennego Województwa Warmińsko-Mazurskiego. 2018. Warmińsko-Mazurskie Biuro Planowania Przestrzennego, Olsztyn</w:t>
      </w:r>
    </w:p>
  </w:footnote>
  <w:footnote w:id="28">
    <w:p w14:paraId="4D889329" w14:textId="5E53E1C0" w:rsidR="006D24CC" w:rsidRPr="008543EA" w:rsidRDefault="006D24CC" w:rsidP="00EA2B5F">
      <w:pPr>
        <w:pStyle w:val="Tekstprzypisudolnego"/>
        <w:jc w:val="both"/>
        <w:rPr>
          <w:rFonts w:asciiTheme="majorHAnsi" w:hAnsiTheme="majorHAnsi"/>
          <w:sz w:val="18"/>
        </w:rPr>
      </w:pPr>
      <w:r w:rsidRPr="008543EA">
        <w:rPr>
          <w:rStyle w:val="Odwoanieprzypisudolnego"/>
          <w:rFonts w:asciiTheme="majorHAnsi" w:hAnsiTheme="majorHAnsi"/>
          <w:sz w:val="18"/>
        </w:rPr>
        <w:footnoteRef/>
      </w:r>
      <w:r w:rsidRPr="008543EA">
        <w:rPr>
          <w:rFonts w:asciiTheme="majorHAnsi" w:hAnsiTheme="majorHAnsi"/>
          <w:sz w:val="18"/>
        </w:rPr>
        <w:t>https://olsztyn.wyborcza.pl/olsztyn/7,48726,25593444,lotnisko-w-szymanach-policzylo-pasazerow-za-2020-rok-sukces.html</w:t>
      </w:r>
    </w:p>
  </w:footnote>
  <w:footnote w:id="29">
    <w:p w14:paraId="0B82752C" w14:textId="77777777" w:rsidR="006D24CC" w:rsidRPr="008543EA" w:rsidRDefault="006D24CC" w:rsidP="00EA2B5F">
      <w:pPr>
        <w:pStyle w:val="Tekstprzypisudolnego"/>
        <w:jc w:val="both"/>
        <w:rPr>
          <w:rFonts w:asciiTheme="majorHAnsi" w:hAnsiTheme="majorHAnsi"/>
          <w:sz w:val="18"/>
        </w:rPr>
      </w:pPr>
      <w:r w:rsidRPr="008543EA">
        <w:rPr>
          <w:rStyle w:val="Odwoanieprzypisudolnego"/>
          <w:rFonts w:asciiTheme="majorHAnsi" w:hAnsiTheme="majorHAnsi"/>
          <w:sz w:val="18"/>
        </w:rPr>
        <w:footnoteRef/>
      </w:r>
      <w:r w:rsidRPr="008543EA">
        <w:rPr>
          <w:rFonts w:asciiTheme="majorHAnsi" w:hAnsiTheme="majorHAnsi"/>
          <w:sz w:val="18"/>
        </w:rPr>
        <w:t xml:space="preserve"> https://olsztyn.tvp.pl/49315155/lotnisko-w-szymanach-po-fatalnych-miesiacach-ruch-powoli-wzrasta</w:t>
      </w:r>
    </w:p>
  </w:footnote>
  <w:footnote w:id="30">
    <w:p w14:paraId="26D5D454" w14:textId="77777777" w:rsidR="006D24CC" w:rsidRDefault="006D24CC" w:rsidP="00EA2B5F">
      <w:pPr>
        <w:pStyle w:val="Tekstprzypisudolnego"/>
        <w:jc w:val="both"/>
      </w:pPr>
      <w:r w:rsidRPr="008543EA">
        <w:rPr>
          <w:rStyle w:val="Odwoanieprzypisudolnego"/>
          <w:rFonts w:asciiTheme="majorHAnsi" w:hAnsiTheme="majorHAnsi"/>
          <w:sz w:val="18"/>
        </w:rPr>
        <w:footnoteRef/>
      </w:r>
      <w:r w:rsidRPr="008543EA">
        <w:rPr>
          <w:rFonts w:asciiTheme="majorHAnsi" w:hAnsiTheme="majorHAnsi"/>
          <w:sz w:val="18"/>
        </w:rPr>
        <w:t xml:space="preserve"> Plan Zagospodarowania Przestrzennego Województwa Warmińsko-Mazurskiego. 2018. Warmińsko-Mazurskie Biuro Planowania Przestrzennego, Olsztyn</w:t>
      </w:r>
    </w:p>
  </w:footnote>
  <w:footnote w:id="31">
    <w:p w14:paraId="743F6EF5" w14:textId="77777777" w:rsidR="006D24CC" w:rsidRPr="008543EA" w:rsidRDefault="006D24CC" w:rsidP="00EA2B5F">
      <w:pPr>
        <w:pStyle w:val="Tekstprzypisudolnego"/>
        <w:jc w:val="both"/>
        <w:rPr>
          <w:rFonts w:asciiTheme="majorHAnsi" w:hAnsiTheme="majorHAnsi"/>
        </w:rPr>
      </w:pPr>
      <w:r w:rsidRPr="008543EA">
        <w:rPr>
          <w:rStyle w:val="Odwoanieprzypisudolnego"/>
          <w:rFonts w:asciiTheme="majorHAnsi" w:hAnsiTheme="majorHAnsi"/>
          <w:sz w:val="18"/>
        </w:rPr>
        <w:footnoteRef/>
      </w:r>
      <w:r w:rsidRPr="008543EA">
        <w:rPr>
          <w:rFonts w:asciiTheme="majorHAnsi" w:hAnsiTheme="majorHAnsi"/>
          <w:sz w:val="18"/>
        </w:rPr>
        <w:t xml:space="preserve"> Plan Zagospodarowania Przestrzennego Województwa Warmińsko-Mazurskiego. 2018. Warmińsko-Mazurskie Biuro Planowania Przestrzennego, Olsztyn</w:t>
      </w:r>
    </w:p>
  </w:footnote>
  <w:footnote w:id="32">
    <w:p w14:paraId="4090A20B" w14:textId="77777777" w:rsidR="006D24CC" w:rsidRPr="00B34211" w:rsidRDefault="006D24CC" w:rsidP="00B34211">
      <w:pPr>
        <w:pStyle w:val="Tekstprzypisudolnego"/>
        <w:jc w:val="both"/>
        <w:rPr>
          <w:rFonts w:asciiTheme="majorHAnsi" w:hAnsiTheme="majorHAnsi" w:cstheme="majorHAnsi"/>
          <w:sz w:val="18"/>
          <w:szCs w:val="18"/>
        </w:rPr>
      </w:pPr>
      <w:r w:rsidRPr="00B34211">
        <w:rPr>
          <w:rStyle w:val="Odwoanieprzypisudolnego"/>
          <w:rFonts w:asciiTheme="majorHAnsi" w:hAnsiTheme="majorHAnsi" w:cstheme="majorHAnsi"/>
          <w:sz w:val="18"/>
          <w:szCs w:val="18"/>
        </w:rPr>
        <w:footnoteRef/>
      </w:r>
      <w:r w:rsidRPr="00B34211">
        <w:rPr>
          <w:rFonts w:asciiTheme="majorHAnsi" w:hAnsiTheme="majorHAnsi" w:cstheme="majorHAnsi"/>
          <w:sz w:val="18"/>
          <w:szCs w:val="18"/>
        </w:rPr>
        <w:t xml:space="preserve"> </w:t>
      </w:r>
      <w:r w:rsidRPr="00B34211">
        <w:rPr>
          <w:rFonts w:asciiTheme="majorHAnsi" w:hAnsiTheme="majorHAnsi" w:cstheme="majorHAnsi"/>
          <w:i/>
          <w:iCs/>
          <w:sz w:val="18"/>
          <w:szCs w:val="18"/>
        </w:rPr>
        <w:t>Plan Zagospodarowania Przestrzennego Województwa Warmińsko-Mazurskiego</w:t>
      </w:r>
      <w:r w:rsidRPr="00B34211">
        <w:rPr>
          <w:rFonts w:asciiTheme="majorHAnsi" w:hAnsiTheme="majorHAnsi" w:cstheme="majorHAnsi"/>
          <w:sz w:val="18"/>
          <w:szCs w:val="18"/>
        </w:rPr>
        <w:t>. 2018. Warmińsko-Mazurskie Biuro Planowania Przestrzennego, Olsztyn</w:t>
      </w:r>
    </w:p>
  </w:footnote>
  <w:footnote w:id="33">
    <w:p w14:paraId="07A54F59" w14:textId="77777777" w:rsidR="006D24CC" w:rsidRPr="007B7167" w:rsidRDefault="006D24CC" w:rsidP="00EA2B5F">
      <w:pPr>
        <w:pStyle w:val="Tekstprzypisudolnego"/>
        <w:jc w:val="both"/>
        <w:rPr>
          <w:rFonts w:asciiTheme="majorHAnsi" w:hAnsiTheme="majorHAnsi" w:cstheme="majorHAnsi"/>
          <w:sz w:val="18"/>
          <w:szCs w:val="18"/>
        </w:rPr>
      </w:pPr>
      <w:r w:rsidRPr="007B7167">
        <w:rPr>
          <w:rStyle w:val="Odwoanieprzypisudolnego"/>
          <w:rFonts w:asciiTheme="majorHAnsi" w:hAnsiTheme="majorHAnsi" w:cstheme="majorHAnsi"/>
          <w:sz w:val="18"/>
          <w:szCs w:val="18"/>
        </w:rPr>
        <w:footnoteRef/>
      </w:r>
      <w:r w:rsidRPr="007B7167">
        <w:rPr>
          <w:rFonts w:asciiTheme="majorHAnsi" w:hAnsiTheme="majorHAnsi" w:cstheme="majorHAnsi"/>
          <w:sz w:val="18"/>
          <w:szCs w:val="18"/>
        </w:rPr>
        <w:t xml:space="preserve"> Matel A. 2017. Ocena poziomu zaspokojenia potrzeb mieszkaniowych mieszkańców Białegostoku w latach 2006-2015. Экономика и управления XXI века, ред. М.Е. Карпицкая, С.Е. Витун, Ли Чон Ку, Е.И. Платоненко, В.С. Фатеев, О.Б. Цехан, Гроднo 2017, c. 15-21</w:t>
      </w:r>
    </w:p>
  </w:footnote>
  <w:footnote w:id="34">
    <w:p w14:paraId="6BE1CA84" w14:textId="77777777" w:rsidR="006D24CC" w:rsidRPr="002C7D64" w:rsidRDefault="006D24CC" w:rsidP="00EA2B5F">
      <w:pPr>
        <w:pStyle w:val="Tekstprzypisudolnego"/>
        <w:jc w:val="both"/>
        <w:rPr>
          <w:rFonts w:asciiTheme="majorHAnsi" w:hAnsiTheme="majorHAnsi"/>
          <w:sz w:val="18"/>
        </w:rPr>
      </w:pPr>
      <w:r w:rsidRPr="002C7D64">
        <w:rPr>
          <w:rStyle w:val="Odwoanieprzypisudolnego"/>
          <w:rFonts w:asciiTheme="majorHAnsi" w:hAnsiTheme="majorHAnsi"/>
          <w:sz w:val="18"/>
        </w:rPr>
        <w:footnoteRef/>
      </w:r>
      <w:r w:rsidRPr="002C7D64">
        <w:rPr>
          <w:rFonts w:asciiTheme="majorHAnsi" w:hAnsiTheme="majorHAnsi"/>
          <w:sz w:val="18"/>
        </w:rPr>
        <w:t xml:space="preserve"> Bartnik K. M. 2016. </w:t>
      </w:r>
      <w:r w:rsidRPr="002C7D64">
        <w:rPr>
          <w:rFonts w:asciiTheme="majorHAnsi" w:hAnsiTheme="majorHAnsi"/>
          <w:i/>
          <w:iCs/>
          <w:sz w:val="18"/>
        </w:rPr>
        <w:t>Znaczenie kapitału ludzkiego i społecznego w rozwoju regionalnym na przykładzie Finlandii.</w:t>
      </w:r>
      <w:r w:rsidRPr="002C7D64">
        <w:rPr>
          <w:rFonts w:asciiTheme="majorHAnsi" w:hAnsiTheme="majorHAnsi"/>
          <w:sz w:val="18"/>
        </w:rPr>
        <w:t xml:space="preserve"> Studia Oeconomica Posnaniensia, 4(6): 7-26</w:t>
      </w:r>
    </w:p>
  </w:footnote>
  <w:footnote w:id="35">
    <w:p w14:paraId="50232B34" w14:textId="77777777" w:rsidR="006D24CC" w:rsidRPr="002C7D64" w:rsidRDefault="006D24CC" w:rsidP="00EA2B5F">
      <w:pPr>
        <w:pStyle w:val="Tekstprzypisudolnego"/>
        <w:jc w:val="both"/>
        <w:rPr>
          <w:rFonts w:asciiTheme="majorHAnsi" w:hAnsiTheme="majorHAnsi"/>
          <w:sz w:val="18"/>
        </w:rPr>
      </w:pPr>
      <w:r w:rsidRPr="002C7D64">
        <w:rPr>
          <w:rStyle w:val="Odwoanieprzypisudolnego"/>
          <w:rFonts w:asciiTheme="majorHAnsi" w:hAnsiTheme="majorHAnsi"/>
          <w:sz w:val="18"/>
        </w:rPr>
        <w:footnoteRef/>
      </w:r>
      <w:r w:rsidRPr="002C7D64">
        <w:rPr>
          <w:rFonts w:asciiTheme="majorHAnsi" w:hAnsiTheme="majorHAnsi"/>
          <w:sz w:val="18"/>
        </w:rPr>
        <w:t xml:space="preserve"> Kozuń-Cieślak G. 2013. </w:t>
      </w:r>
      <w:r w:rsidRPr="002C7D64">
        <w:rPr>
          <w:rFonts w:asciiTheme="majorHAnsi" w:hAnsiTheme="majorHAnsi"/>
          <w:i/>
          <w:iCs/>
          <w:sz w:val="18"/>
        </w:rPr>
        <w:t>Efektywność inwestycji publicznych w kapitał ludzki</w:t>
      </w:r>
      <w:r w:rsidRPr="002C7D64">
        <w:rPr>
          <w:rFonts w:asciiTheme="majorHAnsi" w:hAnsiTheme="majorHAnsi"/>
          <w:sz w:val="18"/>
        </w:rPr>
        <w:t>. Ekonomista, 3: 319-343</w:t>
      </w:r>
    </w:p>
  </w:footnote>
  <w:footnote w:id="36">
    <w:p w14:paraId="703D5077" w14:textId="77777777" w:rsidR="006D24CC" w:rsidRDefault="006D24CC" w:rsidP="00EA2B5F">
      <w:pPr>
        <w:pStyle w:val="Tekstprzypisudolnego"/>
        <w:jc w:val="both"/>
      </w:pPr>
      <w:r w:rsidRPr="002C7D64">
        <w:rPr>
          <w:rStyle w:val="Odwoanieprzypisudolnego"/>
          <w:rFonts w:asciiTheme="majorHAnsi" w:hAnsiTheme="majorHAnsi"/>
          <w:sz w:val="18"/>
        </w:rPr>
        <w:footnoteRef/>
      </w:r>
      <w:r w:rsidRPr="002C7D64">
        <w:rPr>
          <w:rFonts w:asciiTheme="majorHAnsi" w:hAnsiTheme="majorHAnsi"/>
          <w:sz w:val="18"/>
        </w:rPr>
        <w:t xml:space="preserve"> Tracz M. 2013. </w:t>
      </w:r>
      <w:r w:rsidRPr="002C7D64">
        <w:rPr>
          <w:rFonts w:asciiTheme="majorHAnsi" w:hAnsiTheme="majorHAnsi"/>
          <w:i/>
          <w:iCs/>
          <w:sz w:val="18"/>
        </w:rPr>
        <w:t>Rola edukacji w budowaniu kapitału społecznego w Polsce</w:t>
      </w:r>
      <w:r w:rsidRPr="002C7D64">
        <w:rPr>
          <w:rFonts w:asciiTheme="majorHAnsi" w:hAnsiTheme="majorHAnsi"/>
          <w:sz w:val="18"/>
        </w:rPr>
        <w:t>. Prace Komisji Geografii Przemysłu Polskiego Towarzystwa Geograficznego, 23, 134-145</w:t>
      </w:r>
    </w:p>
  </w:footnote>
  <w:footnote w:id="37">
    <w:p w14:paraId="7B44D89E" w14:textId="77777777" w:rsidR="006D24CC" w:rsidRPr="002C7D64" w:rsidRDefault="006D24CC" w:rsidP="00EA2B5F">
      <w:pPr>
        <w:pStyle w:val="Tekstprzypisudolnego"/>
        <w:jc w:val="both"/>
        <w:rPr>
          <w:rFonts w:asciiTheme="majorHAnsi" w:hAnsiTheme="majorHAnsi"/>
          <w:sz w:val="18"/>
        </w:rPr>
      </w:pPr>
      <w:r w:rsidRPr="002C7D64">
        <w:rPr>
          <w:rStyle w:val="Odwoanieprzypisudolnego"/>
          <w:rFonts w:asciiTheme="majorHAnsi" w:hAnsiTheme="majorHAnsi"/>
          <w:sz w:val="18"/>
        </w:rPr>
        <w:footnoteRef/>
      </w:r>
      <w:r w:rsidRPr="002C7D64">
        <w:rPr>
          <w:rFonts w:asciiTheme="majorHAnsi" w:hAnsiTheme="majorHAnsi"/>
          <w:sz w:val="18"/>
        </w:rPr>
        <w:t xml:space="preserve"> W latach 2017-2019 ostatnie roczniki tych szkół funkcjonowały jako tzw. „oddziały gimnazjalne”, a  ostatecznie zniknęły z ustroju szkolnego 1  września 2019 r. W  związku z likwidacją tego ogniwa systemu oświaty jego szczegółowa analiza została pominięta.</w:t>
      </w:r>
    </w:p>
  </w:footnote>
  <w:footnote w:id="38">
    <w:p w14:paraId="1B371B1D" w14:textId="77777777" w:rsidR="006D24CC" w:rsidRDefault="006D24CC" w:rsidP="00EA2B5F">
      <w:pPr>
        <w:pStyle w:val="Tekstprzypisudolnego"/>
      </w:pPr>
      <w:r w:rsidRPr="002C7D64">
        <w:rPr>
          <w:rStyle w:val="Odwoanieprzypisudolnego"/>
          <w:rFonts w:asciiTheme="majorHAnsi" w:hAnsiTheme="majorHAnsi"/>
          <w:sz w:val="18"/>
        </w:rPr>
        <w:footnoteRef/>
      </w:r>
      <w:r w:rsidRPr="002C7D64">
        <w:rPr>
          <w:rFonts w:asciiTheme="majorHAnsi" w:hAnsiTheme="majorHAnsi"/>
          <w:sz w:val="18"/>
        </w:rPr>
        <w:t xml:space="preserve"> https://stat.gov.pl/cps/rde/xbcr/lublin/ASSETS_EDUKACJA_2012a.pdf</w:t>
      </w:r>
    </w:p>
  </w:footnote>
  <w:footnote w:id="39">
    <w:p w14:paraId="2C17E8CD" w14:textId="77777777" w:rsidR="006D24CC" w:rsidRPr="002C7D64" w:rsidRDefault="006D24CC" w:rsidP="00EA2B5F">
      <w:pPr>
        <w:pStyle w:val="Tekstprzypisudolnego"/>
        <w:rPr>
          <w:rFonts w:asciiTheme="majorHAnsi" w:hAnsiTheme="majorHAnsi"/>
        </w:rPr>
      </w:pPr>
      <w:r w:rsidRPr="002C7D64">
        <w:rPr>
          <w:rStyle w:val="Odwoanieprzypisudolnego"/>
          <w:rFonts w:asciiTheme="majorHAnsi" w:hAnsiTheme="majorHAnsi"/>
          <w:sz w:val="18"/>
        </w:rPr>
        <w:footnoteRef/>
      </w:r>
      <w:r w:rsidRPr="002C7D64">
        <w:rPr>
          <w:rFonts w:asciiTheme="majorHAnsi" w:hAnsiTheme="majorHAnsi"/>
          <w:sz w:val="18"/>
        </w:rPr>
        <w:t xml:space="preserve"> https://eurydice.org.pl/wp-content/uploads/2017/10/System-edukacji-w-Polsce_2017_2018_PL.pdf</w:t>
      </w:r>
    </w:p>
  </w:footnote>
  <w:footnote w:id="40">
    <w:p w14:paraId="2C4ABBF8" w14:textId="77777777" w:rsidR="006D24CC" w:rsidRPr="005175F7" w:rsidRDefault="006D24CC" w:rsidP="00EA2B5F">
      <w:pPr>
        <w:pStyle w:val="Tekstprzypisudolnego"/>
        <w:rPr>
          <w:rFonts w:asciiTheme="majorHAnsi" w:hAnsiTheme="majorHAnsi" w:cstheme="majorHAnsi"/>
          <w:sz w:val="18"/>
          <w:szCs w:val="18"/>
        </w:rPr>
      </w:pPr>
      <w:r w:rsidRPr="005175F7">
        <w:rPr>
          <w:rStyle w:val="Odwoanieprzypisudolnego"/>
          <w:rFonts w:asciiTheme="majorHAnsi" w:hAnsiTheme="majorHAnsi" w:cstheme="majorHAnsi"/>
          <w:sz w:val="18"/>
          <w:szCs w:val="18"/>
        </w:rPr>
        <w:footnoteRef/>
      </w:r>
      <w:r w:rsidRPr="005175F7">
        <w:rPr>
          <w:rFonts w:asciiTheme="majorHAnsi" w:hAnsiTheme="majorHAnsi" w:cstheme="majorHAnsi"/>
          <w:sz w:val="18"/>
          <w:szCs w:val="18"/>
        </w:rPr>
        <w:t xml:space="preserve"> Międzynarodowa Klasyfikacja Kierunków Kształcenia ISCED-F 2013</w:t>
      </w:r>
    </w:p>
  </w:footnote>
  <w:footnote w:id="41">
    <w:p w14:paraId="4A19D51C" w14:textId="77777777" w:rsidR="006D24CC" w:rsidRPr="005D522F" w:rsidRDefault="006D24CC" w:rsidP="00EA2B5F">
      <w:pPr>
        <w:pStyle w:val="Tekstprzypisudolnego"/>
        <w:rPr>
          <w:rFonts w:asciiTheme="majorHAnsi" w:hAnsiTheme="majorHAnsi"/>
          <w:sz w:val="18"/>
        </w:rPr>
      </w:pPr>
      <w:r w:rsidRPr="005D522F">
        <w:rPr>
          <w:rStyle w:val="Odwoanieprzypisudolnego"/>
          <w:rFonts w:asciiTheme="majorHAnsi" w:hAnsiTheme="majorHAnsi"/>
          <w:sz w:val="18"/>
        </w:rPr>
        <w:footnoteRef/>
      </w:r>
      <w:r w:rsidRPr="005D522F">
        <w:rPr>
          <w:rFonts w:asciiTheme="majorHAnsi" w:hAnsiTheme="majorHAnsi"/>
          <w:sz w:val="18"/>
        </w:rPr>
        <w:t xml:space="preserve"> Z uwagi na brak danych dla lat 2010-2013 rokiem bazowym dla wskaźnika był 2014 r.</w:t>
      </w:r>
    </w:p>
  </w:footnote>
  <w:footnote w:id="42">
    <w:p w14:paraId="5C117FF7" w14:textId="77777777" w:rsidR="006D24CC" w:rsidRDefault="006D24CC" w:rsidP="00EA2B5F">
      <w:pPr>
        <w:pStyle w:val="Tekstprzypisudolnego"/>
        <w:jc w:val="both"/>
      </w:pPr>
      <w:r w:rsidRPr="005D522F">
        <w:rPr>
          <w:rStyle w:val="Odwoanieprzypisudolnego"/>
          <w:rFonts w:asciiTheme="majorHAnsi" w:hAnsiTheme="majorHAnsi"/>
          <w:sz w:val="18"/>
        </w:rPr>
        <w:footnoteRef/>
      </w:r>
      <w:r w:rsidRPr="005D522F">
        <w:rPr>
          <w:rFonts w:asciiTheme="majorHAnsi" w:hAnsiTheme="majorHAnsi"/>
          <w:sz w:val="18"/>
        </w:rPr>
        <w:t xml:space="preserve"> Indeksy łańcuchowe (o zmiennej podstawie) informują o tym jak zmieniła się wartość zjawiska w danym roku względem roku poprzedniego.</w:t>
      </w:r>
    </w:p>
  </w:footnote>
  <w:footnote w:id="43">
    <w:p w14:paraId="26671D0B" w14:textId="77777777" w:rsidR="006D24CC" w:rsidRPr="005D522F" w:rsidRDefault="006D24CC" w:rsidP="00EA2B5F">
      <w:pPr>
        <w:pStyle w:val="Tekstprzypisudolnego"/>
        <w:jc w:val="both"/>
        <w:rPr>
          <w:rFonts w:asciiTheme="majorHAnsi" w:hAnsiTheme="majorHAnsi"/>
        </w:rPr>
      </w:pPr>
      <w:r w:rsidRPr="005D522F">
        <w:rPr>
          <w:rStyle w:val="Odwoanieprzypisudolnego"/>
          <w:rFonts w:asciiTheme="majorHAnsi" w:hAnsiTheme="majorHAnsi"/>
          <w:sz w:val="18"/>
        </w:rPr>
        <w:footnoteRef/>
      </w:r>
      <w:r w:rsidRPr="005D522F">
        <w:rPr>
          <w:rFonts w:asciiTheme="majorHAnsi" w:hAnsiTheme="majorHAnsi"/>
          <w:sz w:val="18"/>
        </w:rPr>
        <w:t xml:space="preserve"> Szpital jest zakwalifikowany do tzw. sieci szpitali, tj. do I poziomu systemu zabezpieczenia świadczeń opieki zdrowotnej (PSZ), zapewniając świadczeniobiorcom dostęp do świadczeń opieki zdrowotnej w  zakresie: leczenia szpitalnego, ambulatoryjnej opieki specjalistycznej realizowanej w poradniach przyszpitalnych, rehabilitacji leczniczej, programów lekowych oraz nocnej i świątecznej opieki zdrowotnej, przy jednoczesnym zagwarantowaniu ciągłości i kompleksowości udzielanych świadczeń medycznych.</w:t>
      </w:r>
    </w:p>
  </w:footnote>
  <w:footnote w:id="44">
    <w:p w14:paraId="5CD20191" w14:textId="77777777" w:rsidR="006D24CC" w:rsidRPr="009042CB" w:rsidRDefault="006D24CC" w:rsidP="00EA2B5F">
      <w:pPr>
        <w:pStyle w:val="Tekstprzypisudolnego"/>
        <w:rPr>
          <w:rFonts w:asciiTheme="majorHAnsi" w:hAnsiTheme="majorHAnsi" w:cstheme="majorHAnsi"/>
          <w:sz w:val="18"/>
          <w:szCs w:val="18"/>
        </w:rPr>
      </w:pPr>
      <w:r w:rsidRPr="009042CB">
        <w:rPr>
          <w:rStyle w:val="Odwoanieprzypisudolnego"/>
          <w:rFonts w:asciiTheme="majorHAnsi" w:hAnsiTheme="majorHAnsi" w:cstheme="majorHAnsi"/>
          <w:sz w:val="18"/>
          <w:szCs w:val="18"/>
        </w:rPr>
        <w:footnoteRef/>
      </w:r>
      <w:r w:rsidRPr="009042CB">
        <w:rPr>
          <w:rFonts w:asciiTheme="majorHAnsi" w:hAnsiTheme="majorHAnsi" w:cstheme="majorHAnsi"/>
          <w:sz w:val="18"/>
          <w:szCs w:val="18"/>
        </w:rPr>
        <w:t xml:space="preserve"> </w:t>
      </w:r>
      <w:r w:rsidRPr="009042CB">
        <w:rPr>
          <w:rFonts w:asciiTheme="majorHAnsi" w:hAnsiTheme="majorHAnsi" w:cstheme="majorHAnsi"/>
          <w:i/>
          <w:iCs/>
          <w:sz w:val="18"/>
          <w:szCs w:val="18"/>
        </w:rPr>
        <w:t>Beneficjenci środowiskowej pomocy społecznej w 2018 r.</w:t>
      </w:r>
      <w:r w:rsidRPr="009042CB">
        <w:rPr>
          <w:rFonts w:asciiTheme="majorHAnsi" w:hAnsiTheme="majorHAnsi" w:cstheme="majorHAnsi"/>
          <w:sz w:val="18"/>
          <w:szCs w:val="18"/>
        </w:rPr>
        <w:t xml:space="preserve"> 2019. GUS, Kraków-Warszawa.</w:t>
      </w:r>
    </w:p>
  </w:footnote>
  <w:footnote w:id="45">
    <w:p w14:paraId="7F92F7F5" w14:textId="77777777" w:rsidR="006D24CC" w:rsidRPr="009042CB" w:rsidRDefault="006D24CC" w:rsidP="00EA2B5F">
      <w:pPr>
        <w:pStyle w:val="Tekstprzypisudolnego"/>
        <w:rPr>
          <w:rFonts w:asciiTheme="majorHAnsi" w:hAnsiTheme="majorHAnsi" w:cstheme="majorHAnsi"/>
          <w:sz w:val="18"/>
          <w:szCs w:val="18"/>
        </w:rPr>
      </w:pPr>
      <w:r w:rsidRPr="009042CB">
        <w:rPr>
          <w:rStyle w:val="Odwoanieprzypisudolnego"/>
          <w:rFonts w:asciiTheme="majorHAnsi" w:hAnsiTheme="majorHAnsi" w:cstheme="majorHAnsi"/>
          <w:sz w:val="18"/>
          <w:szCs w:val="18"/>
        </w:rPr>
        <w:footnoteRef/>
      </w:r>
      <w:r w:rsidRPr="009042CB">
        <w:rPr>
          <w:rFonts w:asciiTheme="majorHAnsi" w:hAnsiTheme="majorHAnsi" w:cstheme="majorHAnsi"/>
          <w:sz w:val="18"/>
          <w:szCs w:val="18"/>
        </w:rPr>
        <w:t xml:space="preserve"> ibidem</w:t>
      </w:r>
    </w:p>
  </w:footnote>
  <w:footnote w:id="46">
    <w:p w14:paraId="6FEF99E5" w14:textId="6360EC6E" w:rsidR="006D24CC" w:rsidRPr="004F0157" w:rsidRDefault="006D24CC">
      <w:pPr>
        <w:pStyle w:val="Tekstprzypisudolnego"/>
        <w:rPr>
          <w:rFonts w:asciiTheme="majorHAnsi" w:hAnsiTheme="majorHAnsi"/>
          <w:sz w:val="18"/>
          <w:szCs w:val="18"/>
        </w:rPr>
      </w:pPr>
      <w:r w:rsidRPr="004F0157">
        <w:rPr>
          <w:rStyle w:val="Odwoanieprzypisudolnego"/>
          <w:rFonts w:asciiTheme="majorHAnsi" w:hAnsiTheme="majorHAnsi"/>
          <w:sz w:val="18"/>
          <w:szCs w:val="18"/>
        </w:rPr>
        <w:footnoteRef/>
      </w:r>
      <w:r w:rsidRPr="004F0157">
        <w:rPr>
          <w:rFonts w:asciiTheme="majorHAnsi" w:hAnsiTheme="majorHAnsi"/>
          <w:sz w:val="18"/>
          <w:szCs w:val="18"/>
        </w:rPr>
        <w:t xml:space="preserve"> https://pl.wikipedia.org/wiki/Lokalna_Grupa_Działania</w:t>
      </w:r>
    </w:p>
  </w:footnote>
  <w:footnote w:id="47">
    <w:p w14:paraId="443F5B81" w14:textId="77777777" w:rsidR="006D24CC" w:rsidRPr="003163F5" w:rsidRDefault="006D24CC" w:rsidP="00077C83">
      <w:pPr>
        <w:pStyle w:val="Tekstprzypisudolnego"/>
        <w:rPr>
          <w:rFonts w:asciiTheme="majorHAnsi" w:hAnsiTheme="majorHAnsi" w:cstheme="majorHAnsi"/>
        </w:rPr>
      </w:pPr>
      <w:r w:rsidRPr="003163F5">
        <w:rPr>
          <w:rStyle w:val="Odwoanieprzypisudolnego"/>
          <w:rFonts w:asciiTheme="majorHAnsi" w:hAnsiTheme="majorHAnsi" w:cstheme="majorHAnsi"/>
        </w:rPr>
        <w:footnoteRef/>
      </w:r>
      <w:r w:rsidRPr="003163F5">
        <w:rPr>
          <w:rFonts w:asciiTheme="majorHAnsi" w:hAnsiTheme="majorHAnsi" w:cstheme="majorHAnsi"/>
        </w:rPr>
        <w:t xml:space="preserve"> pozycja 1 oznacza że dany powiat wypada najlepiej w porównaniu z innymi jednostkami</w:t>
      </w:r>
    </w:p>
  </w:footnote>
  <w:footnote w:id="48">
    <w:p w14:paraId="4DA6341C" w14:textId="77777777" w:rsidR="006D24CC" w:rsidRPr="004C64BD" w:rsidRDefault="006D24CC" w:rsidP="004C64BD">
      <w:pPr>
        <w:pStyle w:val="Tekstprzypisudolnego"/>
        <w:jc w:val="both"/>
        <w:rPr>
          <w:rFonts w:asciiTheme="majorHAnsi" w:hAnsiTheme="majorHAnsi" w:cstheme="majorHAnsi"/>
        </w:rPr>
      </w:pPr>
      <w:r w:rsidRPr="004C64BD">
        <w:rPr>
          <w:rStyle w:val="Odwoanieprzypisudolnego"/>
          <w:rFonts w:asciiTheme="majorHAnsi" w:hAnsiTheme="majorHAnsi" w:cstheme="majorHAnsi"/>
        </w:rPr>
        <w:footnoteRef/>
      </w:r>
      <w:r w:rsidRPr="004C64BD">
        <w:rPr>
          <w:rFonts w:asciiTheme="majorHAnsi" w:hAnsiTheme="majorHAnsi" w:cstheme="majorHAnsi"/>
        </w:rPr>
        <w:t xml:space="preserve"> T. Markowski, Stymulowanie i regulowanie konkurencyjności regionów w świetle procesów globalizacji gospodarki, Samorząd Terytorialny nr 3, 2000</w:t>
      </w:r>
    </w:p>
  </w:footnote>
  <w:footnote w:id="49">
    <w:p w14:paraId="7C2A049D" w14:textId="77777777" w:rsidR="006D24CC" w:rsidRPr="00915641" w:rsidRDefault="006D24CC" w:rsidP="00761E14">
      <w:pPr>
        <w:pStyle w:val="Tekstprzypisudolnego"/>
        <w:jc w:val="both"/>
        <w:rPr>
          <w:rFonts w:asciiTheme="majorHAnsi" w:hAnsiTheme="majorHAnsi"/>
        </w:rPr>
      </w:pPr>
      <w:r>
        <w:rPr>
          <w:rStyle w:val="Odwoanieprzypisudolnego"/>
        </w:rPr>
        <w:footnoteRef/>
      </w:r>
      <w:r>
        <w:t xml:space="preserve"> „</w:t>
      </w:r>
      <w:r w:rsidRPr="00371E13">
        <w:rPr>
          <w:rFonts w:asciiTheme="majorHAnsi" w:hAnsiTheme="majorHAnsi"/>
          <w:i/>
        </w:rPr>
        <w:t>Wskaźniki w zarządzaniu strategicznym. Poradnik dla pracowników administracji publicznej</w:t>
      </w:r>
      <w:r w:rsidRPr="00915641">
        <w:rPr>
          <w:rFonts w:asciiTheme="majorHAnsi" w:hAnsiTheme="majorHAnsi"/>
        </w:rPr>
        <w:t>”</w:t>
      </w:r>
      <w:r>
        <w:rPr>
          <w:rFonts w:asciiTheme="majorHAnsi" w:hAnsiTheme="majorHAnsi"/>
        </w:rPr>
        <w:t xml:space="preserve">, </w:t>
      </w:r>
      <w:r>
        <w:rPr>
          <w:rFonts w:asciiTheme="majorHAnsi" w:hAnsiTheme="majorHAnsi"/>
        </w:rPr>
        <w:br/>
      </w:r>
      <w:r w:rsidRPr="00915641">
        <w:rPr>
          <w:rFonts w:asciiTheme="majorHAnsi" w:hAnsiTheme="majorHAnsi"/>
        </w:rPr>
        <w:t>T</w:t>
      </w:r>
      <w:r>
        <w:rPr>
          <w:rFonts w:asciiTheme="majorHAnsi" w:hAnsiTheme="majorHAnsi"/>
        </w:rPr>
        <w:t xml:space="preserve">. </w:t>
      </w:r>
      <w:r w:rsidRPr="00915641">
        <w:rPr>
          <w:rFonts w:asciiTheme="majorHAnsi" w:hAnsiTheme="majorHAnsi"/>
        </w:rPr>
        <w:t>Kot</w:t>
      </w:r>
      <w:r>
        <w:rPr>
          <w:rFonts w:asciiTheme="majorHAnsi" w:hAnsiTheme="majorHAnsi"/>
        </w:rPr>
        <w:t xml:space="preserve">, </w:t>
      </w:r>
      <w:r w:rsidRPr="00915641">
        <w:rPr>
          <w:rFonts w:asciiTheme="majorHAnsi" w:hAnsiTheme="majorHAnsi"/>
        </w:rPr>
        <w:t>A</w:t>
      </w:r>
      <w:r>
        <w:rPr>
          <w:rFonts w:asciiTheme="majorHAnsi" w:hAnsiTheme="majorHAnsi"/>
        </w:rPr>
        <w:t xml:space="preserve">. </w:t>
      </w:r>
      <w:r w:rsidRPr="00915641">
        <w:rPr>
          <w:rFonts w:asciiTheme="majorHAnsi" w:hAnsiTheme="majorHAnsi"/>
        </w:rPr>
        <w:t>Weremiuk, MIR, Warszawa 2012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BF85EF" w14:textId="67DF1C49" w:rsidR="006D24CC" w:rsidRPr="00374AD6" w:rsidRDefault="006D24CC" w:rsidP="00374AD6">
    <w:pPr>
      <w:pStyle w:val="Nagwek"/>
      <w:rPr>
        <w:b/>
        <w:color w:val="00B0F0"/>
        <w:sz w:val="20"/>
        <w:szCs w:val="23"/>
      </w:rPr>
    </w:pPr>
    <w:r w:rsidRPr="00374AD6">
      <w:rPr>
        <w:b/>
        <w:color w:val="00B0F0"/>
        <w:sz w:val="20"/>
        <w:szCs w:val="23"/>
      </w:rPr>
      <w:t>Mazury 2030</w:t>
    </w:r>
  </w:p>
  <w:p w14:paraId="22821BBC" w14:textId="77777777" w:rsidR="006D24CC" w:rsidRDefault="00E2001F" w:rsidP="00374AD6">
    <w:pPr>
      <w:tabs>
        <w:tab w:val="center" w:pos="4536"/>
        <w:tab w:val="right" w:pos="9072"/>
      </w:tabs>
      <w:spacing w:after="0" w:line="120" w:lineRule="auto"/>
      <w:jc w:val="center"/>
    </w:pPr>
    <w:r>
      <w:pict w14:anchorId="6F77DF54">
        <v:rect id="_x0000_i1025" style="width:453.6pt;height:1pt" o:hralign="center" o:hrstd="t" o:hrnoshade="t" o:hr="t" fillcolor="#92d050" stroked="f"/>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F85530" w14:textId="606706FA" w:rsidR="006D24CC" w:rsidRPr="007B087F" w:rsidRDefault="006D24CC" w:rsidP="00BB5769">
    <w:pPr>
      <w:pStyle w:val="Nagwek"/>
      <w:tabs>
        <w:tab w:val="left" w:pos="4171"/>
        <w:tab w:val="right" w:pos="10466"/>
      </w:tabs>
      <w:rPr>
        <w:b/>
        <w:color w:val="808080" w:themeColor="background1" w:themeShade="80"/>
        <w:sz w:val="20"/>
        <w:szCs w:val="23"/>
      </w:rPr>
    </w:pPr>
    <w:r>
      <w:rPr>
        <w:b/>
        <w:color w:val="808080" w:themeColor="background1" w:themeShade="80"/>
        <w:sz w:val="20"/>
        <w:szCs w:val="23"/>
      </w:rPr>
      <w:tab/>
    </w:r>
    <w:r>
      <w:rPr>
        <w:b/>
        <w:color w:val="808080" w:themeColor="background1" w:themeShade="80"/>
        <w:sz w:val="20"/>
        <w:szCs w:val="23"/>
      </w:rPr>
      <w:tab/>
    </w:r>
    <w:r>
      <w:rPr>
        <w:b/>
        <w:color w:val="808080" w:themeColor="background1" w:themeShade="80"/>
        <w:sz w:val="20"/>
        <w:szCs w:val="23"/>
      </w:rPr>
      <w:tab/>
      <w:t>Strategia Rozwoju OF Mazury</w:t>
    </w:r>
  </w:p>
  <w:p w14:paraId="23E913B1" w14:textId="77777777" w:rsidR="006D24CC" w:rsidRDefault="00E2001F" w:rsidP="00374AD6">
    <w:pPr>
      <w:tabs>
        <w:tab w:val="center" w:pos="4536"/>
        <w:tab w:val="right" w:pos="9072"/>
      </w:tabs>
      <w:spacing w:after="0" w:line="120" w:lineRule="auto"/>
      <w:jc w:val="center"/>
    </w:pPr>
    <w:r>
      <w:pict w14:anchorId="6FF09105">
        <v:rect id="_x0000_i1026" style="width:453.6pt;height:1pt" o:hralign="center" o:hrstd="t" o:hrnoshade="t" o:hr="t" fillcolor="#92d050" stroked="f"/>
      </w:pict>
    </w:r>
  </w:p>
  <w:p w14:paraId="3FA52D84" w14:textId="77777777" w:rsidR="006D24CC" w:rsidRDefault="006D24CC" w:rsidP="00374AD6"/>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51F56"/>
    <w:multiLevelType w:val="hybridMultilevel"/>
    <w:tmpl w:val="AEC076F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030A584E"/>
    <w:multiLevelType w:val="hybridMultilevel"/>
    <w:tmpl w:val="02C8EB40"/>
    <w:lvl w:ilvl="0" w:tplc="99142FC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6CB555D"/>
    <w:multiLevelType w:val="hybridMultilevel"/>
    <w:tmpl w:val="3FDC2F6A"/>
    <w:lvl w:ilvl="0" w:tplc="5344EAAE">
      <w:start w:val="1"/>
      <w:numFmt w:val="bullet"/>
      <w:lvlText w:val="-"/>
      <w:lvlJc w:val="left"/>
      <w:pPr>
        <w:ind w:left="1130" w:hanging="360"/>
      </w:pPr>
      <w:rPr>
        <w:rFonts w:ascii="Times New Roman" w:hAnsi="Times New Roman" w:cs="Times New Roman" w:hint="default"/>
        <w:b w:val="0"/>
        <w:i w:val="0"/>
        <w:sz w:val="24"/>
      </w:rPr>
    </w:lvl>
    <w:lvl w:ilvl="1" w:tplc="04150003" w:tentative="1">
      <w:start w:val="1"/>
      <w:numFmt w:val="bullet"/>
      <w:lvlText w:val="o"/>
      <w:lvlJc w:val="left"/>
      <w:pPr>
        <w:ind w:left="1850" w:hanging="360"/>
      </w:pPr>
      <w:rPr>
        <w:rFonts w:ascii="Courier New" w:hAnsi="Courier New" w:cs="Courier New" w:hint="default"/>
      </w:rPr>
    </w:lvl>
    <w:lvl w:ilvl="2" w:tplc="04150005" w:tentative="1">
      <w:start w:val="1"/>
      <w:numFmt w:val="bullet"/>
      <w:lvlText w:val=""/>
      <w:lvlJc w:val="left"/>
      <w:pPr>
        <w:ind w:left="2570" w:hanging="360"/>
      </w:pPr>
      <w:rPr>
        <w:rFonts w:ascii="Wingdings" w:hAnsi="Wingdings" w:hint="default"/>
      </w:rPr>
    </w:lvl>
    <w:lvl w:ilvl="3" w:tplc="04150001" w:tentative="1">
      <w:start w:val="1"/>
      <w:numFmt w:val="bullet"/>
      <w:lvlText w:val=""/>
      <w:lvlJc w:val="left"/>
      <w:pPr>
        <w:ind w:left="3290" w:hanging="360"/>
      </w:pPr>
      <w:rPr>
        <w:rFonts w:ascii="Symbol" w:hAnsi="Symbol" w:hint="default"/>
      </w:rPr>
    </w:lvl>
    <w:lvl w:ilvl="4" w:tplc="04150003" w:tentative="1">
      <w:start w:val="1"/>
      <w:numFmt w:val="bullet"/>
      <w:lvlText w:val="o"/>
      <w:lvlJc w:val="left"/>
      <w:pPr>
        <w:ind w:left="4010" w:hanging="360"/>
      </w:pPr>
      <w:rPr>
        <w:rFonts w:ascii="Courier New" w:hAnsi="Courier New" w:cs="Courier New" w:hint="default"/>
      </w:rPr>
    </w:lvl>
    <w:lvl w:ilvl="5" w:tplc="04150005" w:tentative="1">
      <w:start w:val="1"/>
      <w:numFmt w:val="bullet"/>
      <w:lvlText w:val=""/>
      <w:lvlJc w:val="left"/>
      <w:pPr>
        <w:ind w:left="4730" w:hanging="360"/>
      </w:pPr>
      <w:rPr>
        <w:rFonts w:ascii="Wingdings" w:hAnsi="Wingdings" w:hint="default"/>
      </w:rPr>
    </w:lvl>
    <w:lvl w:ilvl="6" w:tplc="04150001" w:tentative="1">
      <w:start w:val="1"/>
      <w:numFmt w:val="bullet"/>
      <w:lvlText w:val=""/>
      <w:lvlJc w:val="left"/>
      <w:pPr>
        <w:ind w:left="5450" w:hanging="360"/>
      </w:pPr>
      <w:rPr>
        <w:rFonts w:ascii="Symbol" w:hAnsi="Symbol" w:hint="default"/>
      </w:rPr>
    </w:lvl>
    <w:lvl w:ilvl="7" w:tplc="04150003" w:tentative="1">
      <w:start w:val="1"/>
      <w:numFmt w:val="bullet"/>
      <w:lvlText w:val="o"/>
      <w:lvlJc w:val="left"/>
      <w:pPr>
        <w:ind w:left="6170" w:hanging="360"/>
      </w:pPr>
      <w:rPr>
        <w:rFonts w:ascii="Courier New" w:hAnsi="Courier New" w:cs="Courier New" w:hint="default"/>
      </w:rPr>
    </w:lvl>
    <w:lvl w:ilvl="8" w:tplc="04150005" w:tentative="1">
      <w:start w:val="1"/>
      <w:numFmt w:val="bullet"/>
      <w:lvlText w:val=""/>
      <w:lvlJc w:val="left"/>
      <w:pPr>
        <w:ind w:left="6890" w:hanging="360"/>
      </w:pPr>
      <w:rPr>
        <w:rFonts w:ascii="Wingdings" w:hAnsi="Wingdings" w:hint="default"/>
      </w:rPr>
    </w:lvl>
  </w:abstractNum>
  <w:abstractNum w:abstractNumId="3" w15:restartNumberingAfterBreak="0">
    <w:nsid w:val="08985AFE"/>
    <w:multiLevelType w:val="hybridMultilevel"/>
    <w:tmpl w:val="32487BA0"/>
    <w:lvl w:ilvl="0" w:tplc="FDA6656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0929200A"/>
    <w:multiLevelType w:val="hybridMultilevel"/>
    <w:tmpl w:val="CF34744E"/>
    <w:lvl w:ilvl="0" w:tplc="D9205B6A">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 w15:restartNumberingAfterBreak="0">
    <w:nsid w:val="0AA04CD8"/>
    <w:multiLevelType w:val="hybridMultilevel"/>
    <w:tmpl w:val="8BCA3AF4"/>
    <w:lvl w:ilvl="0" w:tplc="FDA6656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0AD8281F"/>
    <w:multiLevelType w:val="hybridMultilevel"/>
    <w:tmpl w:val="E36AE146"/>
    <w:lvl w:ilvl="0" w:tplc="F99679B0">
      <w:start w:val="1"/>
      <w:numFmt w:val="bullet"/>
      <w:lvlText w:val="-"/>
      <w:lvlJc w:val="left"/>
      <w:pPr>
        <w:ind w:left="720" w:hanging="360"/>
      </w:pPr>
      <w:rPr>
        <w:rFonts w:ascii="Calibri" w:hAnsi="Calibri" w:hint="default"/>
        <w:b w:val="0"/>
        <w:i w:val="0"/>
        <w:color w:val="auto"/>
        <w:sz w:val="24"/>
        <w:szCs w:val="24"/>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0B905800"/>
    <w:multiLevelType w:val="hybridMultilevel"/>
    <w:tmpl w:val="959022C2"/>
    <w:lvl w:ilvl="0" w:tplc="F99679B0">
      <w:start w:val="1"/>
      <w:numFmt w:val="bullet"/>
      <w:lvlText w:val="-"/>
      <w:lvlJc w:val="left"/>
      <w:pPr>
        <w:ind w:left="720" w:hanging="360"/>
      </w:pPr>
      <w:rPr>
        <w:rFonts w:ascii="Calibri" w:hAnsi="Calibri" w:hint="default"/>
        <w:b w:val="0"/>
        <w:i w:val="0"/>
        <w:color w:val="auto"/>
        <w:sz w:val="24"/>
        <w:szCs w:val="24"/>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0C542F52"/>
    <w:multiLevelType w:val="hybridMultilevel"/>
    <w:tmpl w:val="7C9E3D2E"/>
    <w:lvl w:ilvl="0" w:tplc="64B25780">
      <w:start w:val="1"/>
      <w:numFmt w:val="bullet"/>
      <w:lvlText w:val=""/>
      <w:lvlJc w:val="left"/>
      <w:pPr>
        <w:ind w:left="360" w:hanging="360"/>
      </w:pPr>
      <w:rPr>
        <w:rFonts w:ascii="Symbol" w:hAnsi="Symbol" w:hint="default"/>
        <w:strike w:val="0"/>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9" w15:restartNumberingAfterBreak="0">
    <w:nsid w:val="17C352AB"/>
    <w:multiLevelType w:val="hybridMultilevel"/>
    <w:tmpl w:val="80C6C65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1A013BD3"/>
    <w:multiLevelType w:val="hybridMultilevel"/>
    <w:tmpl w:val="8ABCC7EC"/>
    <w:lvl w:ilvl="0" w:tplc="FDA6656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1A527C4A"/>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1DE91E8A"/>
    <w:multiLevelType w:val="hybridMultilevel"/>
    <w:tmpl w:val="A8A40F70"/>
    <w:lvl w:ilvl="0" w:tplc="F99679B0">
      <w:start w:val="1"/>
      <w:numFmt w:val="bullet"/>
      <w:lvlText w:val="-"/>
      <w:lvlJc w:val="left"/>
      <w:pPr>
        <w:ind w:left="720" w:hanging="360"/>
      </w:pPr>
      <w:rPr>
        <w:rFonts w:ascii="Calibri" w:hAnsi="Calibri" w:hint="default"/>
        <w:b w:val="0"/>
        <w:i w:val="0"/>
        <w:color w:val="auto"/>
        <w:sz w:val="24"/>
        <w:szCs w:val="24"/>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1FBA4F9D"/>
    <w:multiLevelType w:val="hybridMultilevel"/>
    <w:tmpl w:val="160ADA3A"/>
    <w:lvl w:ilvl="0" w:tplc="2F1C89CC">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4" w15:restartNumberingAfterBreak="0">
    <w:nsid w:val="272279CF"/>
    <w:multiLevelType w:val="hybridMultilevel"/>
    <w:tmpl w:val="871262AA"/>
    <w:lvl w:ilvl="0" w:tplc="D0D05182">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5" w15:restartNumberingAfterBreak="0">
    <w:nsid w:val="2801759C"/>
    <w:multiLevelType w:val="multilevel"/>
    <w:tmpl w:val="5C767EF4"/>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C487E65"/>
    <w:multiLevelType w:val="hybridMultilevel"/>
    <w:tmpl w:val="8EA4BA9C"/>
    <w:lvl w:ilvl="0" w:tplc="F99679B0">
      <w:start w:val="1"/>
      <w:numFmt w:val="bullet"/>
      <w:lvlText w:val="-"/>
      <w:lvlJc w:val="left"/>
      <w:pPr>
        <w:ind w:left="720" w:hanging="360"/>
      </w:pPr>
      <w:rPr>
        <w:rFonts w:ascii="Calibri" w:hAnsi="Calibri" w:hint="default"/>
        <w:b w:val="0"/>
        <w:i w:val="0"/>
        <w:color w:val="auto"/>
        <w:sz w:val="24"/>
        <w:szCs w:val="24"/>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30E177B5"/>
    <w:multiLevelType w:val="hybridMultilevel"/>
    <w:tmpl w:val="3B86EA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32022A7C"/>
    <w:multiLevelType w:val="hybridMultilevel"/>
    <w:tmpl w:val="47AE6B28"/>
    <w:lvl w:ilvl="0" w:tplc="04150001">
      <w:start w:val="1"/>
      <w:numFmt w:val="bullet"/>
      <w:lvlText w:val=""/>
      <w:lvlJc w:val="left"/>
      <w:pPr>
        <w:ind w:left="770" w:hanging="360"/>
      </w:pPr>
      <w:rPr>
        <w:rFonts w:ascii="Symbol" w:hAnsi="Symbol"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19" w15:restartNumberingAfterBreak="0">
    <w:nsid w:val="322B580D"/>
    <w:multiLevelType w:val="multilevel"/>
    <w:tmpl w:val="4190BF12"/>
    <w:lvl w:ilvl="0">
      <w:start w:val="7"/>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365E72E6"/>
    <w:multiLevelType w:val="hybridMultilevel"/>
    <w:tmpl w:val="79C60E9E"/>
    <w:lvl w:ilvl="0" w:tplc="F99679B0">
      <w:start w:val="1"/>
      <w:numFmt w:val="bullet"/>
      <w:lvlText w:val="-"/>
      <w:lvlJc w:val="left"/>
      <w:pPr>
        <w:ind w:left="770" w:hanging="360"/>
      </w:pPr>
      <w:rPr>
        <w:rFonts w:ascii="Calibri" w:hAnsi="Calibri" w:hint="default"/>
        <w:b w:val="0"/>
        <w:i w:val="0"/>
        <w:color w:val="auto"/>
        <w:sz w:val="24"/>
        <w:szCs w:val="24"/>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21" w15:restartNumberingAfterBreak="0">
    <w:nsid w:val="38F43019"/>
    <w:multiLevelType w:val="hybridMultilevel"/>
    <w:tmpl w:val="1F24F8AE"/>
    <w:lvl w:ilvl="0" w:tplc="E5DA633E">
      <w:start w:val="1"/>
      <w:numFmt w:val="bullet"/>
      <w:lvlText w:val=""/>
      <w:lvlJc w:val="left"/>
      <w:pPr>
        <w:ind w:left="720" w:hanging="360"/>
      </w:pPr>
      <w:rPr>
        <w:rFonts w:ascii="Wingdings 2" w:hAnsi="Wingdings 2" w:hint="default"/>
        <w:color w:val="BDD6EE" w:themeColor="accent1" w:themeTint="66"/>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39523D4F"/>
    <w:multiLevelType w:val="hybridMultilevel"/>
    <w:tmpl w:val="45D2DD78"/>
    <w:lvl w:ilvl="0" w:tplc="095203FC">
      <w:start w:val="1"/>
      <w:numFmt w:val="decimal"/>
      <w:lvlText w:val="%1."/>
      <w:lvlJc w:val="left"/>
      <w:pPr>
        <w:ind w:left="-1065" w:hanging="360"/>
      </w:pPr>
      <w:rPr>
        <w:b w:val="0"/>
        <w:bCs/>
        <w:color w:val="auto"/>
        <w:sz w:val="22"/>
        <w:szCs w:val="28"/>
      </w:rPr>
    </w:lvl>
    <w:lvl w:ilvl="1" w:tplc="04150019" w:tentative="1">
      <w:start w:val="1"/>
      <w:numFmt w:val="lowerLetter"/>
      <w:lvlText w:val="%2."/>
      <w:lvlJc w:val="left"/>
      <w:pPr>
        <w:ind w:left="-345" w:hanging="360"/>
      </w:pPr>
    </w:lvl>
    <w:lvl w:ilvl="2" w:tplc="0415001B" w:tentative="1">
      <w:start w:val="1"/>
      <w:numFmt w:val="lowerRoman"/>
      <w:lvlText w:val="%3."/>
      <w:lvlJc w:val="right"/>
      <w:pPr>
        <w:ind w:left="375" w:hanging="180"/>
      </w:pPr>
    </w:lvl>
    <w:lvl w:ilvl="3" w:tplc="0415000F" w:tentative="1">
      <w:start w:val="1"/>
      <w:numFmt w:val="decimal"/>
      <w:lvlText w:val="%4."/>
      <w:lvlJc w:val="left"/>
      <w:pPr>
        <w:ind w:left="1095" w:hanging="360"/>
      </w:pPr>
    </w:lvl>
    <w:lvl w:ilvl="4" w:tplc="04150019" w:tentative="1">
      <w:start w:val="1"/>
      <w:numFmt w:val="lowerLetter"/>
      <w:lvlText w:val="%5."/>
      <w:lvlJc w:val="left"/>
      <w:pPr>
        <w:ind w:left="1815" w:hanging="360"/>
      </w:pPr>
    </w:lvl>
    <w:lvl w:ilvl="5" w:tplc="0415001B" w:tentative="1">
      <w:start w:val="1"/>
      <w:numFmt w:val="lowerRoman"/>
      <w:lvlText w:val="%6."/>
      <w:lvlJc w:val="right"/>
      <w:pPr>
        <w:ind w:left="2535" w:hanging="180"/>
      </w:pPr>
    </w:lvl>
    <w:lvl w:ilvl="6" w:tplc="0415000F" w:tentative="1">
      <w:start w:val="1"/>
      <w:numFmt w:val="decimal"/>
      <w:lvlText w:val="%7."/>
      <w:lvlJc w:val="left"/>
      <w:pPr>
        <w:ind w:left="3255" w:hanging="360"/>
      </w:pPr>
    </w:lvl>
    <w:lvl w:ilvl="7" w:tplc="04150019" w:tentative="1">
      <w:start w:val="1"/>
      <w:numFmt w:val="lowerLetter"/>
      <w:lvlText w:val="%8."/>
      <w:lvlJc w:val="left"/>
      <w:pPr>
        <w:ind w:left="3975" w:hanging="360"/>
      </w:pPr>
    </w:lvl>
    <w:lvl w:ilvl="8" w:tplc="0415001B" w:tentative="1">
      <w:start w:val="1"/>
      <w:numFmt w:val="lowerRoman"/>
      <w:lvlText w:val="%9."/>
      <w:lvlJc w:val="right"/>
      <w:pPr>
        <w:ind w:left="4695" w:hanging="180"/>
      </w:pPr>
    </w:lvl>
  </w:abstractNum>
  <w:abstractNum w:abstractNumId="23" w15:restartNumberingAfterBreak="0">
    <w:nsid w:val="40583A09"/>
    <w:multiLevelType w:val="hybridMultilevel"/>
    <w:tmpl w:val="51FA6E30"/>
    <w:lvl w:ilvl="0" w:tplc="D26C2F6C">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4" w15:restartNumberingAfterBreak="0">
    <w:nsid w:val="46E3461B"/>
    <w:multiLevelType w:val="hybridMultilevel"/>
    <w:tmpl w:val="972C1E92"/>
    <w:lvl w:ilvl="0" w:tplc="38A43EF8">
      <w:start w:val="1"/>
      <w:numFmt w:val="bullet"/>
      <w:lvlText w:val="•"/>
      <w:lvlJc w:val="left"/>
      <w:pPr>
        <w:tabs>
          <w:tab w:val="num" w:pos="720"/>
        </w:tabs>
        <w:ind w:left="720" w:hanging="360"/>
      </w:pPr>
      <w:rPr>
        <w:rFonts w:ascii="Times New Roman" w:hAnsi="Times New Roman" w:hint="default"/>
      </w:rPr>
    </w:lvl>
    <w:lvl w:ilvl="1" w:tplc="0E5E7B62" w:tentative="1">
      <w:start w:val="1"/>
      <w:numFmt w:val="bullet"/>
      <w:lvlText w:val="•"/>
      <w:lvlJc w:val="left"/>
      <w:pPr>
        <w:tabs>
          <w:tab w:val="num" w:pos="1440"/>
        </w:tabs>
        <w:ind w:left="1440" w:hanging="360"/>
      </w:pPr>
      <w:rPr>
        <w:rFonts w:ascii="Times New Roman" w:hAnsi="Times New Roman" w:hint="default"/>
      </w:rPr>
    </w:lvl>
    <w:lvl w:ilvl="2" w:tplc="06346172" w:tentative="1">
      <w:start w:val="1"/>
      <w:numFmt w:val="bullet"/>
      <w:lvlText w:val="•"/>
      <w:lvlJc w:val="left"/>
      <w:pPr>
        <w:tabs>
          <w:tab w:val="num" w:pos="2160"/>
        </w:tabs>
        <w:ind w:left="2160" w:hanging="360"/>
      </w:pPr>
      <w:rPr>
        <w:rFonts w:ascii="Times New Roman" w:hAnsi="Times New Roman" w:hint="default"/>
      </w:rPr>
    </w:lvl>
    <w:lvl w:ilvl="3" w:tplc="AC68A424" w:tentative="1">
      <w:start w:val="1"/>
      <w:numFmt w:val="bullet"/>
      <w:lvlText w:val="•"/>
      <w:lvlJc w:val="left"/>
      <w:pPr>
        <w:tabs>
          <w:tab w:val="num" w:pos="2880"/>
        </w:tabs>
        <w:ind w:left="2880" w:hanging="360"/>
      </w:pPr>
      <w:rPr>
        <w:rFonts w:ascii="Times New Roman" w:hAnsi="Times New Roman" w:hint="default"/>
      </w:rPr>
    </w:lvl>
    <w:lvl w:ilvl="4" w:tplc="9AF2C4FE" w:tentative="1">
      <w:start w:val="1"/>
      <w:numFmt w:val="bullet"/>
      <w:lvlText w:val="•"/>
      <w:lvlJc w:val="left"/>
      <w:pPr>
        <w:tabs>
          <w:tab w:val="num" w:pos="3600"/>
        </w:tabs>
        <w:ind w:left="3600" w:hanging="360"/>
      </w:pPr>
      <w:rPr>
        <w:rFonts w:ascii="Times New Roman" w:hAnsi="Times New Roman" w:hint="default"/>
      </w:rPr>
    </w:lvl>
    <w:lvl w:ilvl="5" w:tplc="CF489A38" w:tentative="1">
      <w:start w:val="1"/>
      <w:numFmt w:val="bullet"/>
      <w:lvlText w:val="•"/>
      <w:lvlJc w:val="left"/>
      <w:pPr>
        <w:tabs>
          <w:tab w:val="num" w:pos="4320"/>
        </w:tabs>
        <w:ind w:left="4320" w:hanging="360"/>
      </w:pPr>
      <w:rPr>
        <w:rFonts w:ascii="Times New Roman" w:hAnsi="Times New Roman" w:hint="default"/>
      </w:rPr>
    </w:lvl>
    <w:lvl w:ilvl="6" w:tplc="CA2A3660" w:tentative="1">
      <w:start w:val="1"/>
      <w:numFmt w:val="bullet"/>
      <w:lvlText w:val="•"/>
      <w:lvlJc w:val="left"/>
      <w:pPr>
        <w:tabs>
          <w:tab w:val="num" w:pos="5040"/>
        </w:tabs>
        <w:ind w:left="5040" w:hanging="360"/>
      </w:pPr>
      <w:rPr>
        <w:rFonts w:ascii="Times New Roman" w:hAnsi="Times New Roman" w:hint="default"/>
      </w:rPr>
    </w:lvl>
    <w:lvl w:ilvl="7" w:tplc="71125F7C" w:tentative="1">
      <w:start w:val="1"/>
      <w:numFmt w:val="bullet"/>
      <w:lvlText w:val="•"/>
      <w:lvlJc w:val="left"/>
      <w:pPr>
        <w:tabs>
          <w:tab w:val="num" w:pos="5760"/>
        </w:tabs>
        <w:ind w:left="5760" w:hanging="360"/>
      </w:pPr>
      <w:rPr>
        <w:rFonts w:ascii="Times New Roman" w:hAnsi="Times New Roman" w:hint="default"/>
      </w:rPr>
    </w:lvl>
    <w:lvl w:ilvl="8" w:tplc="8FCA9CA4" w:tentative="1">
      <w:start w:val="1"/>
      <w:numFmt w:val="bullet"/>
      <w:lvlText w:val="•"/>
      <w:lvlJc w:val="left"/>
      <w:pPr>
        <w:tabs>
          <w:tab w:val="num" w:pos="6480"/>
        </w:tabs>
        <w:ind w:left="6480" w:hanging="360"/>
      </w:pPr>
      <w:rPr>
        <w:rFonts w:ascii="Times New Roman" w:hAnsi="Times New Roman" w:hint="default"/>
      </w:rPr>
    </w:lvl>
  </w:abstractNum>
  <w:abstractNum w:abstractNumId="25" w15:restartNumberingAfterBreak="0">
    <w:nsid w:val="47DD3F7C"/>
    <w:multiLevelType w:val="hybridMultilevel"/>
    <w:tmpl w:val="7A28EC80"/>
    <w:lvl w:ilvl="0" w:tplc="FDA66564">
      <w:start w:val="1"/>
      <w:numFmt w:val="bullet"/>
      <w:lvlText w:val=""/>
      <w:lvlJc w:val="left"/>
      <w:pPr>
        <w:ind w:left="825" w:hanging="360"/>
      </w:pPr>
      <w:rPr>
        <w:rFonts w:ascii="Symbol" w:hAnsi="Symbol" w:hint="default"/>
      </w:rPr>
    </w:lvl>
    <w:lvl w:ilvl="1" w:tplc="04150003" w:tentative="1">
      <w:start w:val="1"/>
      <w:numFmt w:val="bullet"/>
      <w:lvlText w:val="o"/>
      <w:lvlJc w:val="left"/>
      <w:pPr>
        <w:ind w:left="1545" w:hanging="360"/>
      </w:pPr>
      <w:rPr>
        <w:rFonts w:ascii="Courier New" w:hAnsi="Courier New" w:cs="Courier New" w:hint="default"/>
      </w:rPr>
    </w:lvl>
    <w:lvl w:ilvl="2" w:tplc="04150005" w:tentative="1">
      <w:start w:val="1"/>
      <w:numFmt w:val="bullet"/>
      <w:lvlText w:val=""/>
      <w:lvlJc w:val="left"/>
      <w:pPr>
        <w:ind w:left="2265" w:hanging="360"/>
      </w:pPr>
      <w:rPr>
        <w:rFonts w:ascii="Wingdings" w:hAnsi="Wingdings" w:hint="default"/>
      </w:rPr>
    </w:lvl>
    <w:lvl w:ilvl="3" w:tplc="04150001" w:tentative="1">
      <w:start w:val="1"/>
      <w:numFmt w:val="bullet"/>
      <w:lvlText w:val=""/>
      <w:lvlJc w:val="left"/>
      <w:pPr>
        <w:ind w:left="2985" w:hanging="360"/>
      </w:pPr>
      <w:rPr>
        <w:rFonts w:ascii="Symbol" w:hAnsi="Symbol" w:hint="default"/>
      </w:rPr>
    </w:lvl>
    <w:lvl w:ilvl="4" w:tplc="04150003" w:tentative="1">
      <w:start w:val="1"/>
      <w:numFmt w:val="bullet"/>
      <w:lvlText w:val="o"/>
      <w:lvlJc w:val="left"/>
      <w:pPr>
        <w:ind w:left="3705" w:hanging="360"/>
      </w:pPr>
      <w:rPr>
        <w:rFonts w:ascii="Courier New" w:hAnsi="Courier New" w:cs="Courier New" w:hint="default"/>
      </w:rPr>
    </w:lvl>
    <w:lvl w:ilvl="5" w:tplc="04150005" w:tentative="1">
      <w:start w:val="1"/>
      <w:numFmt w:val="bullet"/>
      <w:lvlText w:val=""/>
      <w:lvlJc w:val="left"/>
      <w:pPr>
        <w:ind w:left="4425" w:hanging="360"/>
      </w:pPr>
      <w:rPr>
        <w:rFonts w:ascii="Wingdings" w:hAnsi="Wingdings" w:hint="default"/>
      </w:rPr>
    </w:lvl>
    <w:lvl w:ilvl="6" w:tplc="04150001" w:tentative="1">
      <w:start w:val="1"/>
      <w:numFmt w:val="bullet"/>
      <w:lvlText w:val=""/>
      <w:lvlJc w:val="left"/>
      <w:pPr>
        <w:ind w:left="5145" w:hanging="360"/>
      </w:pPr>
      <w:rPr>
        <w:rFonts w:ascii="Symbol" w:hAnsi="Symbol" w:hint="default"/>
      </w:rPr>
    </w:lvl>
    <w:lvl w:ilvl="7" w:tplc="04150003" w:tentative="1">
      <w:start w:val="1"/>
      <w:numFmt w:val="bullet"/>
      <w:lvlText w:val="o"/>
      <w:lvlJc w:val="left"/>
      <w:pPr>
        <w:ind w:left="5865" w:hanging="360"/>
      </w:pPr>
      <w:rPr>
        <w:rFonts w:ascii="Courier New" w:hAnsi="Courier New" w:cs="Courier New" w:hint="default"/>
      </w:rPr>
    </w:lvl>
    <w:lvl w:ilvl="8" w:tplc="04150005" w:tentative="1">
      <w:start w:val="1"/>
      <w:numFmt w:val="bullet"/>
      <w:lvlText w:val=""/>
      <w:lvlJc w:val="left"/>
      <w:pPr>
        <w:ind w:left="6585" w:hanging="360"/>
      </w:pPr>
      <w:rPr>
        <w:rFonts w:ascii="Wingdings" w:hAnsi="Wingdings" w:hint="default"/>
      </w:rPr>
    </w:lvl>
  </w:abstractNum>
  <w:abstractNum w:abstractNumId="26" w15:restartNumberingAfterBreak="0">
    <w:nsid w:val="4D806274"/>
    <w:multiLevelType w:val="multilevel"/>
    <w:tmpl w:val="843EBF9E"/>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51A85F2E"/>
    <w:multiLevelType w:val="hybridMultilevel"/>
    <w:tmpl w:val="7FC40024"/>
    <w:lvl w:ilvl="0" w:tplc="F99679B0">
      <w:start w:val="1"/>
      <w:numFmt w:val="bullet"/>
      <w:lvlText w:val="-"/>
      <w:lvlJc w:val="left"/>
      <w:pPr>
        <w:ind w:left="1080" w:hanging="360"/>
      </w:pPr>
      <w:rPr>
        <w:rFonts w:ascii="Calibri" w:hAnsi="Calibri" w:hint="default"/>
        <w:b w:val="0"/>
        <w:i w:val="0"/>
        <w:color w:val="auto"/>
        <w:sz w:val="24"/>
        <w:szCs w:val="24"/>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8" w15:restartNumberingAfterBreak="0">
    <w:nsid w:val="52A25734"/>
    <w:multiLevelType w:val="multilevel"/>
    <w:tmpl w:val="604EFC92"/>
    <w:lvl w:ilvl="0">
      <w:start w:val="1"/>
      <w:numFmt w:val="bullet"/>
      <w:lvlText w:val="-"/>
      <w:lvlJc w:val="left"/>
      <w:pPr>
        <w:tabs>
          <w:tab w:val="num" w:pos="720"/>
        </w:tabs>
        <w:ind w:left="720" w:hanging="360"/>
      </w:pPr>
      <w:rPr>
        <w:rFonts w:ascii="Calibri" w:hAnsi="Calibri" w:hint="default"/>
        <w:b w:val="0"/>
        <w:i w:val="0"/>
        <w:color w:val="auto"/>
        <w:sz w:val="24"/>
        <w:szCs w:val="24"/>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585278C"/>
    <w:multiLevelType w:val="hybridMultilevel"/>
    <w:tmpl w:val="C01C6F14"/>
    <w:lvl w:ilvl="0" w:tplc="FDA6656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5747142D"/>
    <w:multiLevelType w:val="hybridMultilevel"/>
    <w:tmpl w:val="4900EB72"/>
    <w:lvl w:ilvl="0" w:tplc="F99679B0">
      <w:start w:val="1"/>
      <w:numFmt w:val="bullet"/>
      <w:lvlText w:val="-"/>
      <w:lvlJc w:val="left"/>
      <w:pPr>
        <w:ind w:left="720" w:hanging="360"/>
      </w:pPr>
      <w:rPr>
        <w:rFonts w:ascii="Calibri" w:hAnsi="Calibri" w:hint="default"/>
        <w:b w:val="0"/>
        <w:i w:val="0"/>
        <w:color w:val="auto"/>
        <w:sz w:val="24"/>
        <w:szCs w:val="24"/>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5B3D08E1"/>
    <w:multiLevelType w:val="hybridMultilevel"/>
    <w:tmpl w:val="9A564012"/>
    <w:lvl w:ilvl="0" w:tplc="D9205B6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5BCD0965"/>
    <w:multiLevelType w:val="hybridMultilevel"/>
    <w:tmpl w:val="0D50F08E"/>
    <w:lvl w:ilvl="0" w:tplc="22B293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3" w15:restartNumberingAfterBreak="0">
    <w:nsid w:val="5D5D0B5E"/>
    <w:multiLevelType w:val="hybridMultilevel"/>
    <w:tmpl w:val="75C0CA2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60945F93"/>
    <w:multiLevelType w:val="hybridMultilevel"/>
    <w:tmpl w:val="9CBC3FDC"/>
    <w:lvl w:ilvl="0" w:tplc="D26C2F6C">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5" w15:restartNumberingAfterBreak="0">
    <w:nsid w:val="63BD078D"/>
    <w:multiLevelType w:val="hybridMultilevel"/>
    <w:tmpl w:val="987E91FE"/>
    <w:lvl w:ilvl="0" w:tplc="D26C2F6C">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6" w15:restartNumberingAfterBreak="0">
    <w:nsid w:val="6B501BBE"/>
    <w:multiLevelType w:val="hybridMultilevel"/>
    <w:tmpl w:val="185E0C5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6C98560E"/>
    <w:multiLevelType w:val="hybridMultilevel"/>
    <w:tmpl w:val="4036B97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6D4706C1"/>
    <w:multiLevelType w:val="hybridMultilevel"/>
    <w:tmpl w:val="92BE20C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6F927503"/>
    <w:multiLevelType w:val="hybridMultilevel"/>
    <w:tmpl w:val="A95CB36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15:restartNumberingAfterBreak="0">
    <w:nsid w:val="73E67F15"/>
    <w:multiLevelType w:val="multilevel"/>
    <w:tmpl w:val="31923C5E"/>
    <w:lvl w:ilvl="0">
      <w:start w:val="8"/>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1"/>
  </w:num>
  <w:num w:numId="2">
    <w:abstractNumId w:val="33"/>
  </w:num>
  <w:num w:numId="3">
    <w:abstractNumId w:val="18"/>
  </w:num>
  <w:num w:numId="4">
    <w:abstractNumId w:val="2"/>
  </w:num>
  <w:num w:numId="5">
    <w:abstractNumId w:val="39"/>
  </w:num>
  <w:num w:numId="6">
    <w:abstractNumId w:val="17"/>
  </w:num>
  <w:num w:numId="7">
    <w:abstractNumId w:val="0"/>
  </w:num>
  <w:num w:numId="8">
    <w:abstractNumId w:val="27"/>
  </w:num>
  <w:num w:numId="9">
    <w:abstractNumId w:val="38"/>
  </w:num>
  <w:num w:numId="10">
    <w:abstractNumId w:val="9"/>
  </w:num>
  <w:num w:numId="11">
    <w:abstractNumId w:val="36"/>
  </w:num>
  <w:num w:numId="12">
    <w:abstractNumId w:val="14"/>
  </w:num>
  <w:num w:numId="13">
    <w:abstractNumId w:val="13"/>
  </w:num>
  <w:num w:numId="14">
    <w:abstractNumId w:val="22"/>
  </w:num>
  <w:num w:numId="15">
    <w:abstractNumId w:val="21"/>
  </w:num>
  <w:num w:numId="16">
    <w:abstractNumId w:val="32"/>
  </w:num>
  <w:num w:numId="17">
    <w:abstractNumId w:val="1"/>
  </w:num>
  <w:num w:numId="18">
    <w:abstractNumId w:val="3"/>
  </w:num>
  <w:num w:numId="19">
    <w:abstractNumId w:val="29"/>
  </w:num>
  <w:num w:numId="20">
    <w:abstractNumId w:val="25"/>
  </w:num>
  <w:num w:numId="21">
    <w:abstractNumId w:val="10"/>
  </w:num>
  <w:num w:numId="22">
    <w:abstractNumId w:val="5"/>
  </w:num>
  <w:num w:numId="23">
    <w:abstractNumId w:val="31"/>
  </w:num>
  <w:num w:numId="24">
    <w:abstractNumId w:val="35"/>
  </w:num>
  <w:num w:numId="25">
    <w:abstractNumId w:val="4"/>
  </w:num>
  <w:num w:numId="26">
    <w:abstractNumId w:val="8"/>
  </w:num>
  <w:num w:numId="27">
    <w:abstractNumId w:val="23"/>
  </w:num>
  <w:num w:numId="28">
    <w:abstractNumId w:val="34"/>
  </w:num>
  <w:num w:numId="29">
    <w:abstractNumId w:val="19"/>
  </w:num>
  <w:num w:numId="30">
    <w:abstractNumId w:val="26"/>
  </w:num>
  <w:num w:numId="31">
    <w:abstractNumId w:val="40"/>
  </w:num>
  <w:num w:numId="32">
    <w:abstractNumId w:val="24"/>
  </w:num>
  <w:num w:numId="33">
    <w:abstractNumId w:val="15"/>
  </w:num>
  <w:num w:numId="34">
    <w:abstractNumId w:val="13"/>
  </w:num>
  <w:num w:numId="35">
    <w:abstractNumId w:val="37"/>
  </w:num>
  <w:num w:numId="36">
    <w:abstractNumId w:val="16"/>
  </w:num>
  <w:num w:numId="37">
    <w:abstractNumId w:val="12"/>
  </w:num>
  <w:num w:numId="38">
    <w:abstractNumId w:val="20"/>
  </w:num>
  <w:num w:numId="39">
    <w:abstractNumId w:val="6"/>
  </w:num>
  <w:num w:numId="40">
    <w:abstractNumId w:val="30"/>
  </w:num>
  <w:num w:numId="41">
    <w:abstractNumId w:val="7"/>
  </w:num>
  <w:num w:numId="42">
    <w:abstractNumId w:val="28"/>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05DA"/>
    <w:rsid w:val="00000AF3"/>
    <w:rsid w:val="00003064"/>
    <w:rsid w:val="00007163"/>
    <w:rsid w:val="00011FDE"/>
    <w:rsid w:val="00025F27"/>
    <w:rsid w:val="00033894"/>
    <w:rsid w:val="0003491B"/>
    <w:rsid w:val="00036777"/>
    <w:rsid w:val="00037FAA"/>
    <w:rsid w:val="00040917"/>
    <w:rsid w:val="000434EA"/>
    <w:rsid w:val="00047DB2"/>
    <w:rsid w:val="00055951"/>
    <w:rsid w:val="00064046"/>
    <w:rsid w:val="000674AD"/>
    <w:rsid w:val="000707A9"/>
    <w:rsid w:val="00077C83"/>
    <w:rsid w:val="00086C63"/>
    <w:rsid w:val="00087716"/>
    <w:rsid w:val="00093B31"/>
    <w:rsid w:val="00094ACC"/>
    <w:rsid w:val="000957CB"/>
    <w:rsid w:val="00097ABC"/>
    <w:rsid w:val="000A2E51"/>
    <w:rsid w:val="000A55C3"/>
    <w:rsid w:val="000A6022"/>
    <w:rsid w:val="000A6E3B"/>
    <w:rsid w:val="000B0169"/>
    <w:rsid w:val="000B1EF9"/>
    <w:rsid w:val="000C35E1"/>
    <w:rsid w:val="000C7E2F"/>
    <w:rsid w:val="000D6432"/>
    <w:rsid w:val="000E5B5A"/>
    <w:rsid w:val="000F3778"/>
    <w:rsid w:val="000F4492"/>
    <w:rsid w:val="000F63C6"/>
    <w:rsid w:val="00103355"/>
    <w:rsid w:val="00110619"/>
    <w:rsid w:val="00110B18"/>
    <w:rsid w:val="00114BF9"/>
    <w:rsid w:val="00126182"/>
    <w:rsid w:val="0013206A"/>
    <w:rsid w:val="00137CDE"/>
    <w:rsid w:val="001520E8"/>
    <w:rsid w:val="001522BD"/>
    <w:rsid w:val="00161053"/>
    <w:rsid w:val="00162E13"/>
    <w:rsid w:val="001676E7"/>
    <w:rsid w:val="00167B05"/>
    <w:rsid w:val="00170F32"/>
    <w:rsid w:val="00186332"/>
    <w:rsid w:val="00192C8B"/>
    <w:rsid w:val="00194043"/>
    <w:rsid w:val="00195CDD"/>
    <w:rsid w:val="001A045B"/>
    <w:rsid w:val="001A1F3A"/>
    <w:rsid w:val="001A20A9"/>
    <w:rsid w:val="001A3F2E"/>
    <w:rsid w:val="001A6F17"/>
    <w:rsid w:val="001B4FCB"/>
    <w:rsid w:val="001B667E"/>
    <w:rsid w:val="001B7A41"/>
    <w:rsid w:val="001D4A3F"/>
    <w:rsid w:val="001D67A7"/>
    <w:rsid w:val="001F2225"/>
    <w:rsid w:val="001F271F"/>
    <w:rsid w:val="001F7E9A"/>
    <w:rsid w:val="002001B0"/>
    <w:rsid w:val="00203223"/>
    <w:rsid w:val="0020562F"/>
    <w:rsid w:val="002102EA"/>
    <w:rsid w:val="002106E4"/>
    <w:rsid w:val="00216C5E"/>
    <w:rsid w:val="002275F9"/>
    <w:rsid w:val="00230A70"/>
    <w:rsid w:val="00234E95"/>
    <w:rsid w:val="00245664"/>
    <w:rsid w:val="0024587B"/>
    <w:rsid w:val="00245EF6"/>
    <w:rsid w:val="002472F2"/>
    <w:rsid w:val="0025275C"/>
    <w:rsid w:val="00256714"/>
    <w:rsid w:val="0026144A"/>
    <w:rsid w:val="00262054"/>
    <w:rsid w:val="002647E7"/>
    <w:rsid w:val="00267763"/>
    <w:rsid w:val="002728B2"/>
    <w:rsid w:val="00277A6D"/>
    <w:rsid w:val="002859EE"/>
    <w:rsid w:val="00296B53"/>
    <w:rsid w:val="002A5012"/>
    <w:rsid w:val="002A79A5"/>
    <w:rsid w:val="002B1DBE"/>
    <w:rsid w:val="002B2718"/>
    <w:rsid w:val="002B418A"/>
    <w:rsid w:val="002B4B88"/>
    <w:rsid w:val="002C7BDC"/>
    <w:rsid w:val="002C7D64"/>
    <w:rsid w:val="002E1EA5"/>
    <w:rsid w:val="002E6E95"/>
    <w:rsid w:val="002E7B9F"/>
    <w:rsid w:val="002F43EB"/>
    <w:rsid w:val="002F4501"/>
    <w:rsid w:val="002F45A0"/>
    <w:rsid w:val="003029CF"/>
    <w:rsid w:val="00306B12"/>
    <w:rsid w:val="003163F5"/>
    <w:rsid w:val="00316855"/>
    <w:rsid w:val="00320474"/>
    <w:rsid w:val="0032342C"/>
    <w:rsid w:val="003252A6"/>
    <w:rsid w:val="00325ACD"/>
    <w:rsid w:val="00333169"/>
    <w:rsid w:val="00336D76"/>
    <w:rsid w:val="00337ED1"/>
    <w:rsid w:val="00344068"/>
    <w:rsid w:val="0035781B"/>
    <w:rsid w:val="00364349"/>
    <w:rsid w:val="0036708D"/>
    <w:rsid w:val="00371E13"/>
    <w:rsid w:val="00372ABC"/>
    <w:rsid w:val="00374AD6"/>
    <w:rsid w:val="00374F5F"/>
    <w:rsid w:val="003758DB"/>
    <w:rsid w:val="00384A0C"/>
    <w:rsid w:val="00390E7E"/>
    <w:rsid w:val="003979DD"/>
    <w:rsid w:val="003A638E"/>
    <w:rsid w:val="003A789D"/>
    <w:rsid w:val="003B0F8A"/>
    <w:rsid w:val="003B2A6F"/>
    <w:rsid w:val="003B3792"/>
    <w:rsid w:val="003B7DCD"/>
    <w:rsid w:val="003C27AF"/>
    <w:rsid w:val="003C29D9"/>
    <w:rsid w:val="003C4E3C"/>
    <w:rsid w:val="003C572C"/>
    <w:rsid w:val="003D2099"/>
    <w:rsid w:val="003E1FC4"/>
    <w:rsid w:val="003E3481"/>
    <w:rsid w:val="003F29A8"/>
    <w:rsid w:val="003F7C47"/>
    <w:rsid w:val="00400871"/>
    <w:rsid w:val="00406732"/>
    <w:rsid w:val="0043013C"/>
    <w:rsid w:val="004305D5"/>
    <w:rsid w:val="004437B7"/>
    <w:rsid w:val="00451A3E"/>
    <w:rsid w:val="0045293D"/>
    <w:rsid w:val="00452AB3"/>
    <w:rsid w:val="00453EB1"/>
    <w:rsid w:val="00460AEF"/>
    <w:rsid w:val="00466CD8"/>
    <w:rsid w:val="004741A9"/>
    <w:rsid w:val="004772DE"/>
    <w:rsid w:val="0048221F"/>
    <w:rsid w:val="00484EAF"/>
    <w:rsid w:val="004865C0"/>
    <w:rsid w:val="004A1BA6"/>
    <w:rsid w:val="004A4098"/>
    <w:rsid w:val="004A6A3C"/>
    <w:rsid w:val="004A6B2F"/>
    <w:rsid w:val="004B0800"/>
    <w:rsid w:val="004B26ED"/>
    <w:rsid w:val="004C64BD"/>
    <w:rsid w:val="004E4FFD"/>
    <w:rsid w:val="004F0157"/>
    <w:rsid w:val="004F47F4"/>
    <w:rsid w:val="004F64E0"/>
    <w:rsid w:val="00504F1B"/>
    <w:rsid w:val="0050640A"/>
    <w:rsid w:val="00506A6E"/>
    <w:rsid w:val="005115C5"/>
    <w:rsid w:val="00512DE6"/>
    <w:rsid w:val="005175F7"/>
    <w:rsid w:val="00517C0D"/>
    <w:rsid w:val="00526C81"/>
    <w:rsid w:val="00532E6E"/>
    <w:rsid w:val="00540043"/>
    <w:rsid w:val="0054382A"/>
    <w:rsid w:val="0055261C"/>
    <w:rsid w:val="005562CA"/>
    <w:rsid w:val="00560538"/>
    <w:rsid w:val="00562B23"/>
    <w:rsid w:val="00562EFB"/>
    <w:rsid w:val="0057012F"/>
    <w:rsid w:val="00575FF9"/>
    <w:rsid w:val="0057633C"/>
    <w:rsid w:val="00577843"/>
    <w:rsid w:val="00582E79"/>
    <w:rsid w:val="005861E7"/>
    <w:rsid w:val="00586AD8"/>
    <w:rsid w:val="0059284E"/>
    <w:rsid w:val="005A1ED8"/>
    <w:rsid w:val="005A4619"/>
    <w:rsid w:val="005C4B56"/>
    <w:rsid w:val="005C7583"/>
    <w:rsid w:val="005D522F"/>
    <w:rsid w:val="005D5D6B"/>
    <w:rsid w:val="005D5FF9"/>
    <w:rsid w:val="005E4AE3"/>
    <w:rsid w:val="005E4E72"/>
    <w:rsid w:val="005E5F88"/>
    <w:rsid w:val="006008C9"/>
    <w:rsid w:val="00602799"/>
    <w:rsid w:val="0060383F"/>
    <w:rsid w:val="0060753F"/>
    <w:rsid w:val="00610B18"/>
    <w:rsid w:val="0061327E"/>
    <w:rsid w:val="00620B0B"/>
    <w:rsid w:val="0062195F"/>
    <w:rsid w:val="00624F1F"/>
    <w:rsid w:val="00641505"/>
    <w:rsid w:val="00642DFD"/>
    <w:rsid w:val="0064598C"/>
    <w:rsid w:val="00646BD8"/>
    <w:rsid w:val="00647F5D"/>
    <w:rsid w:val="00663E4A"/>
    <w:rsid w:val="006677F6"/>
    <w:rsid w:val="00672DD7"/>
    <w:rsid w:val="0067506A"/>
    <w:rsid w:val="006820AC"/>
    <w:rsid w:val="00683451"/>
    <w:rsid w:val="006937B5"/>
    <w:rsid w:val="0069557E"/>
    <w:rsid w:val="006A3C43"/>
    <w:rsid w:val="006B264B"/>
    <w:rsid w:val="006B313F"/>
    <w:rsid w:val="006B3241"/>
    <w:rsid w:val="006B4BD6"/>
    <w:rsid w:val="006C4A08"/>
    <w:rsid w:val="006C4AE4"/>
    <w:rsid w:val="006C7137"/>
    <w:rsid w:val="006C7815"/>
    <w:rsid w:val="006D24CC"/>
    <w:rsid w:val="006F16B1"/>
    <w:rsid w:val="00713534"/>
    <w:rsid w:val="00715864"/>
    <w:rsid w:val="00715929"/>
    <w:rsid w:val="00717661"/>
    <w:rsid w:val="00724DD7"/>
    <w:rsid w:val="0073042A"/>
    <w:rsid w:val="00734023"/>
    <w:rsid w:val="00735952"/>
    <w:rsid w:val="00741711"/>
    <w:rsid w:val="00743850"/>
    <w:rsid w:val="00744875"/>
    <w:rsid w:val="00745B73"/>
    <w:rsid w:val="00750157"/>
    <w:rsid w:val="0075121E"/>
    <w:rsid w:val="00751E3F"/>
    <w:rsid w:val="00754765"/>
    <w:rsid w:val="00757762"/>
    <w:rsid w:val="00761E14"/>
    <w:rsid w:val="00764724"/>
    <w:rsid w:val="0078211A"/>
    <w:rsid w:val="00785495"/>
    <w:rsid w:val="00785962"/>
    <w:rsid w:val="00787CFC"/>
    <w:rsid w:val="00796CE4"/>
    <w:rsid w:val="007A2F73"/>
    <w:rsid w:val="007A5888"/>
    <w:rsid w:val="007A6236"/>
    <w:rsid w:val="007B04A7"/>
    <w:rsid w:val="007B23D5"/>
    <w:rsid w:val="007B2828"/>
    <w:rsid w:val="007B7167"/>
    <w:rsid w:val="007C777C"/>
    <w:rsid w:val="007D5AFE"/>
    <w:rsid w:val="007D63B2"/>
    <w:rsid w:val="007E08BB"/>
    <w:rsid w:val="007F077B"/>
    <w:rsid w:val="007F1471"/>
    <w:rsid w:val="007F1C60"/>
    <w:rsid w:val="0080173A"/>
    <w:rsid w:val="00802828"/>
    <w:rsid w:val="00803827"/>
    <w:rsid w:val="00805223"/>
    <w:rsid w:val="00805A60"/>
    <w:rsid w:val="00806AC4"/>
    <w:rsid w:val="00814707"/>
    <w:rsid w:val="008151A6"/>
    <w:rsid w:val="00817CA8"/>
    <w:rsid w:val="008211CF"/>
    <w:rsid w:val="00821B6E"/>
    <w:rsid w:val="0082282D"/>
    <w:rsid w:val="00830672"/>
    <w:rsid w:val="0083139E"/>
    <w:rsid w:val="00835E3B"/>
    <w:rsid w:val="008415AA"/>
    <w:rsid w:val="00844729"/>
    <w:rsid w:val="008543EA"/>
    <w:rsid w:val="0087682A"/>
    <w:rsid w:val="008801E2"/>
    <w:rsid w:val="0088133F"/>
    <w:rsid w:val="0088632C"/>
    <w:rsid w:val="00895B9F"/>
    <w:rsid w:val="00896A24"/>
    <w:rsid w:val="00896C6B"/>
    <w:rsid w:val="008A3FED"/>
    <w:rsid w:val="008B790E"/>
    <w:rsid w:val="008C60C6"/>
    <w:rsid w:val="008C6375"/>
    <w:rsid w:val="008C6E88"/>
    <w:rsid w:val="008D0730"/>
    <w:rsid w:val="008D1533"/>
    <w:rsid w:val="008F5FAF"/>
    <w:rsid w:val="008F791C"/>
    <w:rsid w:val="009005C6"/>
    <w:rsid w:val="00901426"/>
    <w:rsid w:val="00902741"/>
    <w:rsid w:val="00903F3B"/>
    <w:rsid w:val="009042CB"/>
    <w:rsid w:val="00924332"/>
    <w:rsid w:val="00926209"/>
    <w:rsid w:val="009327EE"/>
    <w:rsid w:val="00943104"/>
    <w:rsid w:val="00957FD7"/>
    <w:rsid w:val="00962762"/>
    <w:rsid w:val="009628FB"/>
    <w:rsid w:val="00962AAE"/>
    <w:rsid w:val="00964063"/>
    <w:rsid w:val="009715D5"/>
    <w:rsid w:val="0097790E"/>
    <w:rsid w:val="00977BB5"/>
    <w:rsid w:val="00982590"/>
    <w:rsid w:val="009855DE"/>
    <w:rsid w:val="0098755B"/>
    <w:rsid w:val="00991965"/>
    <w:rsid w:val="00991B6C"/>
    <w:rsid w:val="00997441"/>
    <w:rsid w:val="00997D31"/>
    <w:rsid w:val="009A64C7"/>
    <w:rsid w:val="009B2F2C"/>
    <w:rsid w:val="009D4D96"/>
    <w:rsid w:val="009D7165"/>
    <w:rsid w:val="009E4275"/>
    <w:rsid w:val="009F792C"/>
    <w:rsid w:val="00A205DA"/>
    <w:rsid w:val="00A24BB1"/>
    <w:rsid w:val="00A2620D"/>
    <w:rsid w:val="00A277BE"/>
    <w:rsid w:val="00A300B3"/>
    <w:rsid w:val="00A43A11"/>
    <w:rsid w:val="00A5215B"/>
    <w:rsid w:val="00A56EE8"/>
    <w:rsid w:val="00A60534"/>
    <w:rsid w:val="00A67F37"/>
    <w:rsid w:val="00A70F9F"/>
    <w:rsid w:val="00A729A5"/>
    <w:rsid w:val="00A774E0"/>
    <w:rsid w:val="00A778ED"/>
    <w:rsid w:val="00A82918"/>
    <w:rsid w:val="00A858C3"/>
    <w:rsid w:val="00A97D57"/>
    <w:rsid w:val="00AA1955"/>
    <w:rsid w:val="00AB1B5D"/>
    <w:rsid w:val="00AB3416"/>
    <w:rsid w:val="00AB3899"/>
    <w:rsid w:val="00AB75AB"/>
    <w:rsid w:val="00AB7D23"/>
    <w:rsid w:val="00AD2EE7"/>
    <w:rsid w:val="00AD7178"/>
    <w:rsid w:val="00AD7C77"/>
    <w:rsid w:val="00AF242B"/>
    <w:rsid w:val="00AF4EC5"/>
    <w:rsid w:val="00AF57CA"/>
    <w:rsid w:val="00AF5F39"/>
    <w:rsid w:val="00B06327"/>
    <w:rsid w:val="00B117D1"/>
    <w:rsid w:val="00B12D4B"/>
    <w:rsid w:val="00B153BA"/>
    <w:rsid w:val="00B1739F"/>
    <w:rsid w:val="00B17609"/>
    <w:rsid w:val="00B22F87"/>
    <w:rsid w:val="00B27061"/>
    <w:rsid w:val="00B34211"/>
    <w:rsid w:val="00B44406"/>
    <w:rsid w:val="00B57D41"/>
    <w:rsid w:val="00B64802"/>
    <w:rsid w:val="00B74836"/>
    <w:rsid w:val="00B7658B"/>
    <w:rsid w:val="00B93E0F"/>
    <w:rsid w:val="00B97034"/>
    <w:rsid w:val="00BA0941"/>
    <w:rsid w:val="00BA671C"/>
    <w:rsid w:val="00BB5769"/>
    <w:rsid w:val="00BB7C86"/>
    <w:rsid w:val="00BD414B"/>
    <w:rsid w:val="00BF0D61"/>
    <w:rsid w:val="00BF3FA5"/>
    <w:rsid w:val="00BF5D70"/>
    <w:rsid w:val="00C00684"/>
    <w:rsid w:val="00C0761F"/>
    <w:rsid w:val="00C079C7"/>
    <w:rsid w:val="00C13C9D"/>
    <w:rsid w:val="00C2211E"/>
    <w:rsid w:val="00C246C1"/>
    <w:rsid w:val="00C41581"/>
    <w:rsid w:val="00C438A1"/>
    <w:rsid w:val="00C46113"/>
    <w:rsid w:val="00C527A3"/>
    <w:rsid w:val="00C56434"/>
    <w:rsid w:val="00C5689B"/>
    <w:rsid w:val="00C60D4C"/>
    <w:rsid w:val="00C61C9E"/>
    <w:rsid w:val="00C662B4"/>
    <w:rsid w:val="00C77B0F"/>
    <w:rsid w:val="00C806A1"/>
    <w:rsid w:val="00C808A6"/>
    <w:rsid w:val="00C82CAE"/>
    <w:rsid w:val="00C87458"/>
    <w:rsid w:val="00C92F2D"/>
    <w:rsid w:val="00C958AF"/>
    <w:rsid w:val="00CA052D"/>
    <w:rsid w:val="00CB2949"/>
    <w:rsid w:val="00CB7D8F"/>
    <w:rsid w:val="00CD2F51"/>
    <w:rsid w:val="00CD69A7"/>
    <w:rsid w:val="00CE3C41"/>
    <w:rsid w:val="00CE7744"/>
    <w:rsid w:val="00CF6AA1"/>
    <w:rsid w:val="00D1382F"/>
    <w:rsid w:val="00D269C0"/>
    <w:rsid w:val="00D30568"/>
    <w:rsid w:val="00D33E06"/>
    <w:rsid w:val="00D36B20"/>
    <w:rsid w:val="00D54FC0"/>
    <w:rsid w:val="00D6345E"/>
    <w:rsid w:val="00D63965"/>
    <w:rsid w:val="00D64A8E"/>
    <w:rsid w:val="00D65300"/>
    <w:rsid w:val="00D65974"/>
    <w:rsid w:val="00D65F75"/>
    <w:rsid w:val="00D675C8"/>
    <w:rsid w:val="00D75598"/>
    <w:rsid w:val="00D765DC"/>
    <w:rsid w:val="00D774AD"/>
    <w:rsid w:val="00D81B37"/>
    <w:rsid w:val="00D94085"/>
    <w:rsid w:val="00DA2106"/>
    <w:rsid w:val="00DA4B6F"/>
    <w:rsid w:val="00DA52F9"/>
    <w:rsid w:val="00DA56AA"/>
    <w:rsid w:val="00DB5060"/>
    <w:rsid w:val="00DB6EEE"/>
    <w:rsid w:val="00DC15C6"/>
    <w:rsid w:val="00DD229D"/>
    <w:rsid w:val="00DE0854"/>
    <w:rsid w:val="00DE5D87"/>
    <w:rsid w:val="00DE765A"/>
    <w:rsid w:val="00E00FFD"/>
    <w:rsid w:val="00E01359"/>
    <w:rsid w:val="00E1134A"/>
    <w:rsid w:val="00E11F56"/>
    <w:rsid w:val="00E1404B"/>
    <w:rsid w:val="00E164C2"/>
    <w:rsid w:val="00E16CFC"/>
    <w:rsid w:val="00E2001F"/>
    <w:rsid w:val="00E22E0A"/>
    <w:rsid w:val="00E24A51"/>
    <w:rsid w:val="00E27393"/>
    <w:rsid w:val="00E312DA"/>
    <w:rsid w:val="00E31AD5"/>
    <w:rsid w:val="00E31FAB"/>
    <w:rsid w:val="00E348E9"/>
    <w:rsid w:val="00E4442A"/>
    <w:rsid w:val="00E6095D"/>
    <w:rsid w:val="00E72F62"/>
    <w:rsid w:val="00E73C00"/>
    <w:rsid w:val="00E7588C"/>
    <w:rsid w:val="00E7715B"/>
    <w:rsid w:val="00E81AEF"/>
    <w:rsid w:val="00E82B4B"/>
    <w:rsid w:val="00E923E1"/>
    <w:rsid w:val="00E94D93"/>
    <w:rsid w:val="00E964D1"/>
    <w:rsid w:val="00EA2B5F"/>
    <w:rsid w:val="00EB300C"/>
    <w:rsid w:val="00EB3C7C"/>
    <w:rsid w:val="00ED0443"/>
    <w:rsid w:val="00EE5F49"/>
    <w:rsid w:val="00F00D41"/>
    <w:rsid w:val="00F13BA9"/>
    <w:rsid w:val="00F23B7C"/>
    <w:rsid w:val="00F25EBD"/>
    <w:rsid w:val="00F271CE"/>
    <w:rsid w:val="00F2739D"/>
    <w:rsid w:val="00F37B88"/>
    <w:rsid w:val="00F403C8"/>
    <w:rsid w:val="00F42AB3"/>
    <w:rsid w:val="00F462A2"/>
    <w:rsid w:val="00F47E30"/>
    <w:rsid w:val="00F5674C"/>
    <w:rsid w:val="00F57483"/>
    <w:rsid w:val="00F5779E"/>
    <w:rsid w:val="00F60A82"/>
    <w:rsid w:val="00F61F12"/>
    <w:rsid w:val="00F62322"/>
    <w:rsid w:val="00F63FE4"/>
    <w:rsid w:val="00F677B6"/>
    <w:rsid w:val="00F679EA"/>
    <w:rsid w:val="00F7062F"/>
    <w:rsid w:val="00F756F4"/>
    <w:rsid w:val="00F76286"/>
    <w:rsid w:val="00F76751"/>
    <w:rsid w:val="00F80C8A"/>
    <w:rsid w:val="00F83118"/>
    <w:rsid w:val="00F90FC4"/>
    <w:rsid w:val="00F9799B"/>
    <w:rsid w:val="00FA2C2B"/>
    <w:rsid w:val="00FB0C7E"/>
    <w:rsid w:val="00FB37DC"/>
    <w:rsid w:val="00FB7AA3"/>
    <w:rsid w:val="00FB7BCE"/>
    <w:rsid w:val="00FC0650"/>
    <w:rsid w:val="00FC1614"/>
    <w:rsid w:val="00FC2927"/>
    <w:rsid w:val="00FC7062"/>
    <w:rsid w:val="00FE0487"/>
    <w:rsid w:val="00FF2A3B"/>
    <w:rsid w:val="00FF452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D86AC3"/>
  <w15:chartTrackingRefBased/>
  <w15:docId w15:val="{90E01DD3-D751-4758-9794-C94DA93B2B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link w:val="Nagwek1Znak"/>
    <w:uiPriority w:val="9"/>
    <w:qFormat/>
    <w:rsid w:val="0060383F"/>
    <w:pPr>
      <w:keepNext/>
      <w:keepLines/>
      <w:spacing w:after="0" w:line="360" w:lineRule="auto"/>
      <w:outlineLvl w:val="0"/>
    </w:pPr>
    <w:rPr>
      <w:rFonts w:asciiTheme="majorHAnsi" w:eastAsiaTheme="majorEastAsia" w:hAnsiTheme="majorHAnsi" w:cstheme="majorBidi"/>
      <w:b/>
      <w:color w:val="00B0F0"/>
      <w:sz w:val="32"/>
      <w:szCs w:val="32"/>
    </w:rPr>
  </w:style>
  <w:style w:type="paragraph" w:styleId="Nagwek2">
    <w:name w:val="heading 2"/>
    <w:basedOn w:val="Normalny"/>
    <w:next w:val="Normalny"/>
    <w:link w:val="Nagwek2Znak"/>
    <w:uiPriority w:val="9"/>
    <w:unhideWhenUsed/>
    <w:qFormat/>
    <w:rsid w:val="007A5888"/>
    <w:pPr>
      <w:keepNext/>
      <w:keepLines/>
      <w:spacing w:before="120" w:after="120" w:line="276" w:lineRule="auto"/>
      <w:outlineLvl w:val="1"/>
    </w:pPr>
    <w:rPr>
      <w:rFonts w:asciiTheme="majorHAnsi" w:eastAsiaTheme="majorEastAsia" w:hAnsiTheme="majorHAnsi" w:cstheme="majorBidi"/>
      <w:b/>
      <w:color w:val="00B0F0"/>
      <w:sz w:val="24"/>
      <w:szCs w:val="26"/>
    </w:rPr>
  </w:style>
  <w:style w:type="paragraph" w:styleId="Nagwek3">
    <w:name w:val="heading 3"/>
    <w:basedOn w:val="Normalny"/>
    <w:next w:val="Normalny"/>
    <w:link w:val="Nagwek3Znak"/>
    <w:uiPriority w:val="9"/>
    <w:unhideWhenUsed/>
    <w:qFormat/>
    <w:rsid w:val="007A5888"/>
    <w:pPr>
      <w:keepNext/>
      <w:keepLines/>
      <w:spacing w:before="40" w:after="0"/>
      <w:outlineLvl w:val="2"/>
    </w:pPr>
    <w:rPr>
      <w:rFonts w:asciiTheme="majorHAnsi" w:eastAsiaTheme="majorEastAsia" w:hAnsiTheme="majorHAnsi" w:cstheme="majorBidi"/>
      <w:b/>
      <w:color w:val="92D050"/>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60383F"/>
    <w:rPr>
      <w:rFonts w:asciiTheme="majorHAnsi" w:eastAsiaTheme="majorEastAsia" w:hAnsiTheme="majorHAnsi" w:cstheme="majorBidi"/>
      <w:b/>
      <w:color w:val="00B0F0"/>
      <w:sz w:val="32"/>
      <w:szCs w:val="32"/>
    </w:rPr>
  </w:style>
  <w:style w:type="character" w:customStyle="1" w:styleId="Nagwek2Znak">
    <w:name w:val="Nagłówek 2 Znak"/>
    <w:basedOn w:val="Domylnaczcionkaakapitu"/>
    <w:link w:val="Nagwek2"/>
    <w:uiPriority w:val="9"/>
    <w:rsid w:val="007A5888"/>
    <w:rPr>
      <w:rFonts w:asciiTheme="majorHAnsi" w:eastAsiaTheme="majorEastAsia" w:hAnsiTheme="majorHAnsi" w:cstheme="majorBidi"/>
      <w:b/>
      <w:color w:val="00B0F0"/>
      <w:sz w:val="24"/>
      <w:szCs w:val="26"/>
    </w:rPr>
  </w:style>
  <w:style w:type="paragraph" w:styleId="Akapitzlist">
    <w:name w:val="List Paragraph"/>
    <w:aliases w:val="L1,Akapit z listą5,EPL lista punktowana z wyrózneniem,Akapit z listą BS"/>
    <w:basedOn w:val="Normalny"/>
    <w:link w:val="AkapitzlistZnak"/>
    <w:uiPriority w:val="34"/>
    <w:qFormat/>
    <w:rsid w:val="00EA2B5F"/>
    <w:pPr>
      <w:ind w:left="720"/>
      <w:contextualSpacing/>
    </w:pPr>
  </w:style>
  <w:style w:type="character" w:customStyle="1" w:styleId="TekstdymkaZnak">
    <w:name w:val="Tekst dymka Znak"/>
    <w:basedOn w:val="Domylnaczcionkaakapitu"/>
    <w:link w:val="Tekstdymka"/>
    <w:uiPriority w:val="99"/>
    <w:semiHidden/>
    <w:rsid w:val="00EA2B5F"/>
    <w:rPr>
      <w:rFonts w:ascii="Segoe UI" w:hAnsi="Segoe UI" w:cs="Segoe UI"/>
      <w:sz w:val="18"/>
      <w:szCs w:val="18"/>
    </w:rPr>
  </w:style>
  <w:style w:type="paragraph" w:styleId="Tekstdymka">
    <w:name w:val="Balloon Text"/>
    <w:basedOn w:val="Normalny"/>
    <w:link w:val="TekstdymkaZnak"/>
    <w:uiPriority w:val="99"/>
    <w:semiHidden/>
    <w:unhideWhenUsed/>
    <w:rsid w:val="00EA2B5F"/>
    <w:pPr>
      <w:spacing w:after="0" w:line="240" w:lineRule="auto"/>
    </w:pPr>
    <w:rPr>
      <w:rFonts w:ascii="Segoe UI" w:hAnsi="Segoe UI" w:cs="Segoe UI"/>
      <w:sz w:val="18"/>
      <w:szCs w:val="18"/>
    </w:rPr>
  </w:style>
  <w:style w:type="table" w:styleId="Tabela-Siatka">
    <w:name w:val="Table Grid"/>
    <w:basedOn w:val="Standardowy"/>
    <w:uiPriority w:val="39"/>
    <w:rsid w:val="00EA2B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egenda">
    <w:name w:val="caption"/>
    <w:aliases w:val="Legenda Znak Znak Znak,Legenda Znak Znak,Legenda Znak Znak Znak Znak,Legenda Znak Znak Znak Znak Znak Znak,Legenda Znak Znak Znak Znak Znak Znak Znak,Legenda Znak Znak Znak Znak Znak Znak Znak Znak Znak Z,Legenda Znak Znak Z Znak"/>
    <w:basedOn w:val="Normalny"/>
    <w:next w:val="Normalny"/>
    <w:link w:val="LegendaZnak"/>
    <w:uiPriority w:val="35"/>
    <w:unhideWhenUsed/>
    <w:qFormat/>
    <w:rsid w:val="00EA2B5F"/>
    <w:pPr>
      <w:spacing w:after="200" w:line="240" w:lineRule="auto"/>
    </w:pPr>
    <w:rPr>
      <w:i/>
      <w:iCs/>
      <w:color w:val="44546A" w:themeColor="text2"/>
      <w:sz w:val="18"/>
      <w:szCs w:val="18"/>
    </w:rPr>
  </w:style>
  <w:style w:type="paragraph" w:styleId="Tekstprzypisudolnego">
    <w:name w:val="footnote text"/>
    <w:basedOn w:val="Normalny"/>
    <w:link w:val="TekstprzypisudolnegoZnak"/>
    <w:uiPriority w:val="99"/>
    <w:unhideWhenUsed/>
    <w:rsid w:val="00EA2B5F"/>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rsid w:val="00EA2B5F"/>
    <w:rPr>
      <w:sz w:val="20"/>
      <w:szCs w:val="20"/>
    </w:rPr>
  </w:style>
  <w:style w:type="character" w:styleId="Odwoanieprzypisudolnego">
    <w:name w:val="footnote reference"/>
    <w:basedOn w:val="Domylnaczcionkaakapitu"/>
    <w:uiPriority w:val="99"/>
    <w:semiHidden/>
    <w:unhideWhenUsed/>
    <w:rsid w:val="00EA2B5F"/>
    <w:rPr>
      <w:vertAlign w:val="superscript"/>
    </w:rPr>
  </w:style>
  <w:style w:type="character" w:styleId="Hipercze">
    <w:name w:val="Hyperlink"/>
    <w:basedOn w:val="Domylnaczcionkaakapitu"/>
    <w:uiPriority w:val="99"/>
    <w:unhideWhenUsed/>
    <w:rsid w:val="00EA2B5F"/>
    <w:rPr>
      <w:color w:val="0563C1" w:themeColor="hyperlink"/>
      <w:u w:val="single"/>
    </w:rPr>
  </w:style>
  <w:style w:type="paragraph" w:customStyle="1" w:styleId="Default">
    <w:name w:val="Default"/>
    <w:rsid w:val="00EA2B5F"/>
    <w:pPr>
      <w:autoSpaceDE w:val="0"/>
      <w:autoSpaceDN w:val="0"/>
      <w:adjustRightInd w:val="0"/>
      <w:spacing w:after="0" w:line="240" w:lineRule="auto"/>
    </w:pPr>
    <w:rPr>
      <w:rFonts w:ascii="Calibri" w:hAnsi="Calibri" w:cs="Calibri"/>
      <w:color w:val="000000"/>
      <w:sz w:val="24"/>
      <w:szCs w:val="24"/>
    </w:rPr>
  </w:style>
  <w:style w:type="character" w:customStyle="1" w:styleId="AkapitzlistZnak">
    <w:name w:val="Akapit z listą Znak"/>
    <w:aliases w:val="L1 Znak,Akapit z listą5 Znak,EPL lista punktowana z wyrózneniem Znak,Akapit z listą BS Znak"/>
    <w:link w:val="Akapitzlist"/>
    <w:uiPriority w:val="34"/>
    <w:qFormat/>
    <w:locked/>
    <w:rsid w:val="003E1FC4"/>
  </w:style>
  <w:style w:type="character" w:customStyle="1" w:styleId="wyrZnak">
    <w:name w:val="wyr Znak"/>
    <w:basedOn w:val="Domylnaczcionkaakapitu"/>
    <w:link w:val="wyr"/>
    <w:locked/>
    <w:rsid w:val="003E1FC4"/>
    <w:rPr>
      <w:rFonts w:ascii="Calibri" w:eastAsia="Calibri" w:hAnsi="Calibri" w:cstheme="minorHAnsi"/>
      <w:b/>
      <w:color w:val="4472C4" w:themeColor="accent5"/>
      <w:szCs w:val="24"/>
    </w:rPr>
  </w:style>
  <w:style w:type="paragraph" w:customStyle="1" w:styleId="wyr">
    <w:name w:val="wyr"/>
    <w:basedOn w:val="Normalny"/>
    <w:link w:val="wyrZnak"/>
    <w:qFormat/>
    <w:rsid w:val="003E1FC4"/>
    <w:pPr>
      <w:spacing w:before="120" w:after="0" w:line="360" w:lineRule="auto"/>
      <w:jc w:val="both"/>
    </w:pPr>
    <w:rPr>
      <w:rFonts w:ascii="Calibri" w:eastAsia="Calibri" w:hAnsi="Calibri" w:cstheme="minorHAnsi"/>
      <w:b/>
      <w:color w:val="4472C4" w:themeColor="accent5"/>
      <w:szCs w:val="24"/>
    </w:rPr>
  </w:style>
  <w:style w:type="table" w:customStyle="1" w:styleId="Tabelasiatki5ciemnaakcent51">
    <w:name w:val="Tabela siatki 5 — ciemna — akcent 51"/>
    <w:basedOn w:val="Standardowy"/>
    <w:uiPriority w:val="50"/>
    <w:rsid w:val="003E1FC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paragraph" w:styleId="Nagwek">
    <w:name w:val="header"/>
    <w:basedOn w:val="Normalny"/>
    <w:link w:val="NagwekZnak"/>
    <w:uiPriority w:val="99"/>
    <w:unhideWhenUsed/>
    <w:rsid w:val="00336D76"/>
    <w:pPr>
      <w:tabs>
        <w:tab w:val="center" w:pos="4536"/>
        <w:tab w:val="right" w:pos="9072"/>
      </w:tabs>
      <w:spacing w:after="0" w:line="240" w:lineRule="auto"/>
    </w:pPr>
  </w:style>
  <w:style w:type="character" w:customStyle="1" w:styleId="NagwekZnak">
    <w:name w:val="Nagłówek Znak"/>
    <w:basedOn w:val="Domylnaczcionkaakapitu"/>
    <w:link w:val="Nagwek"/>
    <w:uiPriority w:val="99"/>
    <w:qFormat/>
    <w:rsid w:val="00336D76"/>
  </w:style>
  <w:style w:type="paragraph" w:styleId="Stopka">
    <w:name w:val="footer"/>
    <w:basedOn w:val="Normalny"/>
    <w:link w:val="StopkaZnak"/>
    <w:uiPriority w:val="99"/>
    <w:unhideWhenUsed/>
    <w:rsid w:val="00336D76"/>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336D76"/>
  </w:style>
  <w:style w:type="paragraph" w:customStyle="1" w:styleId="nad">
    <w:name w:val="nad"/>
    <w:basedOn w:val="Legenda"/>
    <w:link w:val="nadZnak"/>
    <w:qFormat/>
    <w:rsid w:val="002C7D64"/>
    <w:pPr>
      <w:keepNext/>
      <w:spacing w:before="240" w:after="0"/>
    </w:pPr>
    <w:rPr>
      <w:rFonts w:asciiTheme="majorHAnsi" w:hAnsiTheme="majorHAnsi"/>
      <w:color w:val="1F4E79" w:themeColor="accent1" w:themeShade="80"/>
    </w:rPr>
  </w:style>
  <w:style w:type="character" w:customStyle="1" w:styleId="LegendaZnak">
    <w:name w:val="Legenda Znak"/>
    <w:aliases w:val="Legenda Znak Znak Znak Znak1,Legenda Znak Znak Znak1,Legenda Znak Znak Znak Znak Znak,Legenda Znak Znak Znak Znak Znak Znak Znak1,Legenda Znak Znak Znak Znak Znak Znak Znak Znak,Legenda Znak Znak Znak Znak Znak Znak Znak Znak Znak Z Znak"/>
    <w:basedOn w:val="Domylnaczcionkaakapitu"/>
    <w:link w:val="Legenda"/>
    <w:uiPriority w:val="35"/>
    <w:rsid w:val="002B418A"/>
    <w:rPr>
      <w:i/>
      <w:iCs/>
      <w:color w:val="44546A" w:themeColor="text2"/>
      <w:sz w:val="18"/>
      <w:szCs w:val="18"/>
    </w:rPr>
  </w:style>
  <w:style w:type="character" w:customStyle="1" w:styleId="nadZnak">
    <w:name w:val="nad Znak"/>
    <w:basedOn w:val="LegendaZnak"/>
    <w:link w:val="nad"/>
    <w:rsid w:val="002C7D64"/>
    <w:rPr>
      <w:rFonts w:asciiTheme="majorHAnsi" w:hAnsiTheme="majorHAnsi"/>
      <w:i/>
      <w:iCs/>
      <w:color w:val="1F4E79" w:themeColor="accent1" w:themeShade="80"/>
      <w:sz w:val="18"/>
      <w:szCs w:val="18"/>
    </w:rPr>
  </w:style>
  <w:style w:type="paragraph" w:styleId="Nagwekspisutreci">
    <w:name w:val="TOC Heading"/>
    <w:basedOn w:val="Nagwek1"/>
    <w:next w:val="Normalny"/>
    <w:uiPriority w:val="39"/>
    <w:unhideWhenUsed/>
    <w:qFormat/>
    <w:rsid w:val="00374AD6"/>
    <w:pPr>
      <w:outlineLvl w:val="9"/>
    </w:pPr>
    <w:rPr>
      <w:lang w:eastAsia="pl-PL"/>
    </w:rPr>
  </w:style>
  <w:style w:type="paragraph" w:styleId="Spistreci1">
    <w:name w:val="toc 1"/>
    <w:basedOn w:val="Normalny"/>
    <w:next w:val="Normalny"/>
    <w:autoRedefine/>
    <w:uiPriority w:val="39"/>
    <w:unhideWhenUsed/>
    <w:rsid w:val="005D522F"/>
    <w:pPr>
      <w:spacing w:before="120" w:after="0"/>
    </w:pPr>
    <w:rPr>
      <w:b/>
      <w:color w:val="00B0F0"/>
    </w:rPr>
  </w:style>
  <w:style w:type="paragraph" w:styleId="Spistreci2">
    <w:name w:val="toc 2"/>
    <w:basedOn w:val="Normalny"/>
    <w:next w:val="Normalny"/>
    <w:autoRedefine/>
    <w:uiPriority w:val="39"/>
    <w:unhideWhenUsed/>
    <w:rsid w:val="005D522F"/>
    <w:pPr>
      <w:tabs>
        <w:tab w:val="right" w:leader="dot" w:pos="9062"/>
      </w:tabs>
      <w:spacing w:after="100"/>
      <w:ind w:left="220"/>
    </w:pPr>
  </w:style>
  <w:style w:type="paragraph" w:styleId="Bezodstpw">
    <w:name w:val="No Spacing"/>
    <w:link w:val="BezodstpwZnak"/>
    <w:uiPriority w:val="1"/>
    <w:qFormat/>
    <w:rsid w:val="00D54FC0"/>
    <w:pPr>
      <w:spacing w:after="0" w:line="240" w:lineRule="auto"/>
    </w:pPr>
    <w:rPr>
      <w:rFonts w:eastAsiaTheme="minorEastAsia"/>
      <w:lang w:eastAsia="pl-PL"/>
    </w:rPr>
  </w:style>
  <w:style w:type="character" w:customStyle="1" w:styleId="BezodstpwZnak">
    <w:name w:val="Bez odstępów Znak"/>
    <w:basedOn w:val="Domylnaczcionkaakapitu"/>
    <w:link w:val="Bezodstpw"/>
    <w:uiPriority w:val="1"/>
    <w:rsid w:val="00D54FC0"/>
    <w:rPr>
      <w:rFonts w:eastAsiaTheme="minorEastAsia"/>
      <w:lang w:eastAsia="pl-PL"/>
    </w:rPr>
  </w:style>
  <w:style w:type="paragraph" w:customStyle="1" w:styleId="NormZIT">
    <w:name w:val="Norm ZIT"/>
    <w:basedOn w:val="Normalny"/>
    <w:link w:val="NormZITZnak"/>
    <w:autoRedefine/>
    <w:qFormat/>
    <w:rsid w:val="00C46113"/>
    <w:pPr>
      <w:tabs>
        <w:tab w:val="left" w:pos="2694"/>
        <w:tab w:val="left" w:pos="3402"/>
        <w:tab w:val="left" w:pos="4111"/>
      </w:tabs>
      <w:spacing w:after="0" w:line="276" w:lineRule="auto"/>
      <w:jc w:val="both"/>
    </w:pPr>
    <w:rPr>
      <w:rFonts w:asciiTheme="majorHAnsi" w:eastAsia="Calibri" w:hAnsiTheme="majorHAnsi"/>
      <w:color w:val="000000" w:themeColor="text1"/>
      <w:lang w:eastAsia="pl-PL"/>
    </w:rPr>
  </w:style>
  <w:style w:type="character" w:customStyle="1" w:styleId="NormZITZnak">
    <w:name w:val="Norm ZIT Znak"/>
    <w:basedOn w:val="Domylnaczcionkaakapitu"/>
    <w:link w:val="NormZIT"/>
    <w:rsid w:val="00C46113"/>
    <w:rPr>
      <w:rFonts w:asciiTheme="majorHAnsi" w:eastAsia="Calibri" w:hAnsiTheme="majorHAnsi"/>
      <w:color w:val="000000" w:themeColor="text1"/>
      <w:lang w:eastAsia="pl-PL"/>
    </w:rPr>
  </w:style>
  <w:style w:type="character" w:styleId="Tekstzastpczy">
    <w:name w:val="Placeholder Text"/>
    <w:basedOn w:val="Domylnaczcionkaakapitu"/>
    <w:uiPriority w:val="99"/>
    <w:semiHidden/>
    <w:rsid w:val="00586AD8"/>
    <w:rPr>
      <w:color w:val="808080"/>
    </w:rPr>
  </w:style>
  <w:style w:type="table" w:styleId="Tabelasiatki5ciemnaakcent5">
    <w:name w:val="Grid Table 5 Dark Accent 5"/>
    <w:basedOn w:val="Standardowy"/>
    <w:uiPriority w:val="50"/>
    <w:rsid w:val="00077C8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paragraph" w:customStyle="1" w:styleId="rdo">
    <w:name w:val="źródło"/>
    <w:basedOn w:val="Normalny"/>
    <w:link w:val="rdoZnak"/>
    <w:qFormat/>
    <w:rsid w:val="00167B05"/>
    <w:pPr>
      <w:spacing w:after="120" w:line="240" w:lineRule="auto"/>
      <w:jc w:val="both"/>
    </w:pPr>
    <w:rPr>
      <w:rFonts w:ascii="Calibri Light" w:eastAsia="Calibri" w:hAnsi="Calibri Light" w:cs="Times New Roman"/>
      <w:i/>
      <w:color w:val="1F4E79" w:themeColor="accent1" w:themeShade="80"/>
      <w:sz w:val="18"/>
    </w:rPr>
  </w:style>
  <w:style w:type="character" w:customStyle="1" w:styleId="rdoZnak">
    <w:name w:val="źródło Znak"/>
    <w:basedOn w:val="Domylnaczcionkaakapitu"/>
    <w:link w:val="rdo"/>
    <w:rsid w:val="00167B05"/>
    <w:rPr>
      <w:rFonts w:ascii="Calibri Light" w:eastAsia="Calibri" w:hAnsi="Calibri Light" w:cs="Times New Roman"/>
      <w:i/>
      <w:color w:val="1F4E79" w:themeColor="accent1" w:themeShade="80"/>
      <w:sz w:val="18"/>
    </w:rPr>
  </w:style>
  <w:style w:type="character" w:styleId="Wyrnienieintensywne">
    <w:name w:val="Intense Emphasis"/>
    <w:basedOn w:val="Domylnaczcionkaakapitu"/>
    <w:uiPriority w:val="21"/>
    <w:qFormat/>
    <w:rsid w:val="000957CB"/>
    <w:rPr>
      <w:i/>
      <w:iCs/>
      <w:color w:val="1F4E79" w:themeColor="accent1" w:themeShade="80"/>
    </w:rPr>
  </w:style>
  <w:style w:type="paragraph" w:customStyle="1" w:styleId="Mayrozdzia">
    <w:name w:val="Mały rozdział"/>
    <w:basedOn w:val="Normalny"/>
    <w:next w:val="Normalny"/>
    <w:link w:val="MayrozdziaZnak"/>
    <w:autoRedefine/>
    <w:qFormat/>
    <w:rsid w:val="004A6B2F"/>
    <w:pPr>
      <w:spacing w:before="120" w:after="0" w:line="360" w:lineRule="auto"/>
      <w:jc w:val="both"/>
    </w:pPr>
    <w:rPr>
      <w:rFonts w:ascii="Calibri Light" w:hAnsi="Calibri Light"/>
      <w:b/>
      <w:bCs/>
      <w:iCs/>
      <w:color w:val="92D050"/>
      <w:sz w:val="24"/>
    </w:rPr>
  </w:style>
  <w:style w:type="character" w:customStyle="1" w:styleId="MayrozdziaZnak">
    <w:name w:val="Mały rozdział Znak"/>
    <w:basedOn w:val="Domylnaczcionkaakapitu"/>
    <w:link w:val="Mayrozdzia"/>
    <w:rsid w:val="004A6B2F"/>
    <w:rPr>
      <w:rFonts w:ascii="Calibri Light" w:hAnsi="Calibri Light"/>
      <w:b/>
      <w:bCs/>
      <w:iCs/>
      <w:color w:val="92D050"/>
      <w:sz w:val="24"/>
    </w:rPr>
  </w:style>
  <w:style w:type="paragraph" w:customStyle="1" w:styleId="Norm">
    <w:name w:val="Norm"/>
    <w:basedOn w:val="Normalny"/>
    <w:link w:val="NormZnak"/>
    <w:autoRedefine/>
    <w:qFormat/>
    <w:rsid w:val="002C7D64"/>
    <w:pPr>
      <w:spacing w:after="0" w:line="276" w:lineRule="auto"/>
      <w:jc w:val="both"/>
    </w:pPr>
    <w:rPr>
      <w:rFonts w:ascii="Calibri Light" w:eastAsia="Calibri" w:hAnsi="Calibri Light" w:cs="Times New Roman"/>
      <w:b/>
      <w:color w:val="92D050"/>
      <w:sz w:val="24"/>
      <w:szCs w:val="24"/>
      <w:lang w:eastAsia="pl-PL"/>
    </w:rPr>
  </w:style>
  <w:style w:type="character" w:customStyle="1" w:styleId="NormZnak">
    <w:name w:val="Norm Znak"/>
    <w:basedOn w:val="Domylnaczcionkaakapitu"/>
    <w:link w:val="Norm"/>
    <w:rsid w:val="002C7D64"/>
    <w:rPr>
      <w:rFonts w:ascii="Calibri Light" w:eastAsia="Calibri" w:hAnsi="Calibri Light" w:cs="Times New Roman"/>
      <w:b/>
      <w:color w:val="92D050"/>
      <w:sz w:val="24"/>
      <w:szCs w:val="24"/>
      <w:lang w:eastAsia="pl-PL"/>
    </w:rPr>
  </w:style>
  <w:style w:type="paragraph" w:styleId="Cytat">
    <w:name w:val="Quote"/>
    <w:basedOn w:val="Normalny"/>
    <w:next w:val="Normalny"/>
    <w:link w:val="CytatZnak"/>
    <w:uiPriority w:val="29"/>
    <w:qFormat/>
    <w:rsid w:val="00F90FC4"/>
    <w:pPr>
      <w:spacing w:after="240" w:line="240" w:lineRule="auto"/>
      <w:jc w:val="right"/>
    </w:pPr>
    <w:rPr>
      <w:rFonts w:ascii="Calibri Light" w:hAnsi="Calibri Light"/>
      <w:i/>
      <w:iCs/>
      <w:color w:val="404040" w:themeColor="text1" w:themeTint="BF"/>
      <w:sz w:val="20"/>
    </w:rPr>
  </w:style>
  <w:style w:type="character" w:customStyle="1" w:styleId="CytatZnak">
    <w:name w:val="Cytat Znak"/>
    <w:basedOn w:val="Domylnaczcionkaakapitu"/>
    <w:link w:val="Cytat"/>
    <w:uiPriority w:val="29"/>
    <w:rsid w:val="00F90FC4"/>
    <w:rPr>
      <w:rFonts w:ascii="Calibri Light" w:hAnsi="Calibri Light"/>
      <w:i/>
      <w:iCs/>
      <w:color w:val="404040" w:themeColor="text1" w:themeTint="BF"/>
      <w:sz w:val="20"/>
    </w:rPr>
  </w:style>
  <w:style w:type="character" w:styleId="Odwoaniedokomentarza">
    <w:name w:val="annotation reference"/>
    <w:basedOn w:val="Domylnaczcionkaakapitu"/>
    <w:uiPriority w:val="99"/>
    <w:semiHidden/>
    <w:unhideWhenUsed/>
    <w:rsid w:val="0059284E"/>
    <w:rPr>
      <w:sz w:val="16"/>
      <w:szCs w:val="16"/>
    </w:rPr>
  </w:style>
  <w:style w:type="paragraph" w:styleId="Tekstkomentarza">
    <w:name w:val="annotation text"/>
    <w:basedOn w:val="Normalny"/>
    <w:link w:val="TekstkomentarzaZnak"/>
    <w:uiPriority w:val="99"/>
    <w:semiHidden/>
    <w:unhideWhenUsed/>
    <w:rsid w:val="0059284E"/>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59284E"/>
    <w:rPr>
      <w:sz w:val="20"/>
      <w:szCs w:val="20"/>
    </w:rPr>
  </w:style>
  <w:style w:type="paragraph" w:styleId="Tematkomentarza">
    <w:name w:val="annotation subject"/>
    <w:basedOn w:val="Tekstkomentarza"/>
    <w:next w:val="Tekstkomentarza"/>
    <w:link w:val="TematkomentarzaZnak"/>
    <w:uiPriority w:val="99"/>
    <w:semiHidden/>
    <w:unhideWhenUsed/>
    <w:rsid w:val="0059284E"/>
    <w:rPr>
      <w:b/>
      <w:bCs/>
    </w:rPr>
  </w:style>
  <w:style w:type="character" w:customStyle="1" w:styleId="TematkomentarzaZnak">
    <w:name w:val="Temat komentarza Znak"/>
    <w:basedOn w:val="TekstkomentarzaZnak"/>
    <w:link w:val="Tematkomentarza"/>
    <w:uiPriority w:val="99"/>
    <w:semiHidden/>
    <w:rsid w:val="0059284E"/>
    <w:rPr>
      <w:b/>
      <w:bCs/>
      <w:sz w:val="20"/>
      <w:szCs w:val="20"/>
    </w:rPr>
  </w:style>
  <w:style w:type="character" w:customStyle="1" w:styleId="Nagwek3Znak">
    <w:name w:val="Nagłówek 3 Znak"/>
    <w:basedOn w:val="Domylnaczcionkaakapitu"/>
    <w:link w:val="Nagwek3"/>
    <w:uiPriority w:val="9"/>
    <w:rsid w:val="007A5888"/>
    <w:rPr>
      <w:rFonts w:asciiTheme="majorHAnsi" w:eastAsiaTheme="majorEastAsia" w:hAnsiTheme="majorHAnsi" w:cstheme="majorBidi"/>
      <w:b/>
      <w:color w:val="92D050"/>
      <w:sz w:val="24"/>
      <w:szCs w:val="24"/>
    </w:rPr>
  </w:style>
  <w:style w:type="paragraph" w:styleId="Spistreci3">
    <w:name w:val="toc 3"/>
    <w:basedOn w:val="Normalny"/>
    <w:next w:val="Normalny"/>
    <w:autoRedefine/>
    <w:uiPriority w:val="39"/>
    <w:unhideWhenUsed/>
    <w:rsid w:val="002C7D64"/>
    <w:pPr>
      <w:spacing w:after="100"/>
      <w:ind w:left="440"/>
    </w:pPr>
  </w:style>
  <w:style w:type="paragraph" w:styleId="NormalnyWeb">
    <w:name w:val="Normal (Web)"/>
    <w:basedOn w:val="Normalny"/>
    <w:uiPriority w:val="99"/>
    <w:semiHidden/>
    <w:unhideWhenUsed/>
    <w:rsid w:val="007B23D5"/>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styleId="Spisilustracji">
    <w:name w:val="table of figures"/>
    <w:basedOn w:val="Normalny"/>
    <w:next w:val="Normalny"/>
    <w:uiPriority w:val="99"/>
    <w:unhideWhenUsed/>
    <w:rsid w:val="00575FF9"/>
    <w:pPr>
      <w:spacing w:after="0"/>
    </w:pPr>
    <w:rPr>
      <w:i/>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155292">
      <w:bodyDiv w:val="1"/>
      <w:marLeft w:val="0"/>
      <w:marRight w:val="0"/>
      <w:marTop w:val="0"/>
      <w:marBottom w:val="0"/>
      <w:divBdr>
        <w:top w:val="none" w:sz="0" w:space="0" w:color="auto"/>
        <w:left w:val="none" w:sz="0" w:space="0" w:color="auto"/>
        <w:bottom w:val="none" w:sz="0" w:space="0" w:color="auto"/>
        <w:right w:val="none" w:sz="0" w:space="0" w:color="auto"/>
      </w:divBdr>
    </w:div>
    <w:div w:id="225191586">
      <w:bodyDiv w:val="1"/>
      <w:marLeft w:val="0"/>
      <w:marRight w:val="0"/>
      <w:marTop w:val="0"/>
      <w:marBottom w:val="0"/>
      <w:divBdr>
        <w:top w:val="none" w:sz="0" w:space="0" w:color="auto"/>
        <w:left w:val="none" w:sz="0" w:space="0" w:color="auto"/>
        <w:bottom w:val="none" w:sz="0" w:space="0" w:color="auto"/>
        <w:right w:val="none" w:sz="0" w:space="0" w:color="auto"/>
      </w:divBdr>
    </w:div>
    <w:div w:id="708147432">
      <w:bodyDiv w:val="1"/>
      <w:marLeft w:val="0"/>
      <w:marRight w:val="0"/>
      <w:marTop w:val="0"/>
      <w:marBottom w:val="0"/>
      <w:divBdr>
        <w:top w:val="none" w:sz="0" w:space="0" w:color="auto"/>
        <w:left w:val="none" w:sz="0" w:space="0" w:color="auto"/>
        <w:bottom w:val="none" w:sz="0" w:space="0" w:color="auto"/>
        <w:right w:val="none" w:sz="0" w:space="0" w:color="auto"/>
      </w:divBdr>
    </w:div>
    <w:div w:id="742726486">
      <w:bodyDiv w:val="1"/>
      <w:marLeft w:val="0"/>
      <w:marRight w:val="0"/>
      <w:marTop w:val="0"/>
      <w:marBottom w:val="0"/>
      <w:divBdr>
        <w:top w:val="none" w:sz="0" w:space="0" w:color="auto"/>
        <w:left w:val="none" w:sz="0" w:space="0" w:color="auto"/>
        <w:bottom w:val="none" w:sz="0" w:space="0" w:color="auto"/>
        <w:right w:val="none" w:sz="0" w:space="0" w:color="auto"/>
      </w:divBdr>
      <w:divsChild>
        <w:div w:id="1376465851">
          <w:marLeft w:val="547"/>
          <w:marRight w:val="0"/>
          <w:marTop w:val="0"/>
          <w:marBottom w:val="0"/>
          <w:divBdr>
            <w:top w:val="none" w:sz="0" w:space="0" w:color="auto"/>
            <w:left w:val="none" w:sz="0" w:space="0" w:color="auto"/>
            <w:bottom w:val="none" w:sz="0" w:space="0" w:color="auto"/>
            <w:right w:val="none" w:sz="0" w:space="0" w:color="auto"/>
          </w:divBdr>
        </w:div>
      </w:divsChild>
    </w:div>
    <w:div w:id="792334447">
      <w:bodyDiv w:val="1"/>
      <w:marLeft w:val="0"/>
      <w:marRight w:val="0"/>
      <w:marTop w:val="0"/>
      <w:marBottom w:val="0"/>
      <w:divBdr>
        <w:top w:val="none" w:sz="0" w:space="0" w:color="auto"/>
        <w:left w:val="none" w:sz="0" w:space="0" w:color="auto"/>
        <w:bottom w:val="none" w:sz="0" w:space="0" w:color="auto"/>
        <w:right w:val="none" w:sz="0" w:space="0" w:color="auto"/>
      </w:divBdr>
    </w:div>
    <w:div w:id="838034555">
      <w:bodyDiv w:val="1"/>
      <w:marLeft w:val="0"/>
      <w:marRight w:val="0"/>
      <w:marTop w:val="0"/>
      <w:marBottom w:val="0"/>
      <w:divBdr>
        <w:top w:val="none" w:sz="0" w:space="0" w:color="auto"/>
        <w:left w:val="none" w:sz="0" w:space="0" w:color="auto"/>
        <w:bottom w:val="none" w:sz="0" w:space="0" w:color="auto"/>
        <w:right w:val="none" w:sz="0" w:space="0" w:color="auto"/>
      </w:divBdr>
    </w:div>
    <w:div w:id="896668821">
      <w:bodyDiv w:val="1"/>
      <w:marLeft w:val="0"/>
      <w:marRight w:val="0"/>
      <w:marTop w:val="0"/>
      <w:marBottom w:val="0"/>
      <w:divBdr>
        <w:top w:val="none" w:sz="0" w:space="0" w:color="auto"/>
        <w:left w:val="none" w:sz="0" w:space="0" w:color="auto"/>
        <w:bottom w:val="none" w:sz="0" w:space="0" w:color="auto"/>
        <w:right w:val="none" w:sz="0" w:space="0" w:color="auto"/>
      </w:divBdr>
    </w:div>
    <w:div w:id="899949012">
      <w:bodyDiv w:val="1"/>
      <w:marLeft w:val="0"/>
      <w:marRight w:val="0"/>
      <w:marTop w:val="0"/>
      <w:marBottom w:val="0"/>
      <w:divBdr>
        <w:top w:val="none" w:sz="0" w:space="0" w:color="auto"/>
        <w:left w:val="none" w:sz="0" w:space="0" w:color="auto"/>
        <w:bottom w:val="none" w:sz="0" w:space="0" w:color="auto"/>
        <w:right w:val="none" w:sz="0" w:space="0" w:color="auto"/>
      </w:divBdr>
      <w:divsChild>
        <w:div w:id="1000691599">
          <w:marLeft w:val="0"/>
          <w:marRight w:val="0"/>
          <w:marTop w:val="0"/>
          <w:marBottom w:val="0"/>
          <w:divBdr>
            <w:top w:val="none" w:sz="0" w:space="0" w:color="auto"/>
            <w:left w:val="none" w:sz="0" w:space="0" w:color="auto"/>
            <w:bottom w:val="none" w:sz="0" w:space="0" w:color="auto"/>
            <w:right w:val="none" w:sz="0" w:space="0" w:color="auto"/>
          </w:divBdr>
          <w:divsChild>
            <w:div w:id="897328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723258">
      <w:bodyDiv w:val="1"/>
      <w:marLeft w:val="0"/>
      <w:marRight w:val="0"/>
      <w:marTop w:val="0"/>
      <w:marBottom w:val="0"/>
      <w:divBdr>
        <w:top w:val="none" w:sz="0" w:space="0" w:color="auto"/>
        <w:left w:val="none" w:sz="0" w:space="0" w:color="auto"/>
        <w:bottom w:val="none" w:sz="0" w:space="0" w:color="auto"/>
        <w:right w:val="none" w:sz="0" w:space="0" w:color="auto"/>
      </w:divBdr>
    </w:div>
    <w:div w:id="1107309337">
      <w:bodyDiv w:val="1"/>
      <w:marLeft w:val="0"/>
      <w:marRight w:val="0"/>
      <w:marTop w:val="0"/>
      <w:marBottom w:val="0"/>
      <w:divBdr>
        <w:top w:val="none" w:sz="0" w:space="0" w:color="auto"/>
        <w:left w:val="none" w:sz="0" w:space="0" w:color="auto"/>
        <w:bottom w:val="none" w:sz="0" w:space="0" w:color="auto"/>
        <w:right w:val="none" w:sz="0" w:space="0" w:color="auto"/>
      </w:divBdr>
      <w:divsChild>
        <w:div w:id="612130667">
          <w:marLeft w:val="0"/>
          <w:marRight w:val="0"/>
          <w:marTop w:val="0"/>
          <w:marBottom w:val="0"/>
          <w:divBdr>
            <w:top w:val="none" w:sz="0" w:space="0" w:color="auto"/>
            <w:left w:val="none" w:sz="0" w:space="0" w:color="auto"/>
            <w:bottom w:val="none" w:sz="0" w:space="0" w:color="auto"/>
            <w:right w:val="none" w:sz="0" w:space="0" w:color="auto"/>
          </w:divBdr>
          <w:divsChild>
            <w:div w:id="1351491184">
              <w:marLeft w:val="0"/>
              <w:marRight w:val="0"/>
              <w:marTop w:val="0"/>
              <w:marBottom w:val="0"/>
              <w:divBdr>
                <w:top w:val="none" w:sz="0" w:space="0" w:color="auto"/>
                <w:left w:val="none" w:sz="0" w:space="0" w:color="auto"/>
                <w:bottom w:val="none" w:sz="0" w:space="0" w:color="auto"/>
                <w:right w:val="none" w:sz="0" w:space="0" w:color="auto"/>
              </w:divBdr>
            </w:div>
            <w:div w:id="1114791541">
              <w:marLeft w:val="0"/>
              <w:marRight w:val="0"/>
              <w:marTop w:val="0"/>
              <w:marBottom w:val="0"/>
              <w:divBdr>
                <w:top w:val="none" w:sz="0" w:space="0" w:color="auto"/>
                <w:left w:val="none" w:sz="0" w:space="0" w:color="auto"/>
                <w:bottom w:val="none" w:sz="0" w:space="0" w:color="auto"/>
                <w:right w:val="none" w:sz="0" w:space="0" w:color="auto"/>
              </w:divBdr>
            </w:div>
            <w:div w:id="1447651319">
              <w:marLeft w:val="0"/>
              <w:marRight w:val="0"/>
              <w:marTop w:val="0"/>
              <w:marBottom w:val="0"/>
              <w:divBdr>
                <w:top w:val="none" w:sz="0" w:space="0" w:color="auto"/>
                <w:left w:val="none" w:sz="0" w:space="0" w:color="auto"/>
                <w:bottom w:val="none" w:sz="0" w:space="0" w:color="auto"/>
                <w:right w:val="none" w:sz="0" w:space="0" w:color="auto"/>
              </w:divBdr>
            </w:div>
            <w:div w:id="551237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2017311">
      <w:bodyDiv w:val="1"/>
      <w:marLeft w:val="0"/>
      <w:marRight w:val="0"/>
      <w:marTop w:val="0"/>
      <w:marBottom w:val="0"/>
      <w:divBdr>
        <w:top w:val="none" w:sz="0" w:space="0" w:color="auto"/>
        <w:left w:val="none" w:sz="0" w:space="0" w:color="auto"/>
        <w:bottom w:val="none" w:sz="0" w:space="0" w:color="auto"/>
        <w:right w:val="none" w:sz="0" w:space="0" w:color="auto"/>
      </w:divBdr>
    </w:div>
    <w:div w:id="1391228649">
      <w:bodyDiv w:val="1"/>
      <w:marLeft w:val="0"/>
      <w:marRight w:val="0"/>
      <w:marTop w:val="0"/>
      <w:marBottom w:val="0"/>
      <w:divBdr>
        <w:top w:val="none" w:sz="0" w:space="0" w:color="auto"/>
        <w:left w:val="none" w:sz="0" w:space="0" w:color="auto"/>
        <w:bottom w:val="none" w:sz="0" w:space="0" w:color="auto"/>
        <w:right w:val="none" w:sz="0" w:space="0" w:color="auto"/>
      </w:divBdr>
      <w:divsChild>
        <w:div w:id="1693339432">
          <w:marLeft w:val="547"/>
          <w:marRight w:val="0"/>
          <w:marTop w:val="0"/>
          <w:marBottom w:val="0"/>
          <w:divBdr>
            <w:top w:val="none" w:sz="0" w:space="0" w:color="auto"/>
            <w:left w:val="none" w:sz="0" w:space="0" w:color="auto"/>
            <w:bottom w:val="none" w:sz="0" w:space="0" w:color="auto"/>
            <w:right w:val="none" w:sz="0" w:space="0" w:color="auto"/>
          </w:divBdr>
        </w:div>
      </w:divsChild>
    </w:div>
    <w:div w:id="1409570938">
      <w:bodyDiv w:val="1"/>
      <w:marLeft w:val="0"/>
      <w:marRight w:val="0"/>
      <w:marTop w:val="0"/>
      <w:marBottom w:val="0"/>
      <w:divBdr>
        <w:top w:val="none" w:sz="0" w:space="0" w:color="auto"/>
        <w:left w:val="none" w:sz="0" w:space="0" w:color="auto"/>
        <w:bottom w:val="none" w:sz="0" w:space="0" w:color="auto"/>
        <w:right w:val="none" w:sz="0" w:space="0" w:color="auto"/>
      </w:divBdr>
    </w:div>
    <w:div w:id="1543592632">
      <w:bodyDiv w:val="1"/>
      <w:marLeft w:val="0"/>
      <w:marRight w:val="0"/>
      <w:marTop w:val="0"/>
      <w:marBottom w:val="0"/>
      <w:divBdr>
        <w:top w:val="none" w:sz="0" w:space="0" w:color="auto"/>
        <w:left w:val="none" w:sz="0" w:space="0" w:color="auto"/>
        <w:bottom w:val="none" w:sz="0" w:space="0" w:color="auto"/>
        <w:right w:val="none" w:sz="0" w:space="0" w:color="auto"/>
      </w:divBdr>
    </w:div>
    <w:div w:id="1590382025">
      <w:bodyDiv w:val="1"/>
      <w:marLeft w:val="0"/>
      <w:marRight w:val="0"/>
      <w:marTop w:val="0"/>
      <w:marBottom w:val="0"/>
      <w:divBdr>
        <w:top w:val="none" w:sz="0" w:space="0" w:color="auto"/>
        <w:left w:val="none" w:sz="0" w:space="0" w:color="auto"/>
        <w:bottom w:val="none" w:sz="0" w:space="0" w:color="auto"/>
        <w:right w:val="none" w:sz="0" w:space="0" w:color="auto"/>
      </w:divBdr>
    </w:div>
    <w:div w:id="1663508565">
      <w:bodyDiv w:val="1"/>
      <w:marLeft w:val="0"/>
      <w:marRight w:val="0"/>
      <w:marTop w:val="0"/>
      <w:marBottom w:val="0"/>
      <w:divBdr>
        <w:top w:val="none" w:sz="0" w:space="0" w:color="auto"/>
        <w:left w:val="none" w:sz="0" w:space="0" w:color="auto"/>
        <w:bottom w:val="none" w:sz="0" w:space="0" w:color="auto"/>
        <w:right w:val="none" w:sz="0" w:space="0" w:color="auto"/>
      </w:divBdr>
    </w:div>
    <w:div w:id="1708989054">
      <w:bodyDiv w:val="1"/>
      <w:marLeft w:val="0"/>
      <w:marRight w:val="0"/>
      <w:marTop w:val="0"/>
      <w:marBottom w:val="0"/>
      <w:divBdr>
        <w:top w:val="none" w:sz="0" w:space="0" w:color="auto"/>
        <w:left w:val="none" w:sz="0" w:space="0" w:color="auto"/>
        <w:bottom w:val="none" w:sz="0" w:space="0" w:color="auto"/>
        <w:right w:val="none" w:sz="0" w:space="0" w:color="auto"/>
      </w:divBdr>
      <w:divsChild>
        <w:div w:id="1558082284">
          <w:marLeft w:val="547"/>
          <w:marRight w:val="0"/>
          <w:marTop w:val="0"/>
          <w:marBottom w:val="0"/>
          <w:divBdr>
            <w:top w:val="none" w:sz="0" w:space="0" w:color="auto"/>
            <w:left w:val="none" w:sz="0" w:space="0" w:color="auto"/>
            <w:bottom w:val="none" w:sz="0" w:space="0" w:color="auto"/>
            <w:right w:val="none" w:sz="0" w:space="0" w:color="auto"/>
          </w:divBdr>
        </w:div>
      </w:divsChild>
    </w:div>
    <w:div w:id="1734960656">
      <w:bodyDiv w:val="1"/>
      <w:marLeft w:val="0"/>
      <w:marRight w:val="0"/>
      <w:marTop w:val="0"/>
      <w:marBottom w:val="0"/>
      <w:divBdr>
        <w:top w:val="none" w:sz="0" w:space="0" w:color="auto"/>
        <w:left w:val="none" w:sz="0" w:space="0" w:color="auto"/>
        <w:bottom w:val="none" w:sz="0" w:space="0" w:color="auto"/>
        <w:right w:val="none" w:sz="0" w:space="0" w:color="auto"/>
      </w:divBdr>
    </w:div>
    <w:div w:id="1736276677">
      <w:bodyDiv w:val="1"/>
      <w:marLeft w:val="0"/>
      <w:marRight w:val="0"/>
      <w:marTop w:val="0"/>
      <w:marBottom w:val="0"/>
      <w:divBdr>
        <w:top w:val="none" w:sz="0" w:space="0" w:color="auto"/>
        <w:left w:val="none" w:sz="0" w:space="0" w:color="auto"/>
        <w:bottom w:val="none" w:sz="0" w:space="0" w:color="auto"/>
        <w:right w:val="none" w:sz="0" w:space="0" w:color="auto"/>
      </w:divBdr>
    </w:div>
    <w:div w:id="1745909913">
      <w:bodyDiv w:val="1"/>
      <w:marLeft w:val="0"/>
      <w:marRight w:val="0"/>
      <w:marTop w:val="0"/>
      <w:marBottom w:val="0"/>
      <w:divBdr>
        <w:top w:val="none" w:sz="0" w:space="0" w:color="auto"/>
        <w:left w:val="none" w:sz="0" w:space="0" w:color="auto"/>
        <w:bottom w:val="none" w:sz="0" w:space="0" w:color="auto"/>
        <w:right w:val="none" w:sz="0" w:space="0" w:color="auto"/>
      </w:divBdr>
    </w:div>
    <w:div w:id="1830713384">
      <w:bodyDiv w:val="1"/>
      <w:marLeft w:val="0"/>
      <w:marRight w:val="0"/>
      <w:marTop w:val="0"/>
      <w:marBottom w:val="0"/>
      <w:divBdr>
        <w:top w:val="none" w:sz="0" w:space="0" w:color="auto"/>
        <w:left w:val="none" w:sz="0" w:space="0" w:color="auto"/>
        <w:bottom w:val="none" w:sz="0" w:space="0" w:color="auto"/>
        <w:right w:val="none" w:sz="0" w:space="0" w:color="auto"/>
      </w:divBdr>
    </w:div>
    <w:div w:id="21245709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tmp"/><Relationship Id="rId18" Type="http://schemas.openxmlformats.org/officeDocument/2006/relationships/chart" Target="charts/chart4.xml"/><Relationship Id="rId26" Type="http://schemas.openxmlformats.org/officeDocument/2006/relationships/chart" Target="charts/chart10.xml"/><Relationship Id="rId39" Type="http://schemas.openxmlformats.org/officeDocument/2006/relationships/chart" Target="charts/chart17.xml"/><Relationship Id="rId21" Type="http://schemas.openxmlformats.org/officeDocument/2006/relationships/chart" Target="charts/chart6.xml"/><Relationship Id="rId34" Type="http://schemas.openxmlformats.org/officeDocument/2006/relationships/chart" Target="charts/chart12.xml"/><Relationship Id="rId42" Type="http://schemas.openxmlformats.org/officeDocument/2006/relationships/chart" Target="charts/chart20.xml"/><Relationship Id="rId47" Type="http://schemas.openxmlformats.org/officeDocument/2006/relationships/header" Target="header1.xml"/><Relationship Id="rId50" Type="http://schemas.openxmlformats.org/officeDocument/2006/relationships/footer" Target="footer2.xml"/><Relationship Id="rId55" Type="http://schemas.openxmlformats.org/officeDocument/2006/relationships/image" Target="media/image18.png"/><Relationship Id="rId63" Type="http://schemas.openxmlformats.org/officeDocument/2006/relationships/chart" Target="charts/chart25.xml"/><Relationship Id="rId68" Type="http://schemas.openxmlformats.org/officeDocument/2006/relationships/chart" Target="charts/chart30.xml"/><Relationship Id="rId76" Type="http://schemas.openxmlformats.org/officeDocument/2006/relationships/chart" Target="charts/chart38.xml"/><Relationship Id="rId7" Type="http://schemas.openxmlformats.org/officeDocument/2006/relationships/endnotes" Target="endnotes.xml"/><Relationship Id="rId71" Type="http://schemas.openxmlformats.org/officeDocument/2006/relationships/chart" Target="charts/chart33.xml"/><Relationship Id="rId2" Type="http://schemas.openxmlformats.org/officeDocument/2006/relationships/numbering" Target="numbering.xml"/><Relationship Id="rId16" Type="http://schemas.openxmlformats.org/officeDocument/2006/relationships/chart" Target="charts/chart2.xml"/><Relationship Id="rId29" Type="http://schemas.openxmlformats.org/officeDocument/2006/relationships/image" Target="media/image11.tmp"/><Relationship Id="rId11" Type="http://schemas.openxmlformats.org/officeDocument/2006/relationships/image" Target="media/image3.png"/><Relationship Id="rId24" Type="http://schemas.openxmlformats.org/officeDocument/2006/relationships/chart" Target="charts/chart9.xml"/><Relationship Id="rId32" Type="http://schemas.openxmlformats.org/officeDocument/2006/relationships/chart" Target="charts/chart11.xml"/><Relationship Id="rId37" Type="http://schemas.openxmlformats.org/officeDocument/2006/relationships/chart" Target="charts/chart15.xml"/><Relationship Id="rId40" Type="http://schemas.openxmlformats.org/officeDocument/2006/relationships/chart" Target="charts/chart18.xml"/><Relationship Id="rId45" Type="http://schemas.openxmlformats.org/officeDocument/2006/relationships/chart" Target="charts/chart23.xml"/><Relationship Id="rId53" Type="http://schemas.openxmlformats.org/officeDocument/2006/relationships/image" Target="media/image16.png"/><Relationship Id="rId58" Type="http://schemas.openxmlformats.org/officeDocument/2006/relationships/image" Target="media/image21.jpeg"/><Relationship Id="rId66" Type="http://schemas.openxmlformats.org/officeDocument/2006/relationships/chart" Target="charts/chart28.xml"/><Relationship Id="rId74" Type="http://schemas.openxmlformats.org/officeDocument/2006/relationships/chart" Target="charts/chart36.xml"/><Relationship Id="rId79" Type="http://schemas.openxmlformats.org/officeDocument/2006/relationships/chart" Target="charts/chart41.xml"/><Relationship Id="rId5" Type="http://schemas.openxmlformats.org/officeDocument/2006/relationships/webSettings" Target="webSettings.xml"/><Relationship Id="rId61" Type="http://schemas.openxmlformats.org/officeDocument/2006/relationships/image" Target="media/image24.jpeg"/><Relationship Id="rId10" Type="http://schemas.openxmlformats.org/officeDocument/2006/relationships/image" Target="media/image2.png"/><Relationship Id="rId19" Type="http://schemas.openxmlformats.org/officeDocument/2006/relationships/image" Target="media/image7.png"/><Relationship Id="rId31" Type="http://schemas.openxmlformats.org/officeDocument/2006/relationships/image" Target="media/image13.tmp"/><Relationship Id="rId44" Type="http://schemas.openxmlformats.org/officeDocument/2006/relationships/chart" Target="charts/chart22.xml"/><Relationship Id="rId52" Type="http://schemas.openxmlformats.org/officeDocument/2006/relationships/image" Target="media/image15.png"/><Relationship Id="rId60" Type="http://schemas.openxmlformats.org/officeDocument/2006/relationships/image" Target="media/image23.jpeg"/><Relationship Id="rId65" Type="http://schemas.openxmlformats.org/officeDocument/2006/relationships/chart" Target="charts/chart27.xml"/><Relationship Id="rId73" Type="http://schemas.openxmlformats.org/officeDocument/2006/relationships/chart" Target="charts/chart35.xml"/><Relationship Id="rId78" Type="http://schemas.openxmlformats.org/officeDocument/2006/relationships/chart" Target="charts/chart40.xml"/><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deltapartner.org.pl" TargetMode="External"/><Relationship Id="rId14" Type="http://schemas.openxmlformats.org/officeDocument/2006/relationships/image" Target="media/image6.tmp"/><Relationship Id="rId22" Type="http://schemas.openxmlformats.org/officeDocument/2006/relationships/chart" Target="charts/chart7.xml"/><Relationship Id="rId27" Type="http://schemas.openxmlformats.org/officeDocument/2006/relationships/image" Target="media/image9.tmp"/><Relationship Id="rId30" Type="http://schemas.openxmlformats.org/officeDocument/2006/relationships/image" Target="media/image12.tmp"/><Relationship Id="rId35" Type="http://schemas.openxmlformats.org/officeDocument/2006/relationships/chart" Target="charts/chart13.xml"/><Relationship Id="rId43" Type="http://schemas.openxmlformats.org/officeDocument/2006/relationships/chart" Target="charts/chart21.xml"/><Relationship Id="rId48" Type="http://schemas.openxmlformats.org/officeDocument/2006/relationships/header" Target="header2.xml"/><Relationship Id="rId56" Type="http://schemas.openxmlformats.org/officeDocument/2006/relationships/image" Target="media/image19.png"/><Relationship Id="rId64" Type="http://schemas.openxmlformats.org/officeDocument/2006/relationships/chart" Target="charts/chart26.xml"/><Relationship Id="rId69" Type="http://schemas.openxmlformats.org/officeDocument/2006/relationships/chart" Target="charts/chart31.xml"/><Relationship Id="rId77" Type="http://schemas.openxmlformats.org/officeDocument/2006/relationships/chart" Target="charts/chart39.xml"/><Relationship Id="rId8" Type="http://schemas.openxmlformats.org/officeDocument/2006/relationships/image" Target="media/image1.jpeg"/><Relationship Id="rId51" Type="http://schemas.openxmlformats.org/officeDocument/2006/relationships/footer" Target="footer3.xml"/><Relationship Id="rId72" Type="http://schemas.openxmlformats.org/officeDocument/2006/relationships/chart" Target="charts/chart34.xml"/><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chart" Target="charts/chart3.xml"/><Relationship Id="rId25" Type="http://schemas.openxmlformats.org/officeDocument/2006/relationships/image" Target="media/image8.png"/><Relationship Id="rId33" Type="http://schemas.openxmlformats.org/officeDocument/2006/relationships/image" Target="media/image14.tmp"/><Relationship Id="rId38" Type="http://schemas.openxmlformats.org/officeDocument/2006/relationships/chart" Target="charts/chart16.xml"/><Relationship Id="rId46" Type="http://schemas.openxmlformats.org/officeDocument/2006/relationships/chart" Target="charts/chart24.xml"/><Relationship Id="rId59" Type="http://schemas.openxmlformats.org/officeDocument/2006/relationships/image" Target="media/image22.jpeg"/><Relationship Id="rId67" Type="http://schemas.openxmlformats.org/officeDocument/2006/relationships/chart" Target="charts/chart29.xml"/><Relationship Id="rId20" Type="http://schemas.openxmlformats.org/officeDocument/2006/relationships/chart" Target="charts/chart5.xml"/><Relationship Id="rId41" Type="http://schemas.openxmlformats.org/officeDocument/2006/relationships/chart" Target="charts/chart19.xml"/><Relationship Id="rId54" Type="http://schemas.openxmlformats.org/officeDocument/2006/relationships/image" Target="media/image17.png"/><Relationship Id="rId62" Type="http://schemas.openxmlformats.org/officeDocument/2006/relationships/image" Target="media/image25.png"/><Relationship Id="rId70" Type="http://schemas.openxmlformats.org/officeDocument/2006/relationships/chart" Target="charts/chart32.xml"/><Relationship Id="rId75" Type="http://schemas.openxmlformats.org/officeDocument/2006/relationships/chart" Target="charts/chart37.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1.xml"/><Relationship Id="rId23" Type="http://schemas.openxmlformats.org/officeDocument/2006/relationships/chart" Target="charts/chart8.xml"/><Relationship Id="rId28" Type="http://schemas.openxmlformats.org/officeDocument/2006/relationships/image" Target="media/image10.png"/><Relationship Id="rId36" Type="http://schemas.openxmlformats.org/officeDocument/2006/relationships/chart" Target="charts/chart14.xml"/><Relationship Id="rId49" Type="http://schemas.openxmlformats.org/officeDocument/2006/relationships/footer" Target="footer1.xml"/><Relationship Id="rId57" Type="http://schemas.openxmlformats.org/officeDocument/2006/relationships/image" Target="media/image20.png"/></Relationships>
</file>

<file path=word/charts/_rels/chart1.xml.rels><?xml version="1.0" encoding="UTF-8" standalone="yes"?>
<Relationships xmlns="http://schemas.openxmlformats.org/package/2006/relationships"><Relationship Id="rId3" Type="http://schemas.openxmlformats.org/officeDocument/2006/relationships/oleObject" Target="file:///G:\Mazury%20Po&#322;udniowe\dane\wykorzystanie%20grunt&#243;w.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G:\Mazury%20Po&#322;udniowe\dane\wynagrodzenia_wszystkie%20powiaty%20woj_tabela%20przestawna.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G:\Mazury%20Po&#322;udniowe\dane\Sie&#263;%20gazowa.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G:\Mazury%20Po&#322;udniowe\dane\D&#322;ugo&#347;&#263;%20sieci%20kanalizacyjnej%20w%20relacji%20do%20d&#322;ugo&#347;ci%20sieci%20wodoci&#261;gowej.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G:\Mazury%20Po&#322;udniowe\dane\skolaryzacja.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G:\Mazury%20Po&#322;udniowe\dane\Uczniowie%20w%20ponadgimnazjalnych%20i%20ponadpodstawowych%20szko&#322;ach%20dla%20m&#322;odzie&#380;y%20(bez%20szk&#243;&#322;%20specjalnych)%20wed&#322;ug%20podgrup%20kierunk&#243;w%20kszta&#322;cenia%20ISCED-F%20-%202013.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file:///G:\Mazury%20Po&#322;udniowe\dane\Podstawowa%20opieka%20zdrowotna%20-%20porady.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file:///G:\Mazury%20Po&#322;udniowe\dane\Lekarze%20-%20wska&#378;niki.xlsx"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file:///G:\Mazury%20Po&#322;udniowe\dane\Lekarze%20-%20wska&#378;niki.xlsx" TargetMode="External"/><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oleObject" Target="file:///G:\Mazury%20Po&#322;udniowe\dane\Rodziny,%20kt&#243;rym%20na%20podstawie%20decyzji%20przyznano%20pomoc%20wg%20przyczyn.xlsx" TargetMode="External"/><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oleObject" Target="file:///G:\Mazury%20Po&#322;udniowe\dane\Beneficjenci%20&#347;rodowiskowej%20pomocy%20spo&#322;ecznej%20-%20wska&#378;niki.xlsx" TargetMode="External"/><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oleObject" Target="file:///G:\Mazury%20Po&#322;udniowe\dane\EMISJA%20ZANIECZYSZCZE&#323;%20POWIETRZA%20Z%20ZAK&#321;AD&#211;W%20SZCZEG&#211;LNIE%20UCI&#260;&#379;LIWYCH_przestawna.xlsx"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oleObject" Target="file:///G:\Mazury%20Po&#322;udniowe\dane\Dochody%20na%201%20mieszka&#324;ca.xlsx" TargetMode="External"/><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oleObject" Target="file:///G:\Mazury%20Po&#322;udniowe\dane\Finanse_analiza.xlsx" TargetMode="External"/><Relationship Id="rId2" Type="http://schemas.microsoft.com/office/2011/relationships/chartColorStyle" Target="colors21.xml"/><Relationship Id="rId1" Type="http://schemas.microsoft.com/office/2011/relationships/chartStyle" Target="style21.xml"/></Relationships>
</file>

<file path=word/charts/_rels/chart22.xml.rels><?xml version="1.0" encoding="UTF-8" standalone="yes"?>
<Relationships xmlns="http://schemas.openxmlformats.org/package/2006/relationships"><Relationship Id="rId3" Type="http://schemas.openxmlformats.org/officeDocument/2006/relationships/oleObject" Target="file:///G:\Mazury%20Po&#322;udniowe\dane\Dochody%20na%201%20mieszka&#324;ca.xlsx" TargetMode="External"/><Relationship Id="rId2" Type="http://schemas.microsoft.com/office/2011/relationships/chartColorStyle" Target="colors22.xml"/><Relationship Id="rId1" Type="http://schemas.microsoft.com/office/2011/relationships/chartStyle" Target="style22.xml"/></Relationships>
</file>

<file path=word/charts/_rels/chart23.xml.rels><?xml version="1.0" encoding="UTF-8" standalone="yes"?>
<Relationships xmlns="http://schemas.openxmlformats.org/package/2006/relationships"><Relationship Id="rId3" Type="http://schemas.openxmlformats.org/officeDocument/2006/relationships/oleObject" Target="file:///G:\Mazury%20Po&#322;udniowe\dane\Wydatki%20na%201%20mieszka&#324;ca.xlsx" TargetMode="External"/><Relationship Id="rId2" Type="http://schemas.microsoft.com/office/2011/relationships/chartColorStyle" Target="colors23.xml"/><Relationship Id="rId1" Type="http://schemas.microsoft.com/office/2011/relationships/chartStyle" Target="style23.xml"/></Relationships>
</file>

<file path=word/charts/_rels/chart24.xml.rels><?xml version="1.0" encoding="UTF-8" standalone="yes"?>
<Relationships xmlns="http://schemas.openxmlformats.org/package/2006/relationships"><Relationship Id="rId3" Type="http://schemas.openxmlformats.org/officeDocument/2006/relationships/oleObject" Target="file:///G:\Mazury%20Po&#322;udniowe\dane\zrobione\Finanse_analiza.xlsx" TargetMode="External"/><Relationship Id="rId2" Type="http://schemas.microsoft.com/office/2011/relationships/chartColorStyle" Target="colors24.xml"/><Relationship Id="rId1" Type="http://schemas.microsoft.com/office/2011/relationships/chartStyle" Target="style24.xml"/></Relationships>
</file>

<file path=word/charts/_rels/chart25.xml.rels><?xml version="1.0" encoding="UTF-8" standalone="yes"?>
<Relationships xmlns="http://schemas.openxmlformats.org/package/2006/relationships"><Relationship Id="rId3" Type="http://schemas.openxmlformats.org/officeDocument/2006/relationships/oleObject" Target="file:///C:\Users\linia\Desktop\Kopia%20Total.xlsx" TargetMode="External"/><Relationship Id="rId2" Type="http://schemas.microsoft.com/office/2011/relationships/chartColorStyle" Target="colors25.xml"/><Relationship Id="rId1" Type="http://schemas.microsoft.com/office/2011/relationships/chartStyle" Target="style25.xml"/></Relationships>
</file>

<file path=word/charts/_rels/chart26.xml.rels><?xml version="1.0" encoding="UTF-8" standalone="yes"?>
<Relationships xmlns="http://schemas.openxmlformats.org/package/2006/relationships"><Relationship Id="rId3" Type="http://schemas.openxmlformats.org/officeDocument/2006/relationships/oleObject" Target="file:///C:\Users\linia\Desktop\Kopia%20Total.xlsx" TargetMode="External"/><Relationship Id="rId2" Type="http://schemas.microsoft.com/office/2011/relationships/chartColorStyle" Target="colors26.xml"/><Relationship Id="rId1" Type="http://schemas.microsoft.com/office/2011/relationships/chartStyle" Target="style26.xml"/></Relationships>
</file>

<file path=word/charts/_rels/chart27.xml.rels><?xml version="1.0" encoding="UTF-8" standalone="yes"?>
<Relationships xmlns="http://schemas.openxmlformats.org/package/2006/relationships"><Relationship Id="rId3" Type="http://schemas.openxmlformats.org/officeDocument/2006/relationships/oleObject" Target="file:///C:\Users\linia\Desktop\Kopia%20Total.xlsx" TargetMode="External"/><Relationship Id="rId2" Type="http://schemas.microsoft.com/office/2011/relationships/chartColorStyle" Target="colors27.xml"/><Relationship Id="rId1" Type="http://schemas.microsoft.com/office/2011/relationships/chartStyle" Target="style27.xml"/></Relationships>
</file>

<file path=word/charts/_rels/chart28.xml.rels><?xml version="1.0" encoding="UTF-8" standalone="yes"?>
<Relationships xmlns="http://schemas.openxmlformats.org/package/2006/relationships"><Relationship Id="rId3" Type="http://schemas.openxmlformats.org/officeDocument/2006/relationships/oleObject" Target="file:///C:\Users\linia\Desktop\Kopia%20Total.xlsx" TargetMode="External"/><Relationship Id="rId2" Type="http://schemas.microsoft.com/office/2011/relationships/chartColorStyle" Target="colors28.xml"/><Relationship Id="rId1" Type="http://schemas.microsoft.com/office/2011/relationships/chartStyle" Target="style28.xml"/></Relationships>
</file>

<file path=word/charts/_rels/chart29.xml.rels><?xml version="1.0" encoding="UTF-8" standalone="yes"?>
<Relationships xmlns="http://schemas.openxmlformats.org/package/2006/relationships"><Relationship Id="rId3" Type="http://schemas.openxmlformats.org/officeDocument/2006/relationships/oleObject" Target="file:///C:\Users\linia\Desktop\Kopia%20Total.xlsx" TargetMode="External"/><Relationship Id="rId2" Type="http://schemas.microsoft.com/office/2011/relationships/chartColorStyle" Target="colors29.xml"/><Relationship Id="rId1" Type="http://schemas.microsoft.com/office/2011/relationships/chartStyle" Target="style29.xml"/></Relationships>
</file>

<file path=word/charts/_rels/chart3.xml.rels><?xml version="1.0" encoding="UTF-8" standalone="yes"?>
<Relationships xmlns="http://schemas.openxmlformats.org/package/2006/relationships"><Relationship Id="rId3" Type="http://schemas.openxmlformats.org/officeDocument/2006/relationships/oleObject" Target="file:///G:\Mazury%20Po&#322;udniowe\dane\EMISJA%20ZANIECZYSZCZE&#323;%20POWIETRZA%20Z%20ZAK&#321;AD&#211;W%20SZCZEG&#211;LNIE%20UCI&#260;&#379;LIWYCH_py&#322;owe.xlsx" TargetMode="External"/><Relationship Id="rId2" Type="http://schemas.microsoft.com/office/2011/relationships/chartColorStyle" Target="colors3.xml"/><Relationship Id="rId1" Type="http://schemas.microsoft.com/office/2011/relationships/chartStyle" Target="style3.xml"/></Relationships>
</file>

<file path=word/charts/_rels/chart30.xml.rels><?xml version="1.0" encoding="UTF-8" standalone="yes"?>
<Relationships xmlns="http://schemas.openxmlformats.org/package/2006/relationships"><Relationship Id="rId3" Type="http://schemas.openxmlformats.org/officeDocument/2006/relationships/oleObject" Target="file:///C:\Users\linia\Desktop\Kopia%20Total.xlsx" TargetMode="External"/><Relationship Id="rId2" Type="http://schemas.microsoft.com/office/2011/relationships/chartColorStyle" Target="colors30.xml"/><Relationship Id="rId1" Type="http://schemas.microsoft.com/office/2011/relationships/chartStyle" Target="style30.xml"/></Relationships>
</file>

<file path=word/charts/_rels/chart31.xml.rels><?xml version="1.0" encoding="UTF-8" standalone="yes"?>
<Relationships xmlns="http://schemas.openxmlformats.org/package/2006/relationships"><Relationship Id="rId3" Type="http://schemas.openxmlformats.org/officeDocument/2006/relationships/oleObject" Target="file:///C:\Users\Admin\AppData\Local\Microsoft\Windows\INetCache\Content.Outlook\UI41XGD5\Kopia%20Total.xlsx" TargetMode="External"/><Relationship Id="rId2" Type="http://schemas.microsoft.com/office/2011/relationships/chartColorStyle" Target="colors31.xml"/><Relationship Id="rId1" Type="http://schemas.microsoft.com/office/2011/relationships/chartStyle" Target="style31.xml"/></Relationships>
</file>

<file path=word/charts/_rels/chart32.xml.rels><?xml version="1.0" encoding="UTF-8" standalone="yes"?>
<Relationships xmlns="http://schemas.openxmlformats.org/package/2006/relationships"><Relationship Id="rId3" Type="http://schemas.openxmlformats.org/officeDocument/2006/relationships/oleObject" Target="Zeszyt2" TargetMode="External"/><Relationship Id="rId2" Type="http://schemas.microsoft.com/office/2011/relationships/chartColorStyle" Target="colors32.xml"/><Relationship Id="rId1" Type="http://schemas.microsoft.com/office/2011/relationships/chartStyle" Target="style32.xml"/></Relationships>
</file>

<file path=word/charts/_rels/chart33.xml.rels><?xml version="1.0" encoding="UTF-8" standalone="yes"?>
<Relationships xmlns="http://schemas.openxmlformats.org/package/2006/relationships"><Relationship Id="rId3" Type="http://schemas.openxmlformats.org/officeDocument/2006/relationships/oleObject" Target="Zeszyt2" TargetMode="External"/><Relationship Id="rId2" Type="http://schemas.microsoft.com/office/2011/relationships/chartColorStyle" Target="colors33.xml"/><Relationship Id="rId1" Type="http://schemas.microsoft.com/office/2011/relationships/chartStyle" Target="style33.xml"/></Relationships>
</file>

<file path=word/charts/_rels/chart34.xml.rels><?xml version="1.0" encoding="UTF-8" standalone="yes"?>
<Relationships xmlns="http://schemas.openxmlformats.org/package/2006/relationships"><Relationship Id="rId3" Type="http://schemas.openxmlformats.org/officeDocument/2006/relationships/oleObject" Target="Zeszyt2" TargetMode="External"/><Relationship Id="rId2" Type="http://schemas.microsoft.com/office/2011/relationships/chartColorStyle" Target="colors34.xml"/><Relationship Id="rId1" Type="http://schemas.microsoft.com/office/2011/relationships/chartStyle" Target="style34.xml"/></Relationships>
</file>

<file path=word/charts/_rels/chart35.xml.rels><?xml version="1.0" encoding="UTF-8" standalone="yes"?>
<Relationships xmlns="http://schemas.openxmlformats.org/package/2006/relationships"><Relationship Id="rId3" Type="http://schemas.openxmlformats.org/officeDocument/2006/relationships/oleObject" Target="Zeszyt2" TargetMode="External"/><Relationship Id="rId2" Type="http://schemas.microsoft.com/office/2011/relationships/chartColorStyle" Target="colors35.xml"/><Relationship Id="rId1" Type="http://schemas.microsoft.com/office/2011/relationships/chartStyle" Target="style35.xml"/></Relationships>
</file>

<file path=word/charts/_rels/chart36.xml.rels><?xml version="1.0" encoding="UTF-8" standalone="yes"?>
<Relationships xmlns="http://schemas.openxmlformats.org/package/2006/relationships"><Relationship Id="rId3" Type="http://schemas.openxmlformats.org/officeDocument/2006/relationships/oleObject" Target="file:///C:\Users\linia\Desktop\ankieta_mazury_mieszkancy_OTWARTE.xlsx" TargetMode="External"/><Relationship Id="rId2" Type="http://schemas.microsoft.com/office/2011/relationships/chartColorStyle" Target="colors36.xml"/><Relationship Id="rId1" Type="http://schemas.microsoft.com/office/2011/relationships/chartStyle" Target="style36.xml"/></Relationships>
</file>

<file path=word/charts/_rels/chart37.xml.rels><?xml version="1.0" encoding="UTF-8" standalone="yes"?>
<Relationships xmlns="http://schemas.openxmlformats.org/package/2006/relationships"><Relationship Id="rId3" Type="http://schemas.openxmlformats.org/officeDocument/2006/relationships/oleObject" Target="file:///C:\Users\linia\Desktop\ankieta_mazury_mieszkancy_OTWARTE.xlsx" TargetMode="External"/><Relationship Id="rId2" Type="http://schemas.microsoft.com/office/2011/relationships/chartColorStyle" Target="colors37.xml"/><Relationship Id="rId1" Type="http://schemas.microsoft.com/office/2011/relationships/chartStyle" Target="style37.xml"/></Relationships>
</file>

<file path=word/charts/_rels/chart38.xml.rels><?xml version="1.0" encoding="UTF-8" standalone="yes"?>
<Relationships xmlns="http://schemas.openxmlformats.org/package/2006/relationships"><Relationship Id="rId3" Type="http://schemas.openxmlformats.org/officeDocument/2006/relationships/oleObject" Target="file:///\\192.168.147.1\delta\PROJEKTY%20-%20SEKTOR%20PUBLICZNY\STRATEGIE%20ZIT\ZIT%20Strategia%20Rozwoju%20Obszaru%20Funkcjonalnego%20Po&#322;udniowe%20Mazury%202030\Ankieta%20-%20opracowanie\ankieta_mazury_mieszkancy_2020-09-09%2007_31_18.xlsx" TargetMode="External"/><Relationship Id="rId2" Type="http://schemas.microsoft.com/office/2011/relationships/chartColorStyle" Target="colors38.xml"/><Relationship Id="rId1" Type="http://schemas.microsoft.com/office/2011/relationships/chartStyle" Target="style38.xml"/></Relationships>
</file>

<file path=word/charts/_rels/chart39.xml.rels><?xml version="1.0" encoding="UTF-8" standalone="yes"?>
<Relationships xmlns="http://schemas.openxmlformats.org/package/2006/relationships"><Relationship Id="rId3" Type="http://schemas.openxmlformats.org/officeDocument/2006/relationships/oleObject" Target="file:///C:\Users\linia\Desktop\Kopia%20Total.xlsx" TargetMode="External"/><Relationship Id="rId2" Type="http://schemas.microsoft.com/office/2011/relationships/chartColorStyle" Target="colors39.xml"/><Relationship Id="rId1" Type="http://schemas.microsoft.com/office/2011/relationships/chartStyle" Target="style39.xml"/></Relationships>
</file>

<file path=word/charts/_rels/chart4.xml.rels><?xml version="1.0" encoding="UTF-8" standalone="yes"?>
<Relationships xmlns="http://schemas.openxmlformats.org/package/2006/relationships"><Relationship Id="rId3" Type="http://schemas.openxmlformats.org/officeDocument/2006/relationships/oleObject" Target="file:///G:\Mazury%20Po&#322;udniowe\dane\ludno&#347;&#263;_miasto-wie&#347;.xlsx" TargetMode="External"/><Relationship Id="rId2" Type="http://schemas.microsoft.com/office/2011/relationships/chartColorStyle" Target="colors4.xml"/><Relationship Id="rId1" Type="http://schemas.microsoft.com/office/2011/relationships/chartStyle" Target="style4.xml"/></Relationships>
</file>

<file path=word/charts/_rels/chart40.xml.rels><?xml version="1.0" encoding="UTF-8" standalone="yes"?>
<Relationships xmlns="http://schemas.openxmlformats.org/package/2006/relationships"><Relationship Id="rId3" Type="http://schemas.openxmlformats.org/officeDocument/2006/relationships/oleObject" Target="file:///C:\Users\linia\Desktop\Kopia%20Total.xlsx" TargetMode="External"/><Relationship Id="rId2" Type="http://schemas.microsoft.com/office/2011/relationships/chartColorStyle" Target="colors40.xml"/><Relationship Id="rId1" Type="http://schemas.microsoft.com/office/2011/relationships/chartStyle" Target="style40.xml"/></Relationships>
</file>

<file path=word/charts/_rels/chart41.xml.rels><?xml version="1.0" encoding="UTF-8" standalone="yes"?>
<Relationships xmlns="http://schemas.openxmlformats.org/package/2006/relationships"><Relationship Id="rId3" Type="http://schemas.openxmlformats.org/officeDocument/2006/relationships/oleObject" Target="file:///C:\Users\linia\Desktop\Kopia%20Total.xlsx" TargetMode="External"/><Relationship Id="rId2" Type="http://schemas.microsoft.com/office/2011/relationships/chartColorStyle" Target="colors41.xml"/><Relationship Id="rId1" Type="http://schemas.microsoft.com/office/2011/relationships/chartStyle" Target="style41.xml"/></Relationships>
</file>

<file path=word/charts/_rels/chart5.xml.rels><?xml version="1.0" encoding="UTF-8" standalone="yes"?>
<Relationships xmlns="http://schemas.openxmlformats.org/package/2006/relationships"><Relationship Id="rId3" Type="http://schemas.openxmlformats.org/officeDocument/2006/relationships/oleObject" Target="file:///G:\Mazury%20Po&#322;udniowe\dane\ruch%20naturalny.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G:\Mazury%20Po&#322;udniowe\dane\ruch%20naturalny.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G:\Mazury%20Po&#322;udniowe\dane\ruch%20naturalny.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G:\Mazury%20Po&#322;udniowe\dane_Delta\DANE_Mazury%20Po&#322;udniowe_Edytowane_5.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G:\Mazury%20Po&#322;udniowe\dane_Delta\DANE_Mazury%20Po&#322;udniowe_Edytowane_5.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spPr>
            <a:ln>
              <a:noFill/>
            </a:ln>
          </c:spPr>
          <c:dPt>
            <c:idx val="0"/>
            <c:bubble3D val="0"/>
            <c:spPr>
              <a:solidFill>
                <a:schemeClr val="accent6"/>
              </a:solidFill>
              <a:ln w="19050">
                <a:noFill/>
              </a:ln>
              <a:effectLst/>
            </c:spPr>
            <c:extLst>
              <c:ext xmlns:c16="http://schemas.microsoft.com/office/drawing/2014/chart" uri="{C3380CC4-5D6E-409C-BE32-E72D297353CC}">
                <c16:uniqueId val="{00000001-2F93-4347-8863-FDA7006D5982}"/>
              </c:ext>
            </c:extLst>
          </c:dPt>
          <c:dPt>
            <c:idx val="1"/>
            <c:bubble3D val="0"/>
            <c:spPr>
              <a:solidFill>
                <a:srgbClr val="92D050"/>
              </a:solidFill>
              <a:ln w="19050">
                <a:noFill/>
              </a:ln>
              <a:effectLst/>
            </c:spPr>
            <c:extLst>
              <c:ext xmlns:c16="http://schemas.microsoft.com/office/drawing/2014/chart" uri="{C3380CC4-5D6E-409C-BE32-E72D297353CC}">
                <c16:uniqueId val="{00000003-2F93-4347-8863-FDA7006D5982}"/>
              </c:ext>
            </c:extLst>
          </c:dPt>
          <c:dPt>
            <c:idx val="2"/>
            <c:bubble3D val="0"/>
            <c:spPr>
              <a:solidFill>
                <a:schemeClr val="accent6">
                  <a:lumMod val="20000"/>
                  <a:lumOff val="80000"/>
                </a:schemeClr>
              </a:solidFill>
              <a:ln w="19050">
                <a:noFill/>
              </a:ln>
              <a:effectLst/>
            </c:spPr>
            <c:extLst>
              <c:ext xmlns:c16="http://schemas.microsoft.com/office/drawing/2014/chart" uri="{C3380CC4-5D6E-409C-BE32-E72D297353CC}">
                <c16:uniqueId val="{00000005-2F93-4347-8863-FDA7006D5982}"/>
              </c:ext>
            </c:extLst>
          </c:dPt>
          <c:dPt>
            <c:idx val="3"/>
            <c:bubble3D val="0"/>
            <c:spPr>
              <a:solidFill>
                <a:srgbClr val="C7A2E2"/>
              </a:solidFill>
              <a:ln w="19050">
                <a:noFill/>
              </a:ln>
              <a:effectLst/>
            </c:spPr>
            <c:extLst>
              <c:ext xmlns:c16="http://schemas.microsoft.com/office/drawing/2014/chart" uri="{C3380CC4-5D6E-409C-BE32-E72D297353CC}">
                <c16:uniqueId val="{00000007-2F93-4347-8863-FDA7006D5982}"/>
              </c:ext>
            </c:extLst>
          </c:dPt>
          <c:dPt>
            <c:idx val="4"/>
            <c:bubble3D val="0"/>
            <c:spPr>
              <a:solidFill>
                <a:schemeClr val="accent5">
                  <a:lumMod val="60000"/>
                </a:schemeClr>
              </a:solidFill>
              <a:ln w="19050">
                <a:noFill/>
              </a:ln>
              <a:effectLst/>
            </c:spPr>
            <c:extLst>
              <c:ext xmlns:c16="http://schemas.microsoft.com/office/drawing/2014/chart" uri="{C3380CC4-5D6E-409C-BE32-E72D297353CC}">
                <c16:uniqueId val="{00000009-2F93-4347-8863-FDA7006D5982}"/>
              </c:ext>
            </c:extLst>
          </c:dPt>
          <c:dPt>
            <c:idx val="5"/>
            <c:bubble3D val="0"/>
            <c:spPr>
              <a:solidFill>
                <a:srgbClr val="00B0F0"/>
              </a:solidFill>
              <a:ln w="19050">
                <a:noFill/>
              </a:ln>
              <a:effectLst/>
            </c:spPr>
            <c:extLst>
              <c:ext xmlns:c16="http://schemas.microsoft.com/office/drawing/2014/chart" uri="{C3380CC4-5D6E-409C-BE32-E72D297353CC}">
                <c16:uniqueId val="{0000000B-2F93-4347-8863-FDA7006D5982}"/>
              </c:ext>
            </c:extLst>
          </c:dPt>
          <c:dPt>
            <c:idx val="6"/>
            <c:bubble3D val="0"/>
            <c:spPr>
              <a:solidFill>
                <a:schemeClr val="accent6">
                  <a:lumMod val="80000"/>
                  <a:lumOff val="20000"/>
                </a:schemeClr>
              </a:solidFill>
              <a:ln w="19050">
                <a:noFill/>
              </a:ln>
              <a:effectLst/>
            </c:spPr>
            <c:extLst>
              <c:ext xmlns:c16="http://schemas.microsoft.com/office/drawing/2014/chart" uri="{C3380CC4-5D6E-409C-BE32-E72D297353CC}">
                <c16:uniqueId val="{0000000D-2F93-4347-8863-FDA7006D5982}"/>
              </c:ext>
            </c:extLst>
          </c:dPt>
          <c:dLbls>
            <c:dLbl>
              <c:idx val="4"/>
              <c:layout>
                <c:manualLayout>
                  <c:x val="-2.9911715581006918E-2"/>
                  <c:y val="-2.3830267563109933E-3"/>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2F93-4347-8863-FDA7006D5982}"/>
                </c:ext>
              </c:extLst>
            </c:dLbl>
            <c:dLbl>
              <c:idx val="6"/>
              <c:layout>
                <c:manualLayout>
                  <c:x val="5.638110577086955E-2"/>
                  <c:y val="-7.4685340741593104E-3"/>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2F93-4347-8863-FDA7006D598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'2014'!$A$1:$A$7</c:f>
              <c:strCache>
                <c:ptCount val="7"/>
                <c:pt idx="0">
                  <c:v>użytki rolne razem</c:v>
                </c:pt>
                <c:pt idx="1">
                  <c:v>grunty leśne oraz zadrzewione i zakrzewione razem</c:v>
                </c:pt>
                <c:pt idx="2">
                  <c:v>grunty pod wodami razem</c:v>
                </c:pt>
                <c:pt idx="3">
                  <c:v>grunty zabudowane i zurbanizowane razem</c:v>
                </c:pt>
                <c:pt idx="4">
                  <c:v>użytki ekologiczne</c:v>
                </c:pt>
                <c:pt idx="5">
                  <c:v>grunty rolne - nieużytki</c:v>
                </c:pt>
                <c:pt idx="6">
                  <c:v>tereny różne</c:v>
                </c:pt>
              </c:strCache>
            </c:strRef>
          </c:cat>
          <c:val>
            <c:numRef>
              <c:f>'2014'!$B$1:$B$7</c:f>
              <c:numCache>
                <c:formatCode>#,##0.0</c:formatCode>
                <c:ptCount val="7"/>
                <c:pt idx="0">
                  <c:v>42.542989065090104</c:v>
                </c:pt>
                <c:pt idx="1">
                  <c:v>46.433170412424673</c:v>
                </c:pt>
                <c:pt idx="2">
                  <c:v>5.128451397633734</c:v>
                </c:pt>
                <c:pt idx="3">
                  <c:v>3.0627707937592041</c:v>
                </c:pt>
                <c:pt idx="4">
                  <c:v>0.1341073855107108</c:v>
                </c:pt>
                <c:pt idx="5">
                  <c:v>2.3177100007825895</c:v>
                </c:pt>
                <c:pt idx="6">
                  <c:v>0.38080094479898119</c:v>
                </c:pt>
              </c:numCache>
            </c:numRef>
          </c:val>
          <c:extLst>
            <c:ext xmlns:c16="http://schemas.microsoft.com/office/drawing/2014/chart" uri="{C3380CC4-5D6E-409C-BE32-E72D297353CC}">
              <c16:uniqueId val="{0000000E-2F93-4347-8863-FDA7006D5982}"/>
            </c:ext>
          </c:extLst>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Arkusz3!$A$2</c:f>
              <c:strCache>
                <c:ptCount val="1"/>
                <c:pt idx="0">
                  <c:v>Polska</c:v>
                </c:pt>
              </c:strCache>
            </c:strRef>
          </c:tx>
          <c:spPr>
            <a:ln w="28575" cap="rnd">
              <a:solidFill>
                <a:schemeClr val="tx1"/>
              </a:solidFill>
              <a:round/>
            </a:ln>
            <a:effectLst/>
          </c:spPr>
          <c:marker>
            <c:symbol val="none"/>
          </c:marker>
          <c:cat>
            <c:strRef>
              <c:f>Arkusz3!$B$1:$K$1</c:f>
              <c:strCache>
                <c:ptCount val="10"/>
                <c:pt idx="0">
                  <c:v>2010</c:v>
                </c:pt>
                <c:pt idx="1">
                  <c:v>2011</c:v>
                </c:pt>
                <c:pt idx="2">
                  <c:v>2012</c:v>
                </c:pt>
                <c:pt idx="3">
                  <c:v>2013</c:v>
                </c:pt>
                <c:pt idx="4">
                  <c:v>2014</c:v>
                </c:pt>
                <c:pt idx="5">
                  <c:v>2015</c:v>
                </c:pt>
                <c:pt idx="6">
                  <c:v>2016</c:v>
                </c:pt>
                <c:pt idx="7">
                  <c:v>2017</c:v>
                </c:pt>
                <c:pt idx="8">
                  <c:v>2018</c:v>
                </c:pt>
                <c:pt idx="9">
                  <c:v>2019</c:v>
                </c:pt>
              </c:strCache>
            </c:strRef>
          </c:cat>
          <c:val>
            <c:numRef>
              <c:f>Arkusz3!$B$2:$K$2</c:f>
              <c:numCache>
                <c:formatCode>General</c:formatCode>
                <c:ptCount val="10"/>
                <c:pt idx="0">
                  <c:v>100</c:v>
                </c:pt>
                <c:pt idx="1">
                  <c:v>100</c:v>
                </c:pt>
                <c:pt idx="2">
                  <c:v>100</c:v>
                </c:pt>
                <c:pt idx="3">
                  <c:v>100</c:v>
                </c:pt>
                <c:pt idx="4">
                  <c:v>100</c:v>
                </c:pt>
                <c:pt idx="5">
                  <c:v>100</c:v>
                </c:pt>
                <c:pt idx="6">
                  <c:v>100</c:v>
                </c:pt>
                <c:pt idx="7">
                  <c:v>100</c:v>
                </c:pt>
                <c:pt idx="8">
                  <c:v>100</c:v>
                </c:pt>
                <c:pt idx="9">
                  <c:v>100</c:v>
                </c:pt>
              </c:numCache>
            </c:numRef>
          </c:val>
          <c:smooth val="0"/>
          <c:extLst>
            <c:ext xmlns:c16="http://schemas.microsoft.com/office/drawing/2014/chart" uri="{C3380CC4-5D6E-409C-BE32-E72D297353CC}">
              <c16:uniqueId val="{00000000-9213-4069-85CF-167A6DAA1759}"/>
            </c:ext>
          </c:extLst>
        </c:ser>
        <c:ser>
          <c:idx val="1"/>
          <c:order val="1"/>
          <c:tx>
            <c:strRef>
              <c:f>Arkusz3!$A$3</c:f>
              <c:strCache>
                <c:ptCount val="1"/>
                <c:pt idx="0">
                  <c:v>Powiat działdowski</c:v>
                </c:pt>
              </c:strCache>
            </c:strRef>
          </c:tx>
          <c:spPr>
            <a:ln w="28575" cap="rnd">
              <a:solidFill>
                <a:schemeClr val="accent2"/>
              </a:solidFill>
              <a:round/>
            </a:ln>
            <a:effectLst/>
          </c:spPr>
          <c:marker>
            <c:symbol val="none"/>
          </c:marker>
          <c:cat>
            <c:strRef>
              <c:f>Arkusz3!$B$1:$K$1</c:f>
              <c:strCache>
                <c:ptCount val="10"/>
                <c:pt idx="0">
                  <c:v>2010</c:v>
                </c:pt>
                <c:pt idx="1">
                  <c:v>2011</c:v>
                </c:pt>
                <c:pt idx="2">
                  <c:v>2012</c:v>
                </c:pt>
                <c:pt idx="3">
                  <c:v>2013</c:v>
                </c:pt>
                <c:pt idx="4">
                  <c:v>2014</c:v>
                </c:pt>
                <c:pt idx="5">
                  <c:v>2015</c:v>
                </c:pt>
                <c:pt idx="6">
                  <c:v>2016</c:v>
                </c:pt>
                <c:pt idx="7">
                  <c:v>2017</c:v>
                </c:pt>
                <c:pt idx="8">
                  <c:v>2018</c:v>
                </c:pt>
                <c:pt idx="9">
                  <c:v>2019</c:v>
                </c:pt>
              </c:strCache>
            </c:strRef>
          </c:cat>
          <c:val>
            <c:numRef>
              <c:f>Arkusz3!$B$3:$K$3</c:f>
              <c:numCache>
                <c:formatCode>General</c:formatCode>
                <c:ptCount val="10"/>
                <c:pt idx="0">
                  <c:v>77.5</c:v>
                </c:pt>
                <c:pt idx="1">
                  <c:v>72.7</c:v>
                </c:pt>
                <c:pt idx="2">
                  <c:v>76.7</c:v>
                </c:pt>
                <c:pt idx="3">
                  <c:v>76</c:v>
                </c:pt>
                <c:pt idx="4">
                  <c:v>76.099999999999994</c:v>
                </c:pt>
                <c:pt idx="5">
                  <c:v>76.599999999999994</c:v>
                </c:pt>
                <c:pt idx="6">
                  <c:v>77</c:v>
                </c:pt>
                <c:pt idx="7">
                  <c:v>76.2</c:v>
                </c:pt>
                <c:pt idx="8">
                  <c:v>76.5</c:v>
                </c:pt>
                <c:pt idx="9">
                  <c:v>74.900000000000006</c:v>
                </c:pt>
              </c:numCache>
            </c:numRef>
          </c:val>
          <c:smooth val="0"/>
          <c:extLst>
            <c:ext xmlns:c16="http://schemas.microsoft.com/office/drawing/2014/chart" uri="{C3380CC4-5D6E-409C-BE32-E72D297353CC}">
              <c16:uniqueId val="{00000001-9213-4069-85CF-167A6DAA1759}"/>
            </c:ext>
          </c:extLst>
        </c:ser>
        <c:ser>
          <c:idx val="2"/>
          <c:order val="2"/>
          <c:tx>
            <c:strRef>
              <c:f>Arkusz3!$A$4</c:f>
              <c:strCache>
                <c:ptCount val="1"/>
                <c:pt idx="0">
                  <c:v>Powiat nidzicki</c:v>
                </c:pt>
              </c:strCache>
            </c:strRef>
          </c:tx>
          <c:spPr>
            <a:ln w="28575" cap="rnd">
              <a:solidFill>
                <a:schemeClr val="accent3"/>
              </a:solidFill>
              <a:round/>
            </a:ln>
            <a:effectLst/>
          </c:spPr>
          <c:marker>
            <c:symbol val="none"/>
          </c:marker>
          <c:cat>
            <c:strRef>
              <c:f>Arkusz3!$B$1:$K$1</c:f>
              <c:strCache>
                <c:ptCount val="10"/>
                <c:pt idx="0">
                  <c:v>2010</c:v>
                </c:pt>
                <c:pt idx="1">
                  <c:v>2011</c:v>
                </c:pt>
                <c:pt idx="2">
                  <c:v>2012</c:v>
                </c:pt>
                <c:pt idx="3">
                  <c:v>2013</c:v>
                </c:pt>
                <c:pt idx="4">
                  <c:v>2014</c:v>
                </c:pt>
                <c:pt idx="5">
                  <c:v>2015</c:v>
                </c:pt>
                <c:pt idx="6">
                  <c:v>2016</c:v>
                </c:pt>
                <c:pt idx="7">
                  <c:v>2017</c:v>
                </c:pt>
                <c:pt idx="8">
                  <c:v>2018</c:v>
                </c:pt>
                <c:pt idx="9">
                  <c:v>2019</c:v>
                </c:pt>
              </c:strCache>
            </c:strRef>
          </c:cat>
          <c:val>
            <c:numRef>
              <c:f>Arkusz3!$B$4:$K$4</c:f>
              <c:numCache>
                <c:formatCode>General</c:formatCode>
                <c:ptCount val="10"/>
                <c:pt idx="0">
                  <c:v>73.2</c:v>
                </c:pt>
                <c:pt idx="1">
                  <c:v>74</c:v>
                </c:pt>
                <c:pt idx="2">
                  <c:v>74.900000000000006</c:v>
                </c:pt>
                <c:pt idx="3">
                  <c:v>74.2</c:v>
                </c:pt>
                <c:pt idx="4">
                  <c:v>74.3</c:v>
                </c:pt>
                <c:pt idx="5">
                  <c:v>74.2</c:v>
                </c:pt>
                <c:pt idx="6">
                  <c:v>74.7</c:v>
                </c:pt>
                <c:pt idx="7">
                  <c:v>73.7</c:v>
                </c:pt>
                <c:pt idx="8">
                  <c:v>74.400000000000006</c:v>
                </c:pt>
                <c:pt idx="9">
                  <c:v>74.400000000000006</c:v>
                </c:pt>
              </c:numCache>
            </c:numRef>
          </c:val>
          <c:smooth val="0"/>
          <c:extLst>
            <c:ext xmlns:c16="http://schemas.microsoft.com/office/drawing/2014/chart" uri="{C3380CC4-5D6E-409C-BE32-E72D297353CC}">
              <c16:uniqueId val="{00000002-9213-4069-85CF-167A6DAA1759}"/>
            </c:ext>
          </c:extLst>
        </c:ser>
        <c:ser>
          <c:idx val="3"/>
          <c:order val="3"/>
          <c:tx>
            <c:strRef>
              <c:f>Arkusz3!$A$5</c:f>
              <c:strCache>
                <c:ptCount val="1"/>
                <c:pt idx="0">
                  <c:v>Powiat piski</c:v>
                </c:pt>
              </c:strCache>
            </c:strRef>
          </c:tx>
          <c:spPr>
            <a:ln w="28575" cap="rnd">
              <a:solidFill>
                <a:schemeClr val="accent6"/>
              </a:solidFill>
              <a:round/>
            </a:ln>
            <a:effectLst/>
          </c:spPr>
          <c:marker>
            <c:symbol val="none"/>
          </c:marker>
          <c:cat>
            <c:strRef>
              <c:f>Arkusz3!$B$1:$K$1</c:f>
              <c:strCache>
                <c:ptCount val="10"/>
                <c:pt idx="0">
                  <c:v>2010</c:v>
                </c:pt>
                <c:pt idx="1">
                  <c:v>2011</c:v>
                </c:pt>
                <c:pt idx="2">
                  <c:v>2012</c:v>
                </c:pt>
                <c:pt idx="3">
                  <c:v>2013</c:v>
                </c:pt>
                <c:pt idx="4">
                  <c:v>2014</c:v>
                </c:pt>
                <c:pt idx="5">
                  <c:v>2015</c:v>
                </c:pt>
                <c:pt idx="6">
                  <c:v>2016</c:v>
                </c:pt>
                <c:pt idx="7">
                  <c:v>2017</c:v>
                </c:pt>
                <c:pt idx="8">
                  <c:v>2018</c:v>
                </c:pt>
                <c:pt idx="9">
                  <c:v>2019</c:v>
                </c:pt>
              </c:strCache>
            </c:strRef>
          </c:cat>
          <c:val>
            <c:numRef>
              <c:f>Arkusz3!$B$5:$K$5</c:f>
              <c:numCache>
                <c:formatCode>General</c:formatCode>
                <c:ptCount val="10"/>
                <c:pt idx="0">
                  <c:v>79.400000000000006</c:v>
                </c:pt>
                <c:pt idx="1">
                  <c:v>80.599999999999994</c:v>
                </c:pt>
                <c:pt idx="2">
                  <c:v>81.2</c:v>
                </c:pt>
                <c:pt idx="3">
                  <c:v>80.900000000000006</c:v>
                </c:pt>
                <c:pt idx="4">
                  <c:v>81.7</c:v>
                </c:pt>
                <c:pt idx="5">
                  <c:v>83</c:v>
                </c:pt>
                <c:pt idx="6">
                  <c:v>83</c:v>
                </c:pt>
                <c:pt idx="7">
                  <c:v>83.7</c:v>
                </c:pt>
                <c:pt idx="8">
                  <c:v>81.599999999999994</c:v>
                </c:pt>
                <c:pt idx="9">
                  <c:v>82.6</c:v>
                </c:pt>
              </c:numCache>
            </c:numRef>
          </c:val>
          <c:smooth val="0"/>
          <c:extLst>
            <c:ext xmlns:c16="http://schemas.microsoft.com/office/drawing/2014/chart" uri="{C3380CC4-5D6E-409C-BE32-E72D297353CC}">
              <c16:uniqueId val="{00000003-9213-4069-85CF-167A6DAA1759}"/>
            </c:ext>
          </c:extLst>
        </c:ser>
        <c:ser>
          <c:idx val="4"/>
          <c:order val="4"/>
          <c:tx>
            <c:strRef>
              <c:f>Arkusz3!$A$6</c:f>
              <c:strCache>
                <c:ptCount val="1"/>
                <c:pt idx="0">
                  <c:v>Powiat szczycieński</c:v>
                </c:pt>
              </c:strCache>
            </c:strRef>
          </c:tx>
          <c:spPr>
            <a:ln w="28575" cap="rnd">
              <a:solidFill>
                <a:schemeClr val="accent5"/>
              </a:solidFill>
              <a:round/>
            </a:ln>
            <a:effectLst/>
          </c:spPr>
          <c:marker>
            <c:symbol val="none"/>
          </c:marker>
          <c:cat>
            <c:strRef>
              <c:f>Arkusz3!$B$1:$K$1</c:f>
              <c:strCache>
                <c:ptCount val="10"/>
                <c:pt idx="0">
                  <c:v>2010</c:v>
                </c:pt>
                <c:pt idx="1">
                  <c:v>2011</c:v>
                </c:pt>
                <c:pt idx="2">
                  <c:v>2012</c:v>
                </c:pt>
                <c:pt idx="3">
                  <c:v>2013</c:v>
                </c:pt>
                <c:pt idx="4">
                  <c:v>2014</c:v>
                </c:pt>
                <c:pt idx="5">
                  <c:v>2015</c:v>
                </c:pt>
                <c:pt idx="6">
                  <c:v>2016</c:v>
                </c:pt>
                <c:pt idx="7">
                  <c:v>2017</c:v>
                </c:pt>
                <c:pt idx="8">
                  <c:v>2018</c:v>
                </c:pt>
                <c:pt idx="9">
                  <c:v>2019</c:v>
                </c:pt>
              </c:strCache>
            </c:strRef>
          </c:cat>
          <c:val>
            <c:numRef>
              <c:f>Arkusz3!$B$6:$K$6</c:f>
              <c:numCache>
                <c:formatCode>0.0</c:formatCode>
                <c:ptCount val="10"/>
                <c:pt idx="0">
                  <c:v>81</c:v>
                </c:pt>
                <c:pt idx="1">
                  <c:v>84</c:v>
                </c:pt>
                <c:pt idx="2">
                  <c:v>84.2</c:v>
                </c:pt>
                <c:pt idx="3">
                  <c:v>83.6</c:v>
                </c:pt>
                <c:pt idx="4">
                  <c:v>85.2</c:v>
                </c:pt>
                <c:pt idx="5">
                  <c:v>83.9</c:v>
                </c:pt>
                <c:pt idx="6">
                  <c:v>82.5</c:v>
                </c:pt>
                <c:pt idx="7">
                  <c:v>81.7</c:v>
                </c:pt>
                <c:pt idx="8">
                  <c:v>80.099999999999994</c:v>
                </c:pt>
                <c:pt idx="9">
                  <c:v>80.599999999999994</c:v>
                </c:pt>
              </c:numCache>
            </c:numRef>
          </c:val>
          <c:smooth val="0"/>
          <c:extLst>
            <c:ext xmlns:c16="http://schemas.microsoft.com/office/drawing/2014/chart" uri="{C3380CC4-5D6E-409C-BE32-E72D297353CC}">
              <c16:uniqueId val="{00000004-9213-4069-85CF-167A6DAA1759}"/>
            </c:ext>
          </c:extLst>
        </c:ser>
        <c:dLbls>
          <c:showLegendKey val="0"/>
          <c:showVal val="0"/>
          <c:showCatName val="0"/>
          <c:showSerName val="0"/>
          <c:showPercent val="0"/>
          <c:showBubbleSize val="0"/>
        </c:dLbls>
        <c:smooth val="0"/>
        <c:axId val="513431808"/>
        <c:axId val="513435728"/>
      </c:lineChart>
      <c:catAx>
        <c:axId val="5134318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13435728"/>
        <c:crosses val="autoZero"/>
        <c:auto val="1"/>
        <c:lblAlgn val="ctr"/>
        <c:lblOffset val="100"/>
        <c:noMultiLvlLbl val="0"/>
      </c:catAx>
      <c:valAx>
        <c:axId val="513435728"/>
        <c:scaling>
          <c:orientation val="minMax"/>
          <c:min val="65"/>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134318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wykresy!$A$3</c:f>
              <c:strCache>
                <c:ptCount val="1"/>
                <c:pt idx="0">
                  <c:v>Powiat działdowski</c:v>
                </c:pt>
              </c:strCache>
            </c:strRef>
          </c:tx>
          <c:spPr>
            <a:solidFill>
              <a:schemeClr val="accent1"/>
            </a:solidFill>
            <a:ln>
              <a:noFill/>
            </a:ln>
            <a:effectLst/>
          </c:spPr>
          <c:invertIfNegative val="0"/>
          <c:cat>
            <c:multiLvlStrRef>
              <c:f>wykresy!$B$1:$U$2</c:f>
              <c:multiLvlStrCache>
                <c:ptCount val="20"/>
                <c:lvl>
                  <c:pt idx="0">
                    <c:v>2010</c:v>
                  </c:pt>
                  <c:pt idx="1">
                    <c:v>2011</c:v>
                  </c:pt>
                  <c:pt idx="2">
                    <c:v>2012</c:v>
                  </c:pt>
                  <c:pt idx="3">
                    <c:v>2013</c:v>
                  </c:pt>
                  <c:pt idx="4">
                    <c:v>2014</c:v>
                  </c:pt>
                  <c:pt idx="5">
                    <c:v>2015</c:v>
                  </c:pt>
                  <c:pt idx="6">
                    <c:v>2016</c:v>
                  </c:pt>
                  <c:pt idx="7">
                    <c:v>2017</c:v>
                  </c:pt>
                  <c:pt idx="8">
                    <c:v>2018</c:v>
                  </c:pt>
                  <c:pt idx="9">
                    <c:v>2019</c:v>
                  </c:pt>
                  <c:pt idx="10">
                    <c:v>2010</c:v>
                  </c:pt>
                  <c:pt idx="11">
                    <c:v>2011</c:v>
                  </c:pt>
                  <c:pt idx="12">
                    <c:v>2012</c:v>
                  </c:pt>
                  <c:pt idx="13">
                    <c:v>2013</c:v>
                  </c:pt>
                  <c:pt idx="14">
                    <c:v>2014</c:v>
                  </c:pt>
                  <c:pt idx="15">
                    <c:v>2015</c:v>
                  </c:pt>
                  <c:pt idx="16">
                    <c:v>2016</c:v>
                  </c:pt>
                  <c:pt idx="17">
                    <c:v>2017</c:v>
                  </c:pt>
                  <c:pt idx="18">
                    <c:v>2018</c:v>
                  </c:pt>
                  <c:pt idx="19">
                    <c:v>2019</c:v>
                  </c:pt>
                </c:lvl>
                <c:lvl>
                  <c:pt idx="0">
                    <c:v>sieć przesyłowa</c:v>
                  </c:pt>
                  <c:pt idx="10">
                    <c:v>sieć rozdzielcza</c:v>
                  </c:pt>
                </c:lvl>
              </c:multiLvlStrCache>
            </c:multiLvlStrRef>
          </c:cat>
          <c:val>
            <c:numRef>
              <c:f>wykresy!$B$3:$U$3</c:f>
              <c:numCache>
                <c:formatCode>General</c:formatCode>
                <c:ptCount val="20"/>
                <c:pt idx="0">
                  <c:v>42.575000000000003</c:v>
                </c:pt>
                <c:pt idx="1">
                  <c:v>42.575000000000003</c:v>
                </c:pt>
                <c:pt idx="2">
                  <c:v>42.575000000000003</c:v>
                </c:pt>
                <c:pt idx="3">
                  <c:v>42.575000000000003</c:v>
                </c:pt>
                <c:pt idx="4">
                  <c:v>42.575000000000003</c:v>
                </c:pt>
                <c:pt idx="5">
                  <c:v>42.575000000000003</c:v>
                </c:pt>
                <c:pt idx="6">
                  <c:v>42.575000000000003</c:v>
                </c:pt>
                <c:pt idx="7">
                  <c:v>42.575000000000003</c:v>
                </c:pt>
                <c:pt idx="8">
                  <c:v>42.575000000000003</c:v>
                </c:pt>
                <c:pt idx="9">
                  <c:v>42.575000000000003</c:v>
                </c:pt>
                <c:pt idx="10">
                  <c:v>177.40299999999999</c:v>
                </c:pt>
                <c:pt idx="11">
                  <c:v>178.49700000000001</c:v>
                </c:pt>
                <c:pt idx="12">
                  <c:v>179.09</c:v>
                </c:pt>
                <c:pt idx="13">
                  <c:v>180.30699999999999</c:v>
                </c:pt>
                <c:pt idx="14">
                  <c:v>180.17</c:v>
                </c:pt>
                <c:pt idx="15">
                  <c:v>180.655</c:v>
                </c:pt>
                <c:pt idx="16">
                  <c:v>182.46</c:v>
                </c:pt>
                <c:pt idx="17">
                  <c:v>182.77199999999999</c:v>
                </c:pt>
                <c:pt idx="18">
                  <c:v>183.65700000000001</c:v>
                </c:pt>
                <c:pt idx="19">
                  <c:v>186.60400000000001</c:v>
                </c:pt>
              </c:numCache>
            </c:numRef>
          </c:val>
          <c:extLst>
            <c:ext xmlns:c16="http://schemas.microsoft.com/office/drawing/2014/chart" uri="{C3380CC4-5D6E-409C-BE32-E72D297353CC}">
              <c16:uniqueId val="{00000000-E3F7-444A-8AAF-C39DF9054843}"/>
            </c:ext>
          </c:extLst>
        </c:ser>
        <c:ser>
          <c:idx val="1"/>
          <c:order val="1"/>
          <c:tx>
            <c:strRef>
              <c:f>wykresy!$A$4</c:f>
              <c:strCache>
                <c:ptCount val="1"/>
                <c:pt idx="0">
                  <c:v>Powiat nidzicki</c:v>
                </c:pt>
              </c:strCache>
            </c:strRef>
          </c:tx>
          <c:spPr>
            <a:solidFill>
              <a:srgbClr val="990000"/>
            </a:solidFill>
            <a:ln>
              <a:noFill/>
            </a:ln>
            <a:effectLst/>
          </c:spPr>
          <c:invertIfNegative val="0"/>
          <c:cat>
            <c:multiLvlStrRef>
              <c:f>wykresy!$B$1:$U$2</c:f>
              <c:multiLvlStrCache>
                <c:ptCount val="20"/>
                <c:lvl>
                  <c:pt idx="0">
                    <c:v>2010</c:v>
                  </c:pt>
                  <c:pt idx="1">
                    <c:v>2011</c:v>
                  </c:pt>
                  <c:pt idx="2">
                    <c:v>2012</c:v>
                  </c:pt>
                  <c:pt idx="3">
                    <c:v>2013</c:v>
                  </c:pt>
                  <c:pt idx="4">
                    <c:v>2014</c:v>
                  </c:pt>
                  <c:pt idx="5">
                    <c:v>2015</c:v>
                  </c:pt>
                  <c:pt idx="6">
                    <c:v>2016</c:v>
                  </c:pt>
                  <c:pt idx="7">
                    <c:v>2017</c:v>
                  </c:pt>
                  <c:pt idx="8">
                    <c:v>2018</c:v>
                  </c:pt>
                  <c:pt idx="9">
                    <c:v>2019</c:v>
                  </c:pt>
                  <c:pt idx="10">
                    <c:v>2010</c:v>
                  </c:pt>
                  <c:pt idx="11">
                    <c:v>2011</c:v>
                  </c:pt>
                  <c:pt idx="12">
                    <c:v>2012</c:v>
                  </c:pt>
                  <c:pt idx="13">
                    <c:v>2013</c:v>
                  </c:pt>
                  <c:pt idx="14">
                    <c:v>2014</c:v>
                  </c:pt>
                  <c:pt idx="15">
                    <c:v>2015</c:v>
                  </c:pt>
                  <c:pt idx="16">
                    <c:v>2016</c:v>
                  </c:pt>
                  <c:pt idx="17">
                    <c:v>2017</c:v>
                  </c:pt>
                  <c:pt idx="18">
                    <c:v>2018</c:v>
                  </c:pt>
                  <c:pt idx="19">
                    <c:v>2019</c:v>
                  </c:pt>
                </c:lvl>
                <c:lvl>
                  <c:pt idx="0">
                    <c:v>sieć przesyłowa</c:v>
                  </c:pt>
                  <c:pt idx="10">
                    <c:v>sieć rozdzielcza</c:v>
                  </c:pt>
                </c:lvl>
              </c:multiLvlStrCache>
            </c:multiLvlStrRef>
          </c:cat>
          <c:val>
            <c:numRef>
              <c:f>wykresy!$B$4:$U$4</c:f>
              <c:numCache>
                <c:formatCode>General</c:formatCode>
                <c:ptCount val="20"/>
                <c:pt idx="0">
                  <c:v>103.928</c:v>
                </c:pt>
                <c:pt idx="1">
                  <c:v>103.928</c:v>
                </c:pt>
                <c:pt idx="2">
                  <c:v>103.928</c:v>
                </c:pt>
                <c:pt idx="3">
                  <c:v>103.928</c:v>
                </c:pt>
                <c:pt idx="4">
                  <c:v>103.928</c:v>
                </c:pt>
                <c:pt idx="5">
                  <c:v>103.928</c:v>
                </c:pt>
                <c:pt idx="6">
                  <c:v>103.928</c:v>
                </c:pt>
                <c:pt idx="7">
                  <c:v>103.928</c:v>
                </c:pt>
                <c:pt idx="8">
                  <c:v>103.928</c:v>
                </c:pt>
                <c:pt idx="9">
                  <c:v>104.276</c:v>
                </c:pt>
                <c:pt idx="10">
                  <c:v>36.567999999999998</c:v>
                </c:pt>
                <c:pt idx="11">
                  <c:v>37.244</c:v>
                </c:pt>
                <c:pt idx="12">
                  <c:v>39.011000000000003</c:v>
                </c:pt>
                <c:pt idx="13">
                  <c:v>39.270000000000003</c:v>
                </c:pt>
                <c:pt idx="14">
                  <c:v>40.68</c:v>
                </c:pt>
                <c:pt idx="15">
                  <c:v>42.094999999999999</c:v>
                </c:pt>
                <c:pt idx="16">
                  <c:v>42.155000000000001</c:v>
                </c:pt>
                <c:pt idx="17">
                  <c:v>42.177</c:v>
                </c:pt>
                <c:pt idx="18">
                  <c:v>42.679000000000002</c:v>
                </c:pt>
                <c:pt idx="19">
                  <c:v>42.820999999999998</c:v>
                </c:pt>
              </c:numCache>
            </c:numRef>
          </c:val>
          <c:extLst>
            <c:ext xmlns:c16="http://schemas.microsoft.com/office/drawing/2014/chart" uri="{C3380CC4-5D6E-409C-BE32-E72D297353CC}">
              <c16:uniqueId val="{00000001-E3F7-444A-8AAF-C39DF9054843}"/>
            </c:ext>
          </c:extLst>
        </c:ser>
        <c:ser>
          <c:idx val="2"/>
          <c:order val="2"/>
          <c:tx>
            <c:strRef>
              <c:f>wykresy!$A$5</c:f>
              <c:strCache>
                <c:ptCount val="1"/>
                <c:pt idx="0">
                  <c:v>Powiat piski</c:v>
                </c:pt>
              </c:strCache>
            </c:strRef>
          </c:tx>
          <c:spPr>
            <a:solidFill>
              <a:schemeClr val="tx1">
                <a:lumMod val="65000"/>
                <a:lumOff val="35000"/>
              </a:schemeClr>
            </a:solidFill>
            <a:ln>
              <a:noFill/>
            </a:ln>
            <a:effectLst/>
          </c:spPr>
          <c:invertIfNegative val="0"/>
          <c:cat>
            <c:multiLvlStrRef>
              <c:f>wykresy!$B$1:$U$2</c:f>
              <c:multiLvlStrCache>
                <c:ptCount val="20"/>
                <c:lvl>
                  <c:pt idx="0">
                    <c:v>2010</c:v>
                  </c:pt>
                  <c:pt idx="1">
                    <c:v>2011</c:v>
                  </c:pt>
                  <c:pt idx="2">
                    <c:v>2012</c:v>
                  </c:pt>
                  <c:pt idx="3">
                    <c:v>2013</c:v>
                  </c:pt>
                  <c:pt idx="4">
                    <c:v>2014</c:v>
                  </c:pt>
                  <c:pt idx="5">
                    <c:v>2015</c:v>
                  </c:pt>
                  <c:pt idx="6">
                    <c:v>2016</c:v>
                  </c:pt>
                  <c:pt idx="7">
                    <c:v>2017</c:v>
                  </c:pt>
                  <c:pt idx="8">
                    <c:v>2018</c:v>
                  </c:pt>
                  <c:pt idx="9">
                    <c:v>2019</c:v>
                  </c:pt>
                  <c:pt idx="10">
                    <c:v>2010</c:v>
                  </c:pt>
                  <c:pt idx="11">
                    <c:v>2011</c:v>
                  </c:pt>
                  <c:pt idx="12">
                    <c:v>2012</c:v>
                  </c:pt>
                  <c:pt idx="13">
                    <c:v>2013</c:v>
                  </c:pt>
                  <c:pt idx="14">
                    <c:v>2014</c:v>
                  </c:pt>
                  <c:pt idx="15">
                    <c:v>2015</c:v>
                  </c:pt>
                  <c:pt idx="16">
                    <c:v>2016</c:v>
                  </c:pt>
                  <c:pt idx="17">
                    <c:v>2017</c:v>
                  </c:pt>
                  <c:pt idx="18">
                    <c:v>2018</c:v>
                  </c:pt>
                  <c:pt idx="19">
                    <c:v>2019</c:v>
                  </c:pt>
                </c:lvl>
                <c:lvl>
                  <c:pt idx="0">
                    <c:v>sieć przesyłowa</c:v>
                  </c:pt>
                  <c:pt idx="10">
                    <c:v>sieć rozdzielcza</c:v>
                  </c:pt>
                </c:lvl>
              </c:multiLvlStrCache>
            </c:multiLvlStrRef>
          </c:cat>
          <c:val>
            <c:numRef>
              <c:f>wykresy!$B$5:$U$5</c:f>
              <c:numCache>
                <c:formatCode>General</c:formatCode>
                <c:ptCount val="20"/>
                <c:pt idx="0">
                  <c:v>0</c:v>
                </c:pt>
                <c:pt idx="1">
                  <c:v>0</c:v>
                </c:pt>
                <c:pt idx="2">
                  <c:v>0</c:v>
                </c:pt>
                <c:pt idx="3">
                  <c:v>0</c:v>
                </c:pt>
                <c:pt idx="4">
                  <c:v>0</c:v>
                </c:pt>
                <c:pt idx="5">
                  <c:v>0</c:v>
                </c:pt>
                <c:pt idx="6">
                  <c:v>0</c:v>
                </c:pt>
                <c:pt idx="7">
                  <c:v>0</c:v>
                </c:pt>
                <c:pt idx="8">
                  <c:v>0</c:v>
                </c:pt>
                <c:pt idx="9">
                  <c:v>0</c:v>
                </c:pt>
                <c:pt idx="10">
                  <c:v>0</c:v>
                </c:pt>
                <c:pt idx="11">
                  <c:v>20.213999999999999</c:v>
                </c:pt>
                <c:pt idx="12">
                  <c:v>19.978999999999999</c:v>
                </c:pt>
                <c:pt idx="13">
                  <c:v>21.306000000000001</c:v>
                </c:pt>
                <c:pt idx="14">
                  <c:v>23.074000000000002</c:v>
                </c:pt>
                <c:pt idx="15">
                  <c:v>23.146000000000001</c:v>
                </c:pt>
                <c:pt idx="16">
                  <c:v>27.186</c:v>
                </c:pt>
                <c:pt idx="17">
                  <c:v>27.992999999999999</c:v>
                </c:pt>
                <c:pt idx="18">
                  <c:v>28.457000000000001</c:v>
                </c:pt>
                <c:pt idx="19">
                  <c:v>31.789000000000001</c:v>
                </c:pt>
              </c:numCache>
            </c:numRef>
          </c:val>
          <c:extLst>
            <c:ext xmlns:c16="http://schemas.microsoft.com/office/drawing/2014/chart" uri="{C3380CC4-5D6E-409C-BE32-E72D297353CC}">
              <c16:uniqueId val="{00000002-E3F7-444A-8AAF-C39DF9054843}"/>
            </c:ext>
          </c:extLst>
        </c:ser>
        <c:ser>
          <c:idx val="3"/>
          <c:order val="3"/>
          <c:tx>
            <c:strRef>
              <c:f>wykresy!$A$6</c:f>
              <c:strCache>
                <c:ptCount val="1"/>
                <c:pt idx="0">
                  <c:v>Powiat szczycieński</c:v>
                </c:pt>
              </c:strCache>
            </c:strRef>
          </c:tx>
          <c:spPr>
            <a:solidFill>
              <a:schemeClr val="accent4"/>
            </a:solidFill>
            <a:ln>
              <a:noFill/>
            </a:ln>
            <a:effectLst/>
          </c:spPr>
          <c:invertIfNegative val="0"/>
          <c:cat>
            <c:multiLvlStrRef>
              <c:f>wykresy!$B$1:$U$2</c:f>
              <c:multiLvlStrCache>
                <c:ptCount val="20"/>
                <c:lvl>
                  <c:pt idx="0">
                    <c:v>2010</c:v>
                  </c:pt>
                  <c:pt idx="1">
                    <c:v>2011</c:v>
                  </c:pt>
                  <c:pt idx="2">
                    <c:v>2012</c:v>
                  </c:pt>
                  <c:pt idx="3">
                    <c:v>2013</c:v>
                  </c:pt>
                  <c:pt idx="4">
                    <c:v>2014</c:v>
                  </c:pt>
                  <c:pt idx="5">
                    <c:v>2015</c:v>
                  </c:pt>
                  <c:pt idx="6">
                    <c:v>2016</c:v>
                  </c:pt>
                  <c:pt idx="7">
                    <c:v>2017</c:v>
                  </c:pt>
                  <c:pt idx="8">
                    <c:v>2018</c:v>
                  </c:pt>
                  <c:pt idx="9">
                    <c:v>2019</c:v>
                  </c:pt>
                  <c:pt idx="10">
                    <c:v>2010</c:v>
                  </c:pt>
                  <c:pt idx="11">
                    <c:v>2011</c:v>
                  </c:pt>
                  <c:pt idx="12">
                    <c:v>2012</c:v>
                  </c:pt>
                  <c:pt idx="13">
                    <c:v>2013</c:v>
                  </c:pt>
                  <c:pt idx="14">
                    <c:v>2014</c:v>
                  </c:pt>
                  <c:pt idx="15">
                    <c:v>2015</c:v>
                  </c:pt>
                  <c:pt idx="16">
                    <c:v>2016</c:v>
                  </c:pt>
                  <c:pt idx="17">
                    <c:v>2017</c:v>
                  </c:pt>
                  <c:pt idx="18">
                    <c:v>2018</c:v>
                  </c:pt>
                  <c:pt idx="19">
                    <c:v>2019</c:v>
                  </c:pt>
                </c:lvl>
                <c:lvl>
                  <c:pt idx="0">
                    <c:v>sieć przesyłowa</c:v>
                  </c:pt>
                  <c:pt idx="10">
                    <c:v>sieć rozdzielcza</c:v>
                  </c:pt>
                </c:lvl>
              </c:multiLvlStrCache>
            </c:multiLvlStrRef>
          </c:cat>
          <c:val>
            <c:numRef>
              <c:f>wykresy!$B$6:$U$6</c:f>
              <c:numCache>
                <c:formatCode>General</c:formatCode>
                <c:ptCount val="20"/>
                <c:pt idx="0">
                  <c:v>84.325000000000003</c:v>
                </c:pt>
                <c:pt idx="1">
                  <c:v>84.325000000000003</c:v>
                </c:pt>
                <c:pt idx="2">
                  <c:v>97.938999999999993</c:v>
                </c:pt>
                <c:pt idx="3">
                  <c:v>97.938999999999993</c:v>
                </c:pt>
                <c:pt idx="4">
                  <c:v>97.938999999999993</c:v>
                </c:pt>
                <c:pt idx="5">
                  <c:v>97.938999999999993</c:v>
                </c:pt>
                <c:pt idx="6">
                  <c:v>98.554000000000002</c:v>
                </c:pt>
                <c:pt idx="7">
                  <c:v>98.554000000000002</c:v>
                </c:pt>
                <c:pt idx="8">
                  <c:v>98.554000000000002</c:v>
                </c:pt>
                <c:pt idx="9">
                  <c:v>98.554000000000002</c:v>
                </c:pt>
                <c:pt idx="10">
                  <c:v>87.817999999999998</c:v>
                </c:pt>
                <c:pt idx="11">
                  <c:v>88.662999999999997</c:v>
                </c:pt>
                <c:pt idx="12">
                  <c:v>90.268000000000001</c:v>
                </c:pt>
                <c:pt idx="13">
                  <c:v>92.156000000000006</c:v>
                </c:pt>
                <c:pt idx="14">
                  <c:v>93.204999999999998</c:v>
                </c:pt>
                <c:pt idx="15">
                  <c:v>98.165999999999997</c:v>
                </c:pt>
                <c:pt idx="16">
                  <c:v>101.446</c:v>
                </c:pt>
                <c:pt idx="17">
                  <c:v>104.95699999999999</c:v>
                </c:pt>
                <c:pt idx="18">
                  <c:v>111.002</c:v>
                </c:pt>
                <c:pt idx="19">
                  <c:v>115.349</c:v>
                </c:pt>
              </c:numCache>
            </c:numRef>
          </c:val>
          <c:extLst>
            <c:ext xmlns:c16="http://schemas.microsoft.com/office/drawing/2014/chart" uri="{C3380CC4-5D6E-409C-BE32-E72D297353CC}">
              <c16:uniqueId val="{00000003-E3F7-444A-8AAF-C39DF9054843}"/>
            </c:ext>
          </c:extLst>
        </c:ser>
        <c:dLbls>
          <c:showLegendKey val="0"/>
          <c:showVal val="0"/>
          <c:showCatName val="0"/>
          <c:showSerName val="0"/>
          <c:showPercent val="0"/>
          <c:showBubbleSize val="0"/>
        </c:dLbls>
        <c:gapWidth val="182"/>
        <c:axId val="513432984"/>
        <c:axId val="513432592"/>
      </c:barChart>
      <c:catAx>
        <c:axId val="51343298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13432592"/>
        <c:crosses val="autoZero"/>
        <c:auto val="1"/>
        <c:lblAlgn val="ctr"/>
        <c:lblOffset val="100"/>
        <c:noMultiLvlLbl val="0"/>
      </c:catAx>
      <c:valAx>
        <c:axId val="51343259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134329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wykres!$A$2</c:f>
              <c:strCache>
                <c:ptCount val="1"/>
                <c:pt idx="0">
                  <c:v>Powiat działdowski</c:v>
                </c:pt>
              </c:strCache>
            </c:strRef>
          </c:tx>
          <c:spPr>
            <a:ln w="28575" cap="rnd">
              <a:solidFill>
                <a:schemeClr val="accent1"/>
              </a:solidFill>
              <a:round/>
            </a:ln>
            <a:effectLst/>
          </c:spPr>
          <c:marker>
            <c:symbol val="none"/>
          </c:marker>
          <c:cat>
            <c:strRef>
              <c:f>wykres!$B$1:$K$1</c:f>
              <c:strCache>
                <c:ptCount val="10"/>
                <c:pt idx="0">
                  <c:v>2010</c:v>
                </c:pt>
                <c:pt idx="1">
                  <c:v>2011</c:v>
                </c:pt>
                <c:pt idx="2">
                  <c:v>2012</c:v>
                </c:pt>
                <c:pt idx="3">
                  <c:v>2013</c:v>
                </c:pt>
                <c:pt idx="4">
                  <c:v>2014</c:v>
                </c:pt>
                <c:pt idx="5">
                  <c:v>2015</c:v>
                </c:pt>
                <c:pt idx="6">
                  <c:v>2016</c:v>
                </c:pt>
                <c:pt idx="7">
                  <c:v>2017</c:v>
                </c:pt>
                <c:pt idx="8">
                  <c:v>2018</c:v>
                </c:pt>
                <c:pt idx="9">
                  <c:v>2019</c:v>
                </c:pt>
              </c:strCache>
            </c:strRef>
          </c:cat>
          <c:val>
            <c:numRef>
              <c:f>wykres!$B$2:$K$2</c:f>
              <c:numCache>
                <c:formatCode>General</c:formatCode>
                <c:ptCount val="10"/>
                <c:pt idx="0">
                  <c:v>37.450000000000003</c:v>
                </c:pt>
                <c:pt idx="1">
                  <c:v>41.04</c:v>
                </c:pt>
                <c:pt idx="2">
                  <c:v>45.69</c:v>
                </c:pt>
                <c:pt idx="3">
                  <c:v>44.91</c:v>
                </c:pt>
                <c:pt idx="4">
                  <c:v>45.93</c:v>
                </c:pt>
                <c:pt idx="5">
                  <c:v>48.79</c:v>
                </c:pt>
                <c:pt idx="6">
                  <c:v>47.99</c:v>
                </c:pt>
                <c:pt idx="7">
                  <c:v>48.96</c:v>
                </c:pt>
                <c:pt idx="8">
                  <c:v>49.46</c:v>
                </c:pt>
                <c:pt idx="9">
                  <c:v>49.25</c:v>
                </c:pt>
              </c:numCache>
            </c:numRef>
          </c:val>
          <c:smooth val="0"/>
          <c:extLst>
            <c:ext xmlns:c16="http://schemas.microsoft.com/office/drawing/2014/chart" uri="{C3380CC4-5D6E-409C-BE32-E72D297353CC}">
              <c16:uniqueId val="{00000000-0DCA-4575-AAFD-3F1FBC042EEC}"/>
            </c:ext>
          </c:extLst>
        </c:ser>
        <c:ser>
          <c:idx val="1"/>
          <c:order val="1"/>
          <c:tx>
            <c:strRef>
              <c:f>wykres!$A$3</c:f>
              <c:strCache>
                <c:ptCount val="1"/>
                <c:pt idx="0">
                  <c:v>Powiat nidzicki</c:v>
                </c:pt>
              </c:strCache>
            </c:strRef>
          </c:tx>
          <c:spPr>
            <a:ln w="28575" cap="rnd">
              <a:solidFill>
                <a:schemeClr val="accent2"/>
              </a:solidFill>
              <a:round/>
            </a:ln>
            <a:effectLst/>
          </c:spPr>
          <c:marker>
            <c:symbol val="none"/>
          </c:marker>
          <c:cat>
            <c:strRef>
              <c:f>wykres!$B$1:$K$1</c:f>
              <c:strCache>
                <c:ptCount val="10"/>
                <c:pt idx="0">
                  <c:v>2010</c:v>
                </c:pt>
                <c:pt idx="1">
                  <c:v>2011</c:v>
                </c:pt>
                <c:pt idx="2">
                  <c:v>2012</c:v>
                </c:pt>
                <c:pt idx="3">
                  <c:v>2013</c:v>
                </c:pt>
                <c:pt idx="4">
                  <c:v>2014</c:v>
                </c:pt>
                <c:pt idx="5">
                  <c:v>2015</c:v>
                </c:pt>
                <c:pt idx="6">
                  <c:v>2016</c:v>
                </c:pt>
                <c:pt idx="7">
                  <c:v>2017</c:v>
                </c:pt>
                <c:pt idx="8">
                  <c:v>2018</c:v>
                </c:pt>
                <c:pt idx="9">
                  <c:v>2019</c:v>
                </c:pt>
              </c:strCache>
            </c:strRef>
          </c:cat>
          <c:val>
            <c:numRef>
              <c:f>wykres!$B$3:$K$3</c:f>
              <c:numCache>
                <c:formatCode>General</c:formatCode>
                <c:ptCount val="10"/>
                <c:pt idx="0">
                  <c:v>50.58</c:v>
                </c:pt>
                <c:pt idx="1">
                  <c:v>58.19</c:v>
                </c:pt>
                <c:pt idx="2">
                  <c:v>67.59</c:v>
                </c:pt>
                <c:pt idx="3">
                  <c:v>67.81</c:v>
                </c:pt>
                <c:pt idx="4">
                  <c:v>65.41</c:v>
                </c:pt>
                <c:pt idx="5">
                  <c:v>65.400000000000006</c:v>
                </c:pt>
                <c:pt idx="6">
                  <c:v>65.73</c:v>
                </c:pt>
                <c:pt idx="7">
                  <c:v>65.72</c:v>
                </c:pt>
                <c:pt idx="8">
                  <c:v>67.959999999999994</c:v>
                </c:pt>
                <c:pt idx="9">
                  <c:v>67.959999999999994</c:v>
                </c:pt>
              </c:numCache>
            </c:numRef>
          </c:val>
          <c:smooth val="0"/>
          <c:extLst>
            <c:ext xmlns:c16="http://schemas.microsoft.com/office/drawing/2014/chart" uri="{C3380CC4-5D6E-409C-BE32-E72D297353CC}">
              <c16:uniqueId val="{00000001-0DCA-4575-AAFD-3F1FBC042EEC}"/>
            </c:ext>
          </c:extLst>
        </c:ser>
        <c:ser>
          <c:idx val="2"/>
          <c:order val="2"/>
          <c:tx>
            <c:strRef>
              <c:f>wykres!$A$4</c:f>
              <c:strCache>
                <c:ptCount val="1"/>
                <c:pt idx="0">
                  <c:v>Powiat piski</c:v>
                </c:pt>
              </c:strCache>
            </c:strRef>
          </c:tx>
          <c:spPr>
            <a:ln w="28575" cap="rnd">
              <a:solidFill>
                <a:schemeClr val="accent3"/>
              </a:solidFill>
              <a:round/>
            </a:ln>
            <a:effectLst/>
          </c:spPr>
          <c:marker>
            <c:symbol val="none"/>
          </c:marker>
          <c:cat>
            <c:strRef>
              <c:f>wykres!$B$1:$K$1</c:f>
              <c:strCache>
                <c:ptCount val="10"/>
                <c:pt idx="0">
                  <c:v>2010</c:v>
                </c:pt>
                <c:pt idx="1">
                  <c:v>2011</c:v>
                </c:pt>
                <c:pt idx="2">
                  <c:v>2012</c:v>
                </c:pt>
                <c:pt idx="3">
                  <c:v>2013</c:v>
                </c:pt>
                <c:pt idx="4">
                  <c:v>2014</c:v>
                </c:pt>
                <c:pt idx="5">
                  <c:v>2015</c:v>
                </c:pt>
                <c:pt idx="6">
                  <c:v>2016</c:v>
                </c:pt>
                <c:pt idx="7">
                  <c:v>2017</c:v>
                </c:pt>
                <c:pt idx="8">
                  <c:v>2018</c:v>
                </c:pt>
                <c:pt idx="9">
                  <c:v>2019</c:v>
                </c:pt>
              </c:strCache>
            </c:strRef>
          </c:cat>
          <c:val>
            <c:numRef>
              <c:f>wykres!$B$4:$K$4</c:f>
              <c:numCache>
                <c:formatCode>General</c:formatCode>
                <c:ptCount val="10"/>
                <c:pt idx="0">
                  <c:v>69.25</c:v>
                </c:pt>
                <c:pt idx="1">
                  <c:v>69.67</c:v>
                </c:pt>
                <c:pt idx="2">
                  <c:v>69.97</c:v>
                </c:pt>
                <c:pt idx="3">
                  <c:v>87.77</c:v>
                </c:pt>
                <c:pt idx="4">
                  <c:v>89.65</c:v>
                </c:pt>
                <c:pt idx="5">
                  <c:v>89.54</c:v>
                </c:pt>
                <c:pt idx="6">
                  <c:v>92.5</c:v>
                </c:pt>
                <c:pt idx="7">
                  <c:v>90.46</c:v>
                </c:pt>
                <c:pt idx="8">
                  <c:v>91.38</c:v>
                </c:pt>
                <c:pt idx="9">
                  <c:v>90.01</c:v>
                </c:pt>
              </c:numCache>
            </c:numRef>
          </c:val>
          <c:smooth val="0"/>
          <c:extLst>
            <c:ext xmlns:c16="http://schemas.microsoft.com/office/drawing/2014/chart" uri="{C3380CC4-5D6E-409C-BE32-E72D297353CC}">
              <c16:uniqueId val="{00000002-0DCA-4575-AAFD-3F1FBC042EEC}"/>
            </c:ext>
          </c:extLst>
        </c:ser>
        <c:ser>
          <c:idx val="3"/>
          <c:order val="3"/>
          <c:tx>
            <c:strRef>
              <c:f>wykres!$A$5</c:f>
              <c:strCache>
                <c:ptCount val="1"/>
                <c:pt idx="0">
                  <c:v>Powiat szczycieński</c:v>
                </c:pt>
              </c:strCache>
            </c:strRef>
          </c:tx>
          <c:spPr>
            <a:ln w="28575" cap="rnd">
              <a:solidFill>
                <a:schemeClr val="accent4"/>
              </a:solidFill>
              <a:round/>
            </a:ln>
            <a:effectLst/>
          </c:spPr>
          <c:marker>
            <c:symbol val="none"/>
          </c:marker>
          <c:cat>
            <c:strRef>
              <c:f>wykres!$B$1:$K$1</c:f>
              <c:strCache>
                <c:ptCount val="10"/>
                <c:pt idx="0">
                  <c:v>2010</c:v>
                </c:pt>
                <c:pt idx="1">
                  <c:v>2011</c:v>
                </c:pt>
                <c:pt idx="2">
                  <c:v>2012</c:v>
                </c:pt>
                <c:pt idx="3">
                  <c:v>2013</c:v>
                </c:pt>
                <c:pt idx="4">
                  <c:v>2014</c:v>
                </c:pt>
                <c:pt idx="5">
                  <c:v>2015</c:v>
                </c:pt>
                <c:pt idx="6">
                  <c:v>2016</c:v>
                </c:pt>
                <c:pt idx="7">
                  <c:v>2017</c:v>
                </c:pt>
                <c:pt idx="8">
                  <c:v>2018</c:v>
                </c:pt>
                <c:pt idx="9">
                  <c:v>2019</c:v>
                </c:pt>
              </c:strCache>
            </c:strRef>
          </c:cat>
          <c:val>
            <c:numRef>
              <c:f>wykres!$B$5:$K$5</c:f>
              <c:numCache>
                <c:formatCode>General</c:formatCode>
                <c:ptCount val="10"/>
                <c:pt idx="0">
                  <c:v>32.409999999999997</c:v>
                </c:pt>
                <c:pt idx="1">
                  <c:v>29.67</c:v>
                </c:pt>
                <c:pt idx="2">
                  <c:v>29.64</c:v>
                </c:pt>
                <c:pt idx="3">
                  <c:v>30.32</c:v>
                </c:pt>
                <c:pt idx="4">
                  <c:v>36.35</c:v>
                </c:pt>
                <c:pt idx="5">
                  <c:v>36.590000000000003</c:v>
                </c:pt>
                <c:pt idx="6">
                  <c:v>36.35</c:v>
                </c:pt>
                <c:pt idx="7">
                  <c:v>38.159999999999997</c:v>
                </c:pt>
                <c:pt idx="8">
                  <c:v>40.39</c:v>
                </c:pt>
                <c:pt idx="9">
                  <c:v>39.79</c:v>
                </c:pt>
              </c:numCache>
            </c:numRef>
          </c:val>
          <c:smooth val="0"/>
          <c:extLst>
            <c:ext xmlns:c16="http://schemas.microsoft.com/office/drawing/2014/chart" uri="{C3380CC4-5D6E-409C-BE32-E72D297353CC}">
              <c16:uniqueId val="{00000003-0DCA-4575-AAFD-3F1FBC042EEC}"/>
            </c:ext>
          </c:extLst>
        </c:ser>
        <c:dLbls>
          <c:showLegendKey val="0"/>
          <c:showVal val="0"/>
          <c:showCatName val="0"/>
          <c:showSerName val="0"/>
          <c:showPercent val="0"/>
          <c:showBubbleSize val="0"/>
        </c:dLbls>
        <c:smooth val="0"/>
        <c:axId val="513436512"/>
        <c:axId val="513440432"/>
      </c:lineChart>
      <c:catAx>
        <c:axId val="5134365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13440432"/>
        <c:crosses val="autoZero"/>
        <c:auto val="1"/>
        <c:lblAlgn val="ctr"/>
        <c:lblOffset val="100"/>
        <c:noMultiLvlLbl val="0"/>
      </c:catAx>
      <c:valAx>
        <c:axId val="5134404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134365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Arkusz1!$A$3</c:f>
              <c:strCache>
                <c:ptCount val="1"/>
                <c:pt idx="0">
                  <c:v>Powiat działdowski</c:v>
                </c:pt>
              </c:strCache>
            </c:strRef>
          </c:tx>
          <c:spPr>
            <a:ln w="28575" cap="rnd">
              <a:solidFill>
                <a:schemeClr val="accent1"/>
              </a:solidFill>
              <a:round/>
            </a:ln>
            <a:effectLst/>
          </c:spPr>
          <c:marker>
            <c:symbol val="none"/>
          </c:marker>
          <c:cat>
            <c:strRef>
              <c:f>Arkusz1!$B$2:$J$2</c:f>
              <c:strCache>
                <c:ptCount val="9"/>
                <c:pt idx="0">
                  <c:v>2010</c:v>
                </c:pt>
                <c:pt idx="1">
                  <c:v>2011</c:v>
                </c:pt>
                <c:pt idx="2">
                  <c:v>2012</c:v>
                </c:pt>
                <c:pt idx="3">
                  <c:v>2013</c:v>
                </c:pt>
                <c:pt idx="4">
                  <c:v>2014</c:v>
                </c:pt>
                <c:pt idx="5">
                  <c:v>2015</c:v>
                </c:pt>
                <c:pt idx="6">
                  <c:v>2016</c:v>
                </c:pt>
                <c:pt idx="7">
                  <c:v>2017</c:v>
                </c:pt>
                <c:pt idx="8">
                  <c:v>2018</c:v>
                </c:pt>
              </c:strCache>
            </c:strRef>
          </c:cat>
          <c:val>
            <c:numRef>
              <c:f>Arkusz1!$B$3:$J$3</c:f>
              <c:numCache>
                <c:formatCode>General</c:formatCode>
                <c:ptCount val="9"/>
                <c:pt idx="0">
                  <c:v>95.27</c:v>
                </c:pt>
                <c:pt idx="1">
                  <c:v>94.86</c:v>
                </c:pt>
                <c:pt idx="2">
                  <c:v>94.2</c:v>
                </c:pt>
                <c:pt idx="3">
                  <c:v>93.11</c:v>
                </c:pt>
                <c:pt idx="4">
                  <c:v>92.34</c:v>
                </c:pt>
                <c:pt idx="5">
                  <c:v>90.55</c:v>
                </c:pt>
                <c:pt idx="6">
                  <c:v>91.45</c:v>
                </c:pt>
                <c:pt idx="7">
                  <c:v>91.93</c:v>
                </c:pt>
                <c:pt idx="8">
                  <c:v>92.16</c:v>
                </c:pt>
              </c:numCache>
            </c:numRef>
          </c:val>
          <c:smooth val="0"/>
          <c:extLst>
            <c:ext xmlns:c16="http://schemas.microsoft.com/office/drawing/2014/chart" uri="{C3380CC4-5D6E-409C-BE32-E72D297353CC}">
              <c16:uniqueId val="{00000000-0EC5-4884-96A5-6572913F09AB}"/>
            </c:ext>
          </c:extLst>
        </c:ser>
        <c:ser>
          <c:idx val="1"/>
          <c:order val="1"/>
          <c:tx>
            <c:strRef>
              <c:f>Arkusz1!$A$4</c:f>
              <c:strCache>
                <c:ptCount val="1"/>
                <c:pt idx="0">
                  <c:v>Powiat nidzicki</c:v>
                </c:pt>
              </c:strCache>
            </c:strRef>
          </c:tx>
          <c:spPr>
            <a:ln w="28575" cap="rnd">
              <a:solidFill>
                <a:schemeClr val="accent2"/>
              </a:solidFill>
              <a:round/>
            </a:ln>
            <a:effectLst/>
          </c:spPr>
          <c:marker>
            <c:symbol val="none"/>
          </c:marker>
          <c:cat>
            <c:strRef>
              <c:f>Arkusz1!$B$2:$J$2</c:f>
              <c:strCache>
                <c:ptCount val="9"/>
                <c:pt idx="0">
                  <c:v>2010</c:v>
                </c:pt>
                <c:pt idx="1">
                  <c:v>2011</c:v>
                </c:pt>
                <c:pt idx="2">
                  <c:v>2012</c:v>
                </c:pt>
                <c:pt idx="3">
                  <c:v>2013</c:v>
                </c:pt>
                <c:pt idx="4">
                  <c:v>2014</c:v>
                </c:pt>
                <c:pt idx="5">
                  <c:v>2015</c:v>
                </c:pt>
                <c:pt idx="6">
                  <c:v>2016</c:v>
                </c:pt>
                <c:pt idx="7">
                  <c:v>2017</c:v>
                </c:pt>
                <c:pt idx="8">
                  <c:v>2018</c:v>
                </c:pt>
              </c:strCache>
            </c:strRef>
          </c:cat>
          <c:val>
            <c:numRef>
              <c:f>Arkusz1!$B$4:$J$4</c:f>
              <c:numCache>
                <c:formatCode>General</c:formatCode>
                <c:ptCount val="9"/>
                <c:pt idx="0">
                  <c:v>93.23</c:v>
                </c:pt>
                <c:pt idx="1">
                  <c:v>91.82</c:v>
                </c:pt>
                <c:pt idx="2">
                  <c:v>90.17</c:v>
                </c:pt>
                <c:pt idx="3">
                  <c:v>90.04</c:v>
                </c:pt>
                <c:pt idx="4">
                  <c:v>90.6</c:v>
                </c:pt>
                <c:pt idx="5">
                  <c:v>86.83</c:v>
                </c:pt>
                <c:pt idx="6">
                  <c:v>88.22</c:v>
                </c:pt>
                <c:pt idx="7">
                  <c:v>88</c:v>
                </c:pt>
                <c:pt idx="8">
                  <c:v>88.01</c:v>
                </c:pt>
              </c:numCache>
            </c:numRef>
          </c:val>
          <c:smooth val="0"/>
          <c:extLst>
            <c:ext xmlns:c16="http://schemas.microsoft.com/office/drawing/2014/chart" uri="{C3380CC4-5D6E-409C-BE32-E72D297353CC}">
              <c16:uniqueId val="{00000001-0EC5-4884-96A5-6572913F09AB}"/>
            </c:ext>
          </c:extLst>
        </c:ser>
        <c:ser>
          <c:idx val="2"/>
          <c:order val="2"/>
          <c:tx>
            <c:strRef>
              <c:f>Arkusz1!$A$5</c:f>
              <c:strCache>
                <c:ptCount val="1"/>
                <c:pt idx="0">
                  <c:v>Powiat piski</c:v>
                </c:pt>
              </c:strCache>
            </c:strRef>
          </c:tx>
          <c:spPr>
            <a:ln w="28575" cap="rnd">
              <a:solidFill>
                <a:schemeClr val="accent3"/>
              </a:solidFill>
              <a:round/>
            </a:ln>
            <a:effectLst/>
          </c:spPr>
          <c:marker>
            <c:symbol val="none"/>
          </c:marker>
          <c:cat>
            <c:strRef>
              <c:f>Arkusz1!$B$2:$J$2</c:f>
              <c:strCache>
                <c:ptCount val="9"/>
                <c:pt idx="0">
                  <c:v>2010</c:v>
                </c:pt>
                <c:pt idx="1">
                  <c:v>2011</c:v>
                </c:pt>
                <c:pt idx="2">
                  <c:v>2012</c:v>
                </c:pt>
                <c:pt idx="3">
                  <c:v>2013</c:v>
                </c:pt>
                <c:pt idx="4">
                  <c:v>2014</c:v>
                </c:pt>
                <c:pt idx="5">
                  <c:v>2015</c:v>
                </c:pt>
                <c:pt idx="6">
                  <c:v>2016</c:v>
                </c:pt>
                <c:pt idx="7">
                  <c:v>2017</c:v>
                </c:pt>
                <c:pt idx="8">
                  <c:v>2018</c:v>
                </c:pt>
              </c:strCache>
            </c:strRef>
          </c:cat>
          <c:val>
            <c:numRef>
              <c:f>Arkusz1!$B$5:$J$5</c:f>
              <c:numCache>
                <c:formatCode>General</c:formatCode>
                <c:ptCount val="9"/>
                <c:pt idx="0">
                  <c:v>92.08</c:v>
                </c:pt>
                <c:pt idx="1">
                  <c:v>91.05</c:v>
                </c:pt>
                <c:pt idx="2">
                  <c:v>89.69</c:v>
                </c:pt>
                <c:pt idx="3">
                  <c:v>89.03</c:v>
                </c:pt>
                <c:pt idx="4">
                  <c:v>87.98</c:v>
                </c:pt>
                <c:pt idx="5">
                  <c:v>84.24</c:v>
                </c:pt>
                <c:pt idx="6">
                  <c:v>84.56</c:v>
                </c:pt>
                <c:pt idx="7">
                  <c:v>84.8</c:v>
                </c:pt>
                <c:pt idx="8">
                  <c:v>84.75</c:v>
                </c:pt>
              </c:numCache>
            </c:numRef>
          </c:val>
          <c:smooth val="0"/>
          <c:extLst>
            <c:ext xmlns:c16="http://schemas.microsoft.com/office/drawing/2014/chart" uri="{C3380CC4-5D6E-409C-BE32-E72D297353CC}">
              <c16:uniqueId val="{00000002-0EC5-4884-96A5-6572913F09AB}"/>
            </c:ext>
          </c:extLst>
        </c:ser>
        <c:ser>
          <c:idx val="3"/>
          <c:order val="3"/>
          <c:tx>
            <c:strRef>
              <c:f>Arkusz1!$A$6</c:f>
              <c:strCache>
                <c:ptCount val="1"/>
                <c:pt idx="0">
                  <c:v>Powiat szczycieński</c:v>
                </c:pt>
              </c:strCache>
            </c:strRef>
          </c:tx>
          <c:spPr>
            <a:ln w="28575" cap="rnd">
              <a:solidFill>
                <a:schemeClr val="accent4"/>
              </a:solidFill>
              <a:round/>
            </a:ln>
            <a:effectLst/>
          </c:spPr>
          <c:marker>
            <c:symbol val="none"/>
          </c:marker>
          <c:cat>
            <c:strRef>
              <c:f>Arkusz1!$B$2:$J$2</c:f>
              <c:strCache>
                <c:ptCount val="9"/>
                <c:pt idx="0">
                  <c:v>2010</c:v>
                </c:pt>
                <c:pt idx="1">
                  <c:v>2011</c:v>
                </c:pt>
                <c:pt idx="2">
                  <c:v>2012</c:v>
                </c:pt>
                <c:pt idx="3">
                  <c:v>2013</c:v>
                </c:pt>
                <c:pt idx="4">
                  <c:v>2014</c:v>
                </c:pt>
                <c:pt idx="5">
                  <c:v>2015</c:v>
                </c:pt>
                <c:pt idx="6">
                  <c:v>2016</c:v>
                </c:pt>
                <c:pt idx="7">
                  <c:v>2017</c:v>
                </c:pt>
                <c:pt idx="8">
                  <c:v>2018</c:v>
                </c:pt>
              </c:strCache>
            </c:strRef>
          </c:cat>
          <c:val>
            <c:numRef>
              <c:f>Arkusz1!$B$6:$J$6</c:f>
              <c:numCache>
                <c:formatCode>General</c:formatCode>
                <c:ptCount val="9"/>
                <c:pt idx="0">
                  <c:v>93.96</c:v>
                </c:pt>
                <c:pt idx="1">
                  <c:v>93.87</c:v>
                </c:pt>
                <c:pt idx="2">
                  <c:v>93.45</c:v>
                </c:pt>
                <c:pt idx="3">
                  <c:v>93.12</c:v>
                </c:pt>
                <c:pt idx="4">
                  <c:v>91.83</c:v>
                </c:pt>
                <c:pt idx="5">
                  <c:v>87.59</c:v>
                </c:pt>
                <c:pt idx="6">
                  <c:v>89.89</c:v>
                </c:pt>
                <c:pt idx="7">
                  <c:v>90.15</c:v>
                </c:pt>
                <c:pt idx="8">
                  <c:v>89.83</c:v>
                </c:pt>
              </c:numCache>
            </c:numRef>
          </c:val>
          <c:smooth val="0"/>
          <c:extLst>
            <c:ext xmlns:c16="http://schemas.microsoft.com/office/drawing/2014/chart" uri="{C3380CC4-5D6E-409C-BE32-E72D297353CC}">
              <c16:uniqueId val="{00000003-0EC5-4884-96A5-6572913F09AB}"/>
            </c:ext>
          </c:extLst>
        </c:ser>
        <c:dLbls>
          <c:showLegendKey val="0"/>
          <c:showVal val="0"/>
          <c:showCatName val="0"/>
          <c:showSerName val="0"/>
          <c:showPercent val="0"/>
          <c:showBubbleSize val="0"/>
        </c:dLbls>
        <c:smooth val="0"/>
        <c:axId val="513434552"/>
        <c:axId val="513437688"/>
      </c:lineChart>
      <c:catAx>
        <c:axId val="5134345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13437688"/>
        <c:crosses val="autoZero"/>
        <c:auto val="1"/>
        <c:lblAlgn val="ctr"/>
        <c:lblOffset val="100"/>
        <c:noMultiLvlLbl val="0"/>
      </c:catAx>
      <c:valAx>
        <c:axId val="5134376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134345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spPr>
            <a:ln>
              <a:noFill/>
            </a:ln>
          </c:spPr>
          <c:dPt>
            <c:idx val="0"/>
            <c:bubble3D val="0"/>
            <c:spPr>
              <a:solidFill>
                <a:srgbClr val="00B0F0"/>
              </a:solidFill>
              <a:ln w="19050">
                <a:noFill/>
              </a:ln>
              <a:effectLst/>
            </c:spPr>
            <c:extLst>
              <c:ext xmlns:c16="http://schemas.microsoft.com/office/drawing/2014/chart" uri="{C3380CC4-5D6E-409C-BE32-E72D297353CC}">
                <c16:uniqueId val="{00000001-C0AC-4E9D-A442-6D3F86D6E42B}"/>
              </c:ext>
            </c:extLst>
          </c:dPt>
          <c:dPt>
            <c:idx val="1"/>
            <c:bubble3D val="0"/>
            <c:spPr>
              <a:solidFill>
                <a:srgbClr val="92D050"/>
              </a:solidFill>
              <a:ln w="19050">
                <a:noFill/>
              </a:ln>
              <a:effectLst/>
            </c:spPr>
            <c:extLst>
              <c:ext xmlns:c16="http://schemas.microsoft.com/office/drawing/2014/chart" uri="{C3380CC4-5D6E-409C-BE32-E72D297353CC}">
                <c16:uniqueId val="{00000003-C0AC-4E9D-A442-6D3F86D6E42B}"/>
              </c:ext>
            </c:extLst>
          </c:dPt>
          <c:dPt>
            <c:idx val="2"/>
            <c:bubble3D val="0"/>
            <c:spPr>
              <a:solidFill>
                <a:schemeClr val="accent3"/>
              </a:solidFill>
              <a:ln w="19050">
                <a:noFill/>
              </a:ln>
              <a:effectLst/>
            </c:spPr>
            <c:extLst>
              <c:ext xmlns:c16="http://schemas.microsoft.com/office/drawing/2014/chart" uri="{C3380CC4-5D6E-409C-BE32-E72D297353CC}">
                <c16:uniqueId val="{00000005-C0AC-4E9D-A442-6D3F86D6E42B}"/>
              </c:ext>
            </c:extLst>
          </c:dPt>
          <c:dPt>
            <c:idx val="3"/>
            <c:bubble3D val="0"/>
            <c:spPr>
              <a:solidFill>
                <a:srgbClr val="B3EBFF"/>
              </a:solidFill>
              <a:ln w="19050">
                <a:noFill/>
              </a:ln>
              <a:effectLst/>
            </c:spPr>
            <c:extLst>
              <c:ext xmlns:c16="http://schemas.microsoft.com/office/drawing/2014/chart" uri="{C3380CC4-5D6E-409C-BE32-E72D297353CC}">
                <c16:uniqueId val="{00000007-C0AC-4E9D-A442-6D3F86D6E42B}"/>
              </c:ext>
            </c:extLst>
          </c:dPt>
          <c:dPt>
            <c:idx val="4"/>
            <c:bubble3D val="0"/>
            <c:spPr>
              <a:solidFill>
                <a:schemeClr val="accent5"/>
              </a:solidFill>
              <a:ln w="19050">
                <a:noFill/>
              </a:ln>
              <a:effectLst/>
            </c:spPr>
            <c:extLst>
              <c:ext xmlns:c16="http://schemas.microsoft.com/office/drawing/2014/chart" uri="{C3380CC4-5D6E-409C-BE32-E72D297353CC}">
                <c16:uniqueId val="{00000009-C0AC-4E9D-A442-6D3F86D6E42B}"/>
              </c:ext>
            </c:extLst>
          </c:dPt>
          <c:dPt>
            <c:idx val="5"/>
            <c:bubble3D val="0"/>
            <c:spPr>
              <a:solidFill>
                <a:schemeClr val="accent6"/>
              </a:solidFill>
              <a:ln w="19050">
                <a:noFill/>
              </a:ln>
              <a:effectLst/>
            </c:spPr>
            <c:extLst>
              <c:ext xmlns:c16="http://schemas.microsoft.com/office/drawing/2014/chart" uri="{C3380CC4-5D6E-409C-BE32-E72D297353CC}">
                <c16:uniqueId val="{0000000B-C0AC-4E9D-A442-6D3F86D6E42B}"/>
              </c:ext>
            </c:extLst>
          </c:dPt>
          <c:dPt>
            <c:idx val="6"/>
            <c:bubble3D val="0"/>
            <c:spPr>
              <a:solidFill>
                <a:schemeClr val="accent1">
                  <a:lumMod val="60000"/>
                </a:schemeClr>
              </a:solidFill>
              <a:ln w="19050">
                <a:noFill/>
              </a:ln>
              <a:effectLst/>
            </c:spPr>
            <c:extLst>
              <c:ext xmlns:c16="http://schemas.microsoft.com/office/drawing/2014/chart" uri="{C3380CC4-5D6E-409C-BE32-E72D297353CC}">
                <c16:uniqueId val="{0000000D-C0AC-4E9D-A442-6D3F86D6E42B}"/>
              </c:ext>
            </c:extLst>
          </c:dPt>
          <c:dPt>
            <c:idx val="7"/>
            <c:bubble3D val="0"/>
            <c:spPr>
              <a:solidFill>
                <a:schemeClr val="accent2">
                  <a:lumMod val="60000"/>
                </a:schemeClr>
              </a:solidFill>
              <a:ln w="19050">
                <a:noFill/>
              </a:ln>
              <a:effectLst/>
            </c:spPr>
            <c:extLst>
              <c:ext xmlns:c16="http://schemas.microsoft.com/office/drawing/2014/chart" uri="{C3380CC4-5D6E-409C-BE32-E72D297353CC}">
                <c16:uniqueId val="{0000000F-C0AC-4E9D-A442-6D3F86D6E42B}"/>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Arkusz1!$A$2:$A$9</c:f>
              <c:strCache>
                <c:ptCount val="8"/>
                <c:pt idx="0">
                  <c:v>usługi dla ludności</c:v>
                </c:pt>
                <c:pt idx="1">
                  <c:v>inżynieryjno-techniczna</c:v>
                </c:pt>
                <c:pt idx="2">
                  <c:v>technologii teleinformacyjnych</c:v>
                </c:pt>
                <c:pt idx="3">
                  <c:v>społeczne</c:v>
                </c:pt>
                <c:pt idx="4">
                  <c:v>biznesu i administracji</c:v>
                </c:pt>
                <c:pt idx="5">
                  <c:v>leśne</c:v>
                </c:pt>
                <c:pt idx="6">
                  <c:v>architektury i budownictwa</c:v>
                </c:pt>
                <c:pt idx="7">
                  <c:v>rolnicze</c:v>
                </c:pt>
              </c:strCache>
            </c:strRef>
          </c:cat>
          <c:val>
            <c:numRef>
              <c:f>Arkusz1!$B$2:$B$9</c:f>
              <c:numCache>
                <c:formatCode>General</c:formatCode>
                <c:ptCount val="8"/>
                <c:pt idx="0">
                  <c:v>748</c:v>
                </c:pt>
                <c:pt idx="1">
                  <c:v>424</c:v>
                </c:pt>
                <c:pt idx="2">
                  <c:v>397</c:v>
                </c:pt>
                <c:pt idx="3">
                  <c:v>320</c:v>
                </c:pt>
                <c:pt idx="4">
                  <c:v>271</c:v>
                </c:pt>
                <c:pt idx="5">
                  <c:v>266</c:v>
                </c:pt>
                <c:pt idx="6">
                  <c:v>91</c:v>
                </c:pt>
                <c:pt idx="7">
                  <c:v>37</c:v>
                </c:pt>
              </c:numCache>
            </c:numRef>
          </c:val>
          <c:extLst>
            <c:ext xmlns:c16="http://schemas.microsoft.com/office/drawing/2014/chart" uri="{C3380CC4-5D6E-409C-BE32-E72D297353CC}">
              <c16:uniqueId val="{00000010-C0AC-4E9D-A442-6D3F86D6E42B}"/>
            </c:ext>
          </c:extLst>
        </c:ser>
        <c:dLbls>
          <c:dLblPos val="outEnd"/>
          <c:showLegendKey val="0"/>
          <c:showVal val="1"/>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Arkusz1!$A$31</c:f>
              <c:strCache>
                <c:ptCount val="1"/>
                <c:pt idx="0">
                  <c:v>Województwo warmińsko-mazurskie</c:v>
                </c:pt>
              </c:strCache>
            </c:strRef>
          </c:tx>
          <c:spPr>
            <a:ln w="28575" cap="rnd">
              <a:solidFill>
                <a:schemeClr val="tx1">
                  <a:lumMod val="75000"/>
                  <a:lumOff val="25000"/>
                </a:schemeClr>
              </a:solidFill>
              <a:round/>
            </a:ln>
            <a:effectLst/>
          </c:spPr>
          <c:marker>
            <c:symbol val="none"/>
          </c:marker>
          <c:cat>
            <c:numRef>
              <c:f>Arkusz1!$B$30:$I$30</c:f>
              <c:numCache>
                <c:formatCode>General</c:formatCode>
                <c:ptCount val="8"/>
                <c:pt idx="0">
                  <c:v>2012</c:v>
                </c:pt>
                <c:pt idx="1">
                  <c:v>2013</c:v>
                </c:pt>
                <c:pt idx="2">
                  <c:v>2014</c:v>
                </c:pt>
                <c:pt idx="3">
                  <c:v>2015</c:v>
                </c:pt>
                <c:pt idx="4">
                  <c:v>2016</c:v>
                </c:pt>
                <c:pt idx="5">
                  <c:v>2017</c:v>
                </c:pt>
                <c:pt idx="6">
                  <c:v>2018</c:v>
                </c:pt>
                <c:pt idx="7">
                  <c:v>2019</c:v>
                </c:pt>
              </c:numCache>
            </c:numRef>
          </c:cat>
          <c:val>
            <c:numRef>
              <c:f>Arkusz1!$B$31:$I$31</c:f>
              <c:numCache>
                <c:formatCode>0</c:formatCode>
                <c:ptCount val="8"/>
                <c:pt idx="0">
                  <c:v>40196.44350267492</c:v>
                </c:pt>
                <c:pt idx="1">
                  <c:v>40843.760690849151</c:v>
                </c:pt>
                <c:pt idx="2">
                  <c:v>41176.301120454969</c:v>
                </c:pt>
                <c:pt idx="3">
                  <c:v>42342.459235591363</c:v>
                </c:pt>
                <c:pt idx="4">
                  <c:v>43011.93218724741</c:v>
                </c:pt>
                <c:pt idx="5">
                  <c:v>43647.985104031191</c:v>
                </c:pt>
                <c:pt idx="6">
                  <c:v>45137.688831847539</c:v>
                </c:pt>
                <c:pt idx="7">
                  <c:v>45672.460897551697</c:v>
                </c:pt>
              </c:numCache>
            </c:numRef>
          </c:val>
          <c:smooth val="0"/>
          <c:extLst>
            <c:ext xmlns:c16="http://schemas.microsoft.com/office/drawing/2014/chart" uri="{C3380CC4-5D6E-409C-BE32-E72D297353CC}">
              <c16:uniqueId val="{00000000-A8F8-4500-B389-F1EB4028CDDB}"/>
            </c:ext>
          </c:extLst>
        </c:ser>
        <c:ser>
          <c:idx val="1"/>
          <c:order val="1"/>
          <c:tx>
            <c:strRef>
              <c:f>Arkusz1!$A$32</c:f>
              <c:strCache>
                <c:ptCount val="1"/>
                <c:pt idx="0">
                  <c:v>Powiat działdowski</c:v>
                </c:pt>
              </c:strCache>
            </c:strRef>
          </c:tx>
          <c:spPr>
            <a:ln w="28575" cap="rnd">
              <a:solidFill>
                <a:schemeClr val="accent2"/>
              </a:solidFill>
              <a:round/>
            </a:ln>
            <a:effectLst/>
          </c:spPr>
          <c:marker>
            <c:symbol val="none"/>
          </c:marker>
          <c:cat>
            <c:numRef>
              <c:f>Arkusz1!$B$30:$I$30</c:f>
              <c:numCache>
                <c:formatCode>General</c:formatCode>
                <c:ptCount val="8"/>
                <c:pt idx="0">
                  <c:v>2012</c:v>
                </c:pt>
                <c:pt idx="1">
                  <c:v>2013</c:v>
                </c:pt>
                <c:pt idx="2">
                  <c:v>2014</c:v>
                </c:pt>
                <c:pt idx="3">
                  <c:v>2015</c:v>
                </c:pt>
                <c:pt idx="4">
                  <c:v>2016</c:v>
                </c:pt>
                <c:pt idx="5">
                  <c:v>2017</c:v>
                </c:pt>
                <c:pt idx="6">
                  <c:v>2018</c:v>
                </c:pt>
                <c:pt idx="7">
                  <c:v>2019</c:v>
                </c:pt>
              </c:numCache>
            </c:numRef>
          </c:cat>
          <c:val>
            <c:numRef>
              <c:f>Arkusz1!$B$32:$I$32</c:f>
              <c:numCache>
                <c:formatCode>0</c:formatCode>
                <c:ptCount val="8"/>
                <c:pt idx="0">
                  <c:v>41112.543470440105</c:v>
                </c:pt>
                <c:pt idx="1">
                  <c:v>43355.644130254943</c:v>
                </c:pt>
                <c:pt idx="2">
                  <c:v>43686.449627372298</c:v>
                </c:pt>
                <c:pt idx="3">
                  <c:v>45248.135767549502</c:v>
                </c:pt>
                <c:pt idx="4">
                  <c:v>45621.335837966399</c:v>
                </c:pt>
                <c:pt idx="5">
                  <c:v>44349.57124612297</c:v>
                </c:pt>
                <c:pt idx="6">
                  <c:v>46068.121389933069</c:v>
                </c:pt>
                <c:pt idx="7">
                  <c:v>44553.953852530743</c:v>
                </c:pt>
              </c:numCache>
            </c:numRef>
          </c:val>
          <c:smooth val="0"/>
          <c:extLst>
            <c:ext xmlns:c16="http://schemas.microsoft.com/office/drawing/2014/chart" uri="{C3380CC4-5D6E-409C-BE32-E72D297353CC}">
              <c16:uniqueId val="{00000001-A8F8-4500-B389-F1EB4028CDDB}"/>
            </c:ext>
          </c:extLst>
        </c:ser>
        <c:ser>
          <c:idx val="2"/>
          <c:order val="2"/>
          <c:tx>
            <c:strRef>
              <c:f>Arkusz1!$A$33</c:f>
              <c:strCache>
                <c:ptCount val="1"/>
                <c:pt idx="0">
                  <c:v>Powiat nidzicki</c:v>
                </c:pt>
              </c:strCache>
            </c:strRef>
          </c:tx>
          <c:spPr>
            <a:ln w="28575" cap="rnd">
              <a:solidFill>
                <a:schemeClr val="accent3"/>
              </a:solidFill>
              <a:round/>
            </a:ln>
            <a:effectLst/>
          </c:spPr>
          <c:marker>
            <c:symbol val="none"/>
          </c:marker>
          <c:cat>
            <c:numRef>
              <c:f>Arkusz1!$B$30:$I$30</c:f>
              <c:numCache>
                <c:formatCode>General</c:formatCode>
                <c:ptCount val="8"/>
                <c:pt idx="0">
                  <c:v>2012</c:v>
                </c:pt>
                <c:pt idx="1">
                  <c:v>2013</c:v>
                </c:pt>
                <c:pt idx="2">
                  <c:v>2014</c:v>
                </c:pt>
                <c:pt idx="3">
                  <c:v>2015</c:v>
                </c:pt>
                <c:pt idx="4">
                  <c:v>2016</c:v>
                </c:pt>
                <c:pt idx="5">
                  <c:v>2017</c:v>
                </c:pt>
                <c:pt idx="6">
                  <c:v>2018</c:v>
                </c:pt>
                <c:pt idx="7">
                  <c:v>2019</c:v>
                </c:pt>
              </c:numCache>
            </c:numRef>
          </c:cat>
          <c:val>
            <c:numRef>
              <c:f>Arkusz1!$B$33:$I$33</c:f>
              <c:numCache>
                <c:formatCode>0</c:formatCode>
                <c:ptCount val="8"/>
                <c:pt idx="0">
                  <c:v>44792.722585181495</c:v>
                </c:pt>
                <c:pt idx="1">
                  <c:v>46506.20889006873</c:v>
                </c:pt>
                <c:pt idx="2">
                  <c:v>43693.25733187631</c:v>
                </c:pt>
                <c:pt idx="3">
                  <c:v>44158.595281953771</c:v>
                </c:pt>
                <c:pt idx="4">
                  <c:v>43839.435271596078</c:v>
                </c:pt>
                <c:pt idx="5">
                  <c:v>43293.420379674477</c:v>
                </c:pt>
                <c:pt idx="6">
                  <c:v>46851.639046812626</c:v>
                </c:pt>
                <c:pt idx="7">
                  <c:v>48045.774112061357</c:v>
                </c:pt>
              </c:numCache>
            </c:numRef>
          </c:val>
          <c:smooth val="0"/>
          <c:extLst>
            <c:ext xmlns:c16="http://schemas.microsoft.com/office/drawing/2014/chart" uri="{C3380CC4-5D6E-409C-BE32-E72D297353CC}">
              <c16:uniqueId val="{00000002-A8F8-4500-B389-F1EB4028CDDB}"/>
            </c:ext>
          </c:extLst>
        </c:ser>
        <c:ser>
          <c:idx val="3"/>
          <c:order val="3"/>
          <c:tx>
            <c:strRef>
              <c:f>Arkusz1!$A$34</c:f>
              <c:strCache>
                <c:ptCount val="1"/>
                <c:pt idx="0">
                  <c:v>Powiat piski</c:v>
                </c:pt>
              </c:strCache>
            </c:strRef>
          </c:tx>
          <c:spPr>
            <a:ln w="28575" cap="rnd">
              <a:solidFill>
                <a:schemeClr val="accent4"/>
              </a:solidFill>
              <a:round/>
            </a:ln>
            <a:effectLst/>
          </c:spPr>
          <c:marker>
            <c:symbol val="none"/>
          </c:marker>
          <c:cat>
            <c:numRef>
              <c:f>Arkusz1!$B$30:$I$30</c:f>
              <c:numCache>
                <c:formatCode>General</c:formatCode>
                <c:ptCount val="8"/>
                <c:pt idx="0">
                  <c:v>2012</c:v>
                </c:pt>
                <c:pt idx="1">
                  <c:v>2013</c:v>
                </c:pt>
                <c:pt idx="2">
                  <c:v>2014</c:v>
                </c:pt>
                <c:pt idx="3">
                  <c:v>2015</c:v>
                </c:pt>
                <c:pt idx="4">
                  <c:v>2016</c:v>
                </c:pt>
                <c:pt idx="5">
                  <c:v>2017</c:v>
                </c:pt>
                <c:pt idx="6">
                  <c:v>2018</c:v>
                </c:pt>
                <c:pt idx="7">
                  <c:v>2019</c:v>
                </c:pt>
              </c:numCache>
            </c:numRef>
          </c:cat>
          <c:val>
            <c:numRef>
              <c:f>Arkusz1!$B$34:$I$34</c:f>
              <c:numCache>
                <c:formatCode>0</c:formatCode>
                <c:ptCount val="8"/>
                <c:pt idx="0">
                  <c:v>37186.289531220413</c:v>
                </c:pt>
                <c:pt idx="1">
                  <c:v>38311.108805064076</c:v>
                </c:pt>
                <c:pt idx="2">
                  <c:v>37920.06369978017</c:v>
                </c:pt>
                <c:pt idx="3">
                  <c:v>39648.949105436863</c:v>
                </c:pt>
                <c:pt idx="4">
                  <c:v>40355.52840562004</c:v>
                </c:pt>
                <c:pt idx="5">
                  <c:v>40193.033917060406</c:v>
                </c:pt>
                <c:pt idx="6">
                  <c:v>42533.851864946082</c:v>
                </c:pt>
                <c:pt idx="7">
                  <c:v>43219.381847332326</c:v>
                </c:pt>
              </c:numCache>
            </c:numRef>
          </c:val>
          <c:smooth val="0"/>
          <c:extLst>
            <c:ext xmlns:c16="http://schemas.microsoft.com/office/drawing/2014/chart" uri="{C3380CC4-5D6E-409C-BE32-E72D297353CC}">
              <c16:uniqueId val="{00000003-A8F8-4500-B389-F1EB4028CDDB}"/>
            </c:ext>
          </c:extLst>
        </c:ser>
        <c:ser>
          <c:idx val="4"/>
          <c:order val="4"/>
          <c:tx>
            <c:strRef>
              <c:f>Arkusz1!$A$35</c:f>
              <c:strCache>
                <c:ptCount val="1"/>
                <c:pt idx="0">
                  <c:v>Powiat szczycieński</c:v>
                </c:pt>
              </c:strCache>
            </c:strRef>
          </c:tx>
          <c:spPr>
            <a:ln w="28575" cap="rnd">
              <a:solidFill>
                <a:schemeClr val="accent5"/>
              </a:solidFill>
              <a:round/>
            </a:ln>
            <a:effectLst/>
          </c:spPr>
          <c:marker>
            <c:symbol val="none"/>
          </c:marker>
          <c:cat>
            <c:numRef>
              <c:f>Arkusz1!$B$30:$I$30</c:f>
              <c:numCache>
                <c:formatCode>General</c:formatCode>
                <c:ptCount val="8"/>
                <c:pt idx="0">
                  <c:v>2012</c:v>
                </c:pt>
                <c:pt idx="1">
                  <c:v>2013</c:v>
                </c:pt>
                <c:pt idx="2">
                  <c:v>2014</c:v>
                </c:pt>
                <c:pt idx="3">
                  <c:v>2015</c:v>
                </c:pt>
                <c:pt idx="4">
                  <c:v>2016</c:v>
                </c:pt>
                <c:pt idx="5">
                  <c:v>2017</c:v>
                </c:pt>
                <c:pt idx="6">
                  <c:v>2018</c:v>
                </c:pt>
                <c:pt idx="7">
                  <c:v>2019</c:v>
                </c:pt>
              </c:numCache>
            </c:numRef>
          </c:cat>
          <c:val>
            <c:numRef>
              <c:f>Arkusz1!$B$35:$I$35</c:f>
              <c:numCache>
                <c:formatCode>0</c:formatCode>
                <c:ptCount val="8"/>
                <c:pt idx="0">
                  <c:v>43318.795663941441</c:v>
                </c:pt>
                <c:pt idx="1">
                  <c:v>45701.353006603124</c:v>
                </c:pt>
                <c:pt idx="2">
                  <c:v>46132.231171798958</c:v>
                </c:pt>
                <c:pt idx="3">
                  <c:v>47964.14907184356</c:v>
                </c:pt>
                <c:pt idx="4">
                  <c:v>48939.204722845061</c:v>
                </c:pt>
                <c:pt idx="5">
                  <c:v>48148.332929454191</c:v>
                </c:pt>
                <c:pt idx="6">
                  <c:v>51101.23774772841</c:v>
                </c:pt>
                <c:pt idx="7">
                  <c:v>50846.402214022142</c:v>
                </c:pt>
              </c:numCache>
            </c:numRef>
          </c:val>
          <c:smooth val="0"/>
          <c:extLst>
            <c:ext xmlns:c16="http://schemas.microsoft.com/office/drawing/2014/chart" uri="{C3380CC4-5D6E-409C-BE32-E72D297353CC}">
              <c16:uniqueId val="{00000004-A8F8-4500-B389-F1EB4028CDDB}"/>
            </c:ext>
          </c:extLst>
        </c:ser>
        <c:dLbls>
          <c:showLegendKey val="0"/>
          <c:showVal val="0"/>
          <c:showCatName val="0"/>
          <c:showSerName val="0"/>
          <c:showPercent val="0"/>
          <c:showBubbleSize val="0"/>
        </c:dLbls>
        <c:smooth val="0"/>
        <c:axId val="513443568"/>
        <c:axId val="513442392"/>
      </c:lineChart>
      <c:catAx>
        <c:axId val="5134435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13442392"/>
        <c:crosses val="autoZero"/>
        <c:auto val="1"/>
        <c:lblAlgn val="ctr"/>
        <c:lblOffset val="100"/>
        <c:noMultiLvlLbl val="0"/>
      </c:catAx>
      <c:valAx>
        <c:axId val="513442392"/>
        <c:scaling>
          <c:orientation val="minMax"/>
          <c:min val="3000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134435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wykres_lekarze!$A$2</c:f>
              <c:strCache>
                <c:ptCount val="1"/>
                <c:pt idx="0">
                  <c:v>Województwo warmińsko-mazurskie</c:v>
                </c:pt>
              </c:strCache>
            </c:strRef>
          </c:tx>
          <c:spPr>
            <a:ln w="28575" cap="rnd">
              <a:solidFill>
                <a:schemeClr val="tx1">
                  <a:lumMod val="75000"/>
                  <a:lumOff val="25000"/>
                </a:schemeClr>
              </a:solidFill>
              <a:round/>
            </a:ln>
            <a:effectLst/>
          </c:spPr>
          <c:marker>
            <c:symbol val="none"/>
          </c:marker>
          <c:cat>
            <c:numRef>
              <c:f>wykres_lekarze!$B$1:$I$1</c:f>
              <c:numCache>
                <c:formatCode>General</c:formatCode>
                <c:ptCount val="8"/>
                <c:pt idx="0">
                  <c:v>2010</c:v>
                </c:pt>
                <c:pt idx="1">
                  <c:v>2011</c:v>
                </c:pt>
                <c:pt idx="2">
                  <c:v>2013</c:v>
                </c:pt>
                <c:pt idx="3">
                  <c:v>2014</c:v>
                </c:pt>
                <c:pt idx="4">
                  <c:v>2015</c:v>
                </c:pt>
                <c:pt idx="5">
                  <c:v>2016</c:v>
                </c:pt>
                <c:pt idx="6">
                  <c:v>2017</c:v>
                </c:pt>
                <c:pt idx="7">
                  <c:v>2018</c:v>
                </c:pt>
              </c:numCache>
            </c:numRef>
          </c:cat>
          <c:val>
            <c:numRef>
              <c:f>wykres_lekarze!$B$2:$I$2</c:f>
              <c:numCache>
                <c:formatCode>0</c:formatCode>
                <c:ptCount val="8"/>
                <c:pt idx="0">
                  <c:v>31.2</c:v>
                </c:pt>
                <c:pt idx="1">
                  <c:v>32.700000000000003</c:v>
                </c:pt>
                <c:pt idx="2">
                  <c:v>36.5</c:v>
                </c:pt>
                <c:pt idx="3">
                  <c:v>37.700000000000003</c:v>
                </c:pt>
                <c:pt idx="4">
                  <c:v>40.200000000000003</c:v>
                </c:pt>
                <c:pt idx="5">
                  <c:v>38.700000000000003</c:v>
                </c:pt>
                <c:pt idx="6">
                  <c:v>42.7</c:v>
                </c:pt>
                <c:pt idx="7">
                  <c:v>40.6</c:v>
                </c:pt>
              </c:numCache>
            </c:numRef>
          </c:val>
          <c:smooth val="0"/>
          <c:extLst>
            <c:ext xmlns:c16="http://schemas.microsoft.com/office/drawing/2014/chart" uri="{C3380CC4-5D6E-409C-BE32-E72D297353CC}">
              <c16:uniqueId val="{00000000-E391-447F-A2E6-DCA08FF592DB}"/>
            </c:ext>
          </c:extLst>
        </c:ser>
        <c:ser>
          <c:idx val="1"/>
          <c:order val="1"/>
          <c:tx>
            <c:strRef>
              <c:f>wykres_lekarze!$A$3</c:f>
              <c:strCache>
                <c:ptCount val="1"/>
                <c:pt idx="0">
                  <c:v>Powiat działdowski</c:v>
                </c:pt>
              </c:strCache>
            </c:strRef>
          </c:tx>
          <c:spPr>
            <a:ln w="28575" cap="rnd">
              <a:solidFill>
                <a:schemeClr val="accent2"/>
              </a:solidFill>
              <a:round/>
            </a:ln>
            <a:effectLst/>
          </c:spPr>
          <c:marker>
            <c:symbol val="none"/>
          </c:marker>
          <c:cat>
            <c:numRef>
              <c:f>wykres_lekarze!$B$1:$I$1</c:f>
              <c:numCache>
                <c:formatCode>General</c:formatCode>
                <c:ptCount val="8"/>
                <c:pt idx="0">
                  <c:v>2010</c:v>
                </c:pt>
                <c:pt idx="1">
                  <c:v>2011</c:v>
                </c:pt>
                <c:pt idx="2">
                  <c:v>2013</c:v>
                </c:pt>
                <c:pt idx="3">
                  <c:v>2014</c:v>
                </c:pt>
                <c:pt idx="4">
                  <c:v>2015</c:v>
                </c:pt>
                <c:pt idx="5">
                  <c:v>2016</c:v>
                </c:pt>
                <c:pt idx="6">
                  <c:v>2017</c:v>
                </c:pt>
                <c:pt idx="7">
                  <c:v>2018</c:v>
                </c:pt>
              </c:numCache>
            </c:numRef>
          </c:cat>
          <c:val>
            <c:numRef>
              <c:f>wykres_lekarze!$B$3:$I$3</c:f>
              <c:numCache>
                <c:formatCode>0</c:formatCode>
                <c:ptCount val="8"/>
                <c:pt idx="0">
                  <c:v>26.9</c:v>
                </c:pt>
                <c:pt idx="1">
                  <c:v>24</c:v>
                </c:pt>
                <c:pt idx="2">
                  <c:v>22.9</c:v>
                </c:pt>
                <c:pt idx="3">
                  <c:v>23.8</c:v>
                </c:pt>
                <c:pt idx="4">
                  <c:v>23.4</c:v>
                </c:pt>
                <c:pt idx="5">
                  <c:v>26.8</c:v>
                </c:pt>
                <c:pt idx="6">
                  <c:v>25.8</c:v>
                </c:pt>
                <c:pt idx="7">
                  <c:v>24.8</c:v>
                </c:pt>
              </c:numCache>
            </c:numRef>
          </c:val>
          <c:smooth val="0"/>
          <c:extLst>
            <c:ext xmlns:c16="http://schemas.microsoft.com/office/drawing/2014/chart" uri="{C3380CC4-5D6E-409C-BE32-E72D297353CC}">
              <c16:uniqueId val="{00000001-E391-447F-A2E6-DCA08FF592DB}"/>
            </c:ext>
          </c:extLst>
        </c:ser>
        <c:ser>
          <c:idx val="2"/>
          <c:order val="2"/>
          <c:tx>
            <c:strRef>
              <c:f>wykres_lekarze!$A$4</c:f>
              <c:strCache>
                <c:ptCount val="1"/>
                <c:pt idx="0">
                  <c:v>Powiat nidzicki</c:v>
                </c:pt>
              </c:strCache>
            </c:strRef>
          </c:tx>
          <c:spPr>
            <a:ln w="28575" cap="rnd">
              <a:solidFill>
                <a:schemeClr val="accent3"/>
              </a:solidFill>
              <a:round/>
            </a:ln>
            <a:effectLst/>
          </c:spPr>
          <c:marker>
            <c:symbol val="none"/>
          </c:marker>
          <c:cat>
            <c:numRef>
              <c:f>wykres_lekarze!$B$1:$I$1</c:f>
              <c:numCache>
                <c:formatCode>General</c:formatCode>
                <c:ptCount val="8"/>
                <c:pt idx="0">
                  <c:v>2010</c:v>
                </c:pt>
                <c:pt idx="1">
                  <c:v>2011</c:v>
                </c:pt>
                <c:pt idx="2">
                  <c:v>2013</c:v>
                </c:pt>
                <c:pt idx="3">
                  <c:v>2014</c:v>
                </c:pt>
                <c:pt idx="4">
                  <c:v>2015</c:v>
                </c:pt>
                <c:pt idx="5">
                  <c:v>2016</c:v>
                </c:pt>
                <c:pt idx="6">
                  <c:v>2017</c:v>
                </c:pt>
                <c:pt idx="7">
                  <c:v>2018</c:v>
                </c:pt>
              </c:numCache>
            </c:numRef>
          </c:cat>
          <c:val>
            <c:numRef>
              <c:f>wykres_lekarze!$B$4:$I$4</c:f>
              <c:numCache>
                <c:formatCode>0</c:formatCode>
                <c:ptCount val="8"/>
                <c:pt idx="0">
                  <c:v>21.5</c:v>
                </c:pt>
                <c:pt idx="1">
                  <c:v>24.2</c:v>
                </c:pt>
                <c:pt idx="2">
                  <c:v>24.2</c:v>
                </c:pt>
                <c:pt idx="3">
                  <c:v>27.2</c:v>
                </c:pt>
                <c:pt idx="4">
                  <c:v>25</c:v>
                </c:pt>
                <c:pt idx="5">
                  <c:v>30.2</c:v>
                </c:pt>
                <c:pt idx="6">
                  <c:v>28.9</c:v>
                </c:pt>
                <c:pt idx="7">
                  <c:v>26</c:v>
                </c:pt>
              </c:numCache>
            </c:numRef>
          </c:val>
          <c:smooth val="0"/>
          <c:extLst>
            <c:ext xmlns:c16="http://schemas.microsoft.com/office/drawing/2014/chart" uri="{C3380CC4-5D6E-409C-BE32-E72D297353CC}">
              <c16:uniqueId val="{00000002-E391-447F-A2E6-DCA08FF592DB}"/>
            </c:ext>
          </c:extLst>
        </c:ser>
        <c:ser>
          <c:idx val="3"/>
          <c:order val="3"/>
          <c:tx>
            <c:strRef>
              <c:f>wykres_lekarze!$A$5</c:f>
              <c:strCache>
                <c:ptCount val="1"/>
                <c:pt idx="0">
                  <c:v>Powiat piski</c:v>
                </c:pt>
              </c:strCache>
            </c:strRef>
          </c:tx>
          <c:spPr>
            <a:ln w="28575" cap="rnd">
              <a:solidFill>
                <a:schemeClr val="accent4"/>
              </a:solidFill>
              <a:round/>
            </a:ln>
            <a:effectLst/>
          </c:spPr>
          <c:marker>
            <c:symbol val="none"/>
          </c:marker>
          <c:cat>
            <c:numRef>
              <c:f>wykres_lekarze!$B$1:$I$1</c:f>
              <c:numCache>
                <c:formatCode>General</c:formatCode>
                <c:ptCount val="8"/>
                <c:pt idx="0">
                  <c:v>2010</c:v>
                </c:pt>
                <c:pt idx="1">
                  <c:v>2011</c:v>
                </c:pt>
                <c:pt idx="2">
                  <c:v>2013</c:v>
                </c:pt>
                <c:pt idx="3">
                  <c:v>2014</c:v>
                </c:pt>
                <c:pt idx="4">
                  <c:v>2015</c:v>
                </c:pt>
                <c:pt idx="5">
                  <c:v>2016</c:v>
                </c:pt>
                <c:pt idx="6">
                  <c:v>2017</c:v>
                </c:pt>
                <c:pt idx="7">
                  <c:v>2018</c:v>
                </c:pt>
              </c:numCache>
            </c:numRef>
          </c:cat>
          <c:val>
            <c:numRef>
              <c:f>wykres_lekarze!$B$5:$I$5</c:f>
              <c:numCache>
                <c:formatCode>0</c:formatCode>
                <c:ptCount val="8"/>
                <c:pt idx="0">
                  <c:v>18.600000000000001</c:v>
                </c:pt>
                <c:pt idx="1">
                  <c:v>19.899999999999999</c:v>
                </c:pt>
                <c:pt idx="2">
                  <c:v>19.899999999999999</c:v>
                </c:pt>
                <c:pt idx="3">
                  <c:v>22</c:v>
                </c:pt>
                <c:pt idx="4">
                  <c:v>21.4</c:v>
                </c:pt>
                <c:pt idx="5">
                  <c:v>23.2</c:v>
                </c:pt>
                <c:pt idx="6">
                  <c:v>22.3</c:v>
                </c:pt>
                <c:pt idx="7">
                  <c:v>19.8</c:v>
                </c:pt>
              </c:numCache>
            </c:numRef>
          </c:val>
          <c:smooth val="0"/>
          <c:extLst>
            <c:ext xmlns:c16="http://schemas.microsoft.com/office/drawing/2014/chart" uri="{C3380CC4-5D6E-409C-BE32-E72D297353CC}">
              <c16:uniqueId val="{00000003-E391-447F-A2E6-DCA08FF592DB}"/>
            </c:ext>
          </c:extLst>
        </c:ser>
        <c:ser>
          <c:idx val="4"/>
          <c:order val="4"/>
          <c:tx>
            <c:strRef>
              <c:f>wykres_lekarze!$A$6</c:f>
              <c:strCache>
                <c:ptCount val="1"/>
                <c:pt idx="0">
                  <c:v>Powiat szczycieński</c:v>
                </c:pt>
              </c:strCache>
            </c:strRef>
          </c:tx>
          <c:spPr>
            <a:ln w="28575" cap="rnd">
              <a:solidFill>
                <a:schemeClr val="accent5"/>
              </a:solidFill>
              <a:round/>
            </a:ln>
            <a:effectLst/>
          </c:spPr>
          <c:marker>
            <c:symbol val="none"/>
          </c:marker>
          <c:cat>
            <c:numRef>
              <c:f>wykres_lekarze!$B$1:$I$1</c:f>
              <c:numCache>
                <c:formatCode>General</c:formatCode>
                <c:ptCount val="8"/>
                <c:pt idx="0">
                  <c:v>2010</c:v>
                </c:pt>
                <c:pt idx="1">
                  <c:v>2011</c:v>
                </c:pt>
                <c:pt idx="2">
                  <c:v>2013</c:v>
                </c:pt>
                <c:pt idx="3">
                  <c:v>2014</c:v>
                </c:pt>
                <c:pt idx="4">
                  <c:v>2015</c:v>
                </c:pt>
                <c:pt idx="5">
                  <c:v>2016</c:v>
                </c:pt>
                <c:pt idx="6">
                  <c:v>2017</c:v>
                </c:pt>
                <c:pt idx="7">
                  <c:v>2018</c:v>
                </c:pt>
              </c:numCache>
            </c:numRef>
          </c:cat>
          <c:val>
            <c:numRef>
              <c:f>wykres_lekarze!$B$6:$I$6</c:f>
              <c:numCache>
                <c:formatCode>0</c:formatCode>
                <c:ptCount val="8"/>
                <c:pt idx="0">
                  <c:v>20.3</c:v>
                </c:pt>
                <c:pt idx="1">
                  <c:v>21.1</c:v>
                </c:pt>
                <c:pt idx="2">
                  <c:v>20.100000000000001</c:v>
                </c:pt>
                <c:pt idx="3">
                  <c:v>29.2</c:v>
                </c:pt>
                <c:pt idx="4">
                  <c:v>24.1</c:v>
                </c:pt>
                <c:pt idx="5">
                  <c:v>26.3</c:v>
                </c:pt>
                <c:pt idx="6">
                  <c:v>23.7</c:v>
                </c:pt>
                <c:pt idx="7">
                  <c:v>20.6</c:v>
                </c:pt>
              </c:numCache>
            </c:numRef>
          </c:val>
          <c:smooth val="0"/>
          <c:extLst>
            <c:ext xmlns:c16="http://schemas.microsoft.com/office/drawing/2014/chart" uri="{C3380CC4-5D6E-409C-BE32-E72D297353CC}">
              <c16:uniqueId val="{00000004-E391-447F-A2E6-DCA08FF592DB}"/>
            </c:ext>
          </c:extLst>
        </c:ser>
        <c:dLbls>
          <c:showLegendKey val="0"/>
          <c:showVal val="0"/>
          <c:showCatName val="0"/>
          <c:showSerName val="0"/>
          <c:showPercent val="0"/>
          <c:showBubbleSize val="0"/>
        </c:dLbls>
        <c:smooth val="0"/>
        <c:axId val="513441608"/>
        <c:axId val="513442784"/>
      </c:lineChart>
      <c:catAx>
        <c:axId val="5134416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13442784"/>
        <c:crosses val="autoZero"/>
        <c:auto val="1"/>
        <c:lblAlgn val="ctr"/>
        <c:lblOffset val="100"/>
        <c:noMultiLvlLbl val="0"/>
      </c:catAx>
      <c:valAx>
        <c:axId val="51344278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134416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wykres_pielęgniarki!$A$2</c:f>
              <c:strCache>
                <c:ptCount val="1"/>
                <c:pt idx="0">
                  <c:v>Województwo warmińsko-mazurskie</c:v>
                </c:pt>
              </c:strCache>
            </c:strRef>
          </c:tx>
          <c:spPr>
            <a:ln w="28575" cap="rnd">
              <a:solidFill>
                <a:schemeClr val="tx1">
                  <a:lumMod val="75000"/>
                  <a:lumOff val="25000"/>
                </a:schemeClr>
              </a:solidFill>
              <a:round/>
            </a:ln>
            <a:effectLst/>
          </c:spPr>
          <c:marker>
            <c:symbol val="none"/>
          </c:marker>
          <c:cat>
            <c:numRef>
              <c:f>wykres_pielęgniarki!$B$1:$I$1</c:f>
              <c:numCache>
                <c:formatCode>General</c:formatCode>
                <c:ptCount val="8"/>
                <c:pt idx="0">
                  <c:v>2010</c:v>
                </c:pt>
                <c:pt idx="1">
                  <c:v>2011</c:v>
                </c:pt>
                <c:pt idx="2">
                  <c:v>2013</c:v>
                </c:pt>
                <c:pt idx="3">
                  <c:v>2014</c:v>
                </c:pt>
                <c:pt idx="4">
                  <c:v>2015</c:v>
                </c:pt>
                <c:pt idx="5">
                  <c:v>2016</c:v>
                </c:pt>
                <c:pt idx="6">
                  <c:v>2017</c:v>
                </c:pt>
                <c:pt idx="7">
                  <c:v>2018</c:v>
                </c:pt>
              </c:numCache>
            </c:numRef>
          </c:cat>
          <c:val>
            <c:numRef>
              <c:f>wykres_pielęgniarki!$B$2:$H$2</c:f>
              <c:numCache>
                <c:formatCode>0</c:formatCode>
                <c:ptCount val="7"/>
                <c:pt idx="0">
                  <c:v>55.8</c:v>
                </c:pt>
                <c:pt idx="1">
                  <c:v>60.2</c:v>
                </c:pt>
                <c:pt idx="2">
                  <c:v>63.3</c:v>
                </c:pt>
                <c:pt idx="3">
                  <c:v>62.8</c:v>
                </c:pt>
                <c:pt idx="4">
                  <c:v>60.4</c:v>
                </c:pt>
                <c:pt idx="5">
                  <c:v>64.400000000000006</c:v>
                </c:pt>
                <c:pt idx="6">
                  <c:v>63.5</c:v>
                </c:pt>
              </c:numCache>
            </c:numRef>
          </c:val>
          <c:smooth val="0"/>
          <c:extLst>
            <c:ext xmlns:c16="http://schemas.microsoft.com/office/drawing/2014/chart" uri="{C3380CC4-5D6E-409C-BE32-E72D297353CC}">
              <c16:uniqueId val="{00000000-5DBD-455F-88CC-E80244F18EFC}"/>
            </c:ext>
          </c:extLst>
        </c:ser>
        <c:ser>
          <c:idx val="1"/>
          <c:order val="1"/>
          <c:tx>
            <c:strRef>
              <c:f>wykres_pielęgniarki!$A$3</c:f>
              <c:strCache>
                <c:ptCount val="1"/>
                <c:pt idx="0">
                  <c:v>Powiat działdowski</c:v>
                </c:pt>
              </c:strCache>
            </c:strRef>
          </c:tx>
          <c:spPr>
            <a:ln w="28575" cap="rnd">
              <a:solidFill>
                <a:schemeClr val="accent2"/>
              </a:solidFill>
              <a:round/>
            </a:ln>
            <a:effectLst/>
          </c:spPr>
          <c:marker>
            <c:symbol val="none"/>
          </c:marker>
          <c:cat>
            <c:numRef>
              <c:f>wykres_pielęgniarki!$B$1:$I$1</c:f>
              <c:numCache>
                <c:formatCode>General</c:formatCode>
                <c:ptCount val="8"/>
                <c:pt idx="0">
                  <c:v>2010</c:v>
                </c:pt>
                <c:pt idx="1">
                  <c:v>2011</c:v>
                </c:pt>
                <c:pt idx="2">
                  <c:v>2013</c:v>
                </c:pt>
                <c:pt idx="3">
                  <c:v>2014</c:v>
                </c:pt>
                <c:pt idx="4">
                  <c:v>2015</c:v>
                </c:pt>
                <c:pt idx="5">
                  <c:v>2016</c:v>
                </c:pt>
                <c:pt idx="6">
                  <c:v>2017</c:v>
                </c:pt>
                <c:pt idx="7">
                  <c:v>2018</c:v>
                </c:pt>
              </c:numCache>
            </c:numRef>
          </c:cat>
          <c:val>
            <c:numRef>
              <c:f>wykres_pielęgniarki!$B$3:$H$3</c:f>
              <c:numCache>
                <c:formatCode>0</c:formatCode>
                <c:ptCount val="7"/>
                <c:pt idx="0">
                  <c:v>59.7</c:v>
                </c:pt>
                <c:pt idx="1">
                  <c:v>59.9</c:v>
                </c:pt>
                <c:pt idx="2">
                  <c:v>58.2</c:v>
                </c:pt>
                <c:pt idx="3">
                  <c:v>57</c:v>
                </c:pt>
                <c:pt idx="4">
                  <c:v>57.2</c:v>
                </c:pt>
                <c:pt idx="5">
                  <c:v>58</c:v>
                </c:pt>
                <c:pt idx="6">
                  <c:v>59</c:v>
                </c:pt>
              </c:numCache>
            </c:numRef>
          </c:val>
          <c:smooth val="0"/>
          <c:extLst>
            <c:ext xmlns:c16="http://schemas.microsoft.com/office/drawing/2014/chart" uri="{C3380CC4-5D6E-409C-BE32-E72D297353CC}">
              <c16:uniqueId val="{00000001-5DBD-455F-88CC-E80244F18EFC}"/>
            </c:ext>
          </c:extLst>
        </c:ser>
        <c:ser>
          <c:idx val="2"/>
          <c:order val="2"/>
          <c:tx>
            <c:strRef>
              <c:f>wykres_pielęgniarki!$A$4</c:f>
              <c:strCache>
                <c:ptCount val="1"/>
                <c:pt idx="0">
                  <c:v>Powiat nidzicki</c:v>
                </c:pt>
              </c:strCache>
            </c:strRef>
          </c:tx>
          <c:spPr>
            <a:ln w="28575" cap="rnd">
              <a:solidFill>
                <a:schemeClr val="accent3"/>
              </a:solidFill>
              <a:round/>
            </a:ln>
            <a:effectLst/>
          </c:spPr>
          <c:marker>
            <c:symbol val="none"/>
          </c:marker>
          <c:cat>
            <c:numRef>
              <c:f>wykres_pielęgniarki!$B$1:$I$1</c:f>
              <c:numCache>
                <c:formatCode>General</c:formatCode>
                <c:ptCount val="8"/>
                <c:pt idx="0">
                  <c:v>2010</c:v>
                </c:pt>
                <c:pt idx="1">
                  <c:v>2011</c:v>
                </c:pt>
                <c:pt idx="2">
                  <c:v>2013</c:v>
                </c:pt>
                <c:pt idx="3">
                  <c:v>2014</c:v>
                </c:pt>
                <c:pt idx="4">
                  <c:v>2015</c:v>
                </c:pt>
                <c:pt idx="5">
                  <c:v>2016</c:v>
                </c:pt>
                <c:pt idx="6">
                  <c:v>2017</c:v>
                </c:pt>
                <c:pt idx="7">
                  <c:v>2018</c:v>
                </c:pt>
              </c:numCache>
            </c:numRef>
          </c:cat>
          <c:val>
            <c:numRef>
              <c:f>wykres_pielęgniarki!$B$4:$H$4</c:f>
              <c:numCache>
                <c:formatCode>0</c:formatCode>
                <c:ptCount val="7"/>
                <c:pt idx="0">
                  <c:v>40.700000000000003</c:v>
                </c:pt>
                <c:pt idx="1">
                  <c:v>38.5</c:v>
                </c:pt>
                <c:pt idx="2">
                  <c:v>47.2</c:v>
                </c:pt>
                <c:pt idx="3">
                  <c:v>39</c:v>
                </c:pt>
                <c:pt idx="4">
                  <c:v>35.1</c:v>
                </c:pt>
                <c:pt idx="5">
                  <c:v>40.700000000000003</c:v>
                </c:pt>
                <c:pt idx="6">
                  <c:v>38.200000000000003</c:v>
                </c:pt>
              </c:numCache>
            </c:numRef>
          </c:val>
          <c:smooth val="0"/>
          <c:extLst>
            <c:ext xmlns:c16="http://schemas.microsoft.com/office/drawing/2014/chart" uri="{C3380CC4-5D6E-409C-BE32-E72D297353CC}">
              <c16:uniqueId val="{00000002-5DBD-455F-88CC-E80244F18EFC}"/>
            </c:ext>
          </c:extLst>
        </c:ser>
        <c:ser>
          <c:idx val="3"/>
          <c:order val="3"/>
          <c:tx>
            <c:strRef>
              <c:f>wykres_pielęgniarki!$A$5</c:f>
              <c:strCache>
                <c:ptCount val="1"/>
                <c:pt idx="0">
                  <c:v>Powiat piski</c:v>
                </c:pt>
              </c:strCache>
            </c:strRef>
          </c:tx>
          <c:spPr>
            <a:ln w="28575" cap="rnd">
              <a:solidFill>
                <a:schemeClr val="accent4"/>
              </a:solidFill>
              <a:round/>
            </a:ln>
            <a:effectLst/>
          </c:spPr>
          <c:marker>
            <c:symbol val="none"/>
          </c:marker>
          <c:cat>
            <c:numRef>
              <c:f>wykres_pielęgniarki!$B$1:$I$1</c:f>
              <c:numCache>
                <c:formatCode>General</c:formatCode>
                <c:ptCount val="8"/>
                <c:pt idx="0">
                  <c:v>2010</c:v>
                </c:pt>
                <c:pt idx="1">
                  <c:v>2011</c:v>
                </c:pt>
                <c:pt idx="2">
                  <c:v>2013</c:v>
                </c:pt>
                <c:pt idx="3">
                  <c:v>2014</c:v>
                </c:pt>
                <c:pt idx="4">
                  <c:v>2015</c:v>
                </c:pt>
                <c:pt idx="5">
                  <c:v>2016</c:v>
                </c:pt>
                <c:pt idx="6">
                  <c:v>2017</c:v>
                </c:pt>
                <c:pt idx="7">
                  <c:v>2018</c:v>
                </c:pt>
              </c:numCache>
            </c:numRef>
          </c:cat>
          <c:val>
            <c:numRef>
              <c:f>wykres_pielęgniarki!$B$5:$H$5</c:f>
              <c:numCache>
                <c:formatCode>0</c:formatCode>
                <c:ptCount val="7"/>
                <c:pt idx="0">
                  <c:v>44.9</c:v>
                </c:pt>
                <c:pt idx="1">
                  <c:v>42.7</c:v>
                </c:pt>
                <c:pt idx="2">
                  <c:v>45.5</c:v>
                </c:pt>
                <c:pt idx="3">
                  <c:v>45.5</c:v>
                </c:pt>
                <c:pt idx="4">
                  <c:v>45.2</c:v>
                </c:pt>
                <c:pt idx="5">
                  <c:v>45</c:v>
                </c:pt>
                <c:pt idx="6">
                  <c:v>44.4</c:v>
                </c:pt>
              </c:numCache>
            </c:numRef>
          </c:val>
          <c:smooth val="0"/>
          <c:extLst>
            <c:ext xmlns:c16="http://schemas.microsoft.com/office/drawing/2014/chart" uri="{C3380CC4-5D6E-409C-BE32-E72D297353CC}">
              <c16:uniqueId val="{00000003-5DBD-455F-88CC-E80244F18EFC}"/>
            </c:ext>
          </c:extLst>
        </c:ser>
        <c:ser>
          <c:idx val="4"/>
          <c:order val="4"/>
          <c:tx>
            <c:strRef>
              <c:f>wykres_pielęgniarki!$A$6</c:f>
              <c:strCache>
                <c:ptCount val="1"/>
                <c:pt idx="0">
                  <c:v>Powiat szczycieński</c:v>
                </c:pt>
              </c:strCache>
            </c:strRef>
          </c:tx>
          <c:spPr>
            <a:ln w="28575" cap="rnd">
              <a:solidFill>
                <a:schemeClr val="accent5"/>
              </a:solidFill>
              <a:round/>
            </a:ln>
            <a:effectLst/>
          </c:spPr>
          <c:marker>
            <c:symbol val="none"/>
          </c:marker>
          <c:cat>
            <c:numRef>
              <c:f>wykres_pielęgniarki!$B$1:$I$1</c:f>
              <c:numCache>
                <c:formatCode>General</c:formatCode>
                <c:ptCount val="8"/>
                <c:pt idx="0">
                  <c:v>2010</c:v>
                </c:pt>
                <c:pt idx="1">
                  <c:v>2011</c:v>
                </c:pt>
                <c:pt idx="2">
                  <c:v>2013</c:v>
                </c:pt>
                <c:pt idx="3">
                  <c:v>2014</c:v>
                </c:pt>
                <c:pt idx="4">
                  <c:v>2015</c:v>
                </c:pt>
                <c:pt idx="5">
                  <c:v>2016</c:v>
                </c:pt>
                <c:pt idx="6">
                  <c:v>2017</c:v>
                </c:pt>
                <c:pt idx="7">
                  <c:v>2018</c:v>
                </c:pt>
              </c:numCache>
            </c:numRef>
          </c:cat>
          <c:val>
            <c:numRef>
              <c:f>wykres_pielęgniarki!$B$6:$H$6</c:f>
              <c:numCache>
                <c:formatCode>0</c:formatCode>
                <c:ptCount val="7"/>
                <c:pt idx="0">
                  <c:v>36.299999999999997</c:v>
                </c:pt>
                <c:pt idx="1">
                  <c:v>37.200000000000003</c:v>
                </c:pt>
                <c:pt idx="2">
                  <c:v>35.200000000000003</c:v>
                </c:pt>
                <c:pt idx="3">
                  <c:v>42.5</c:v>
                </c:pt>
                <c:pt idx="4">
                  <c:v>34.6</c:v>
                </c:pt>
                <c:pt idx="5">
                  <c:v>54.6</c:v>
                </c:pt>
                <c:pt idx="6">
                  <c:v>37.799999999999997</c:v>
                </c:pt>
              </c:numCache>
            </c:numRef>
          </c:val>
          <c:smooth val="0"/>
          <c:extLst>
            <c:ext xmlns:c16="http://schemas.microsoft.com/office/drawing/2014/chart" uri="{C3380CC4-5D6E-409C-BE32-E72D297353CC}">
              <c16:uniqueId val="{00000004-5DBD-455F-88CC-E80244F18EFC}"/>
            </c:ext>
          </c:extLst>
        </c:ser>
        <c:dLbls>
          <c:showLegendKey val="0"/>
          <c:showVal val="0"/>
          <c:showCatName val="0"/>
          <c:showSerName val="0"/>
          <c:showPercent val="0"/>
          <c:showBubbleSize val="0"/>
        </c:dLbls>
        <c:smooth val="0"/>
        <c:axId val="513440824"/>
        <c:axId val="397998664"/>
      </c:lineChart>
      <c:catAx>
        <c:axId val="5134408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97998664"/>
        <c:crosses val="autoZero"/>
        <c:auto val="1"/>
        <c:lblAlgn val="ctr"/>
        <c:lblOffset val="100"/>
        <c:noMultiLvlLbl val="0"/>
      </c:catAx>
      <c:valAx>
        <c:axId val="39799866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134408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wybrane!$B$15</c:f>
              <c:strCache>
                <c:ptCount val="1"/>
                <c:pt idx="0">
                  <c:v>ubóstwo</c:v>
                </c:pt>
              </c:strCache>
            </c:strRef>
          </c:tx>
          <c:spPr>
            <a:ln w="28575" cap="rnd">
              <a:solidFill>
                <a:schemeClr val="accent1"/>
              </a:solidFill>
              <a:round/>
            </a:ln>
            <a:effectLst/>
          </c:spPr>
          <c:marker>
            <c:symbol val="none"/>
          </c:marker>
          <c:cat>
            <c:strRef>
              <c:f>wybrane!$C$14:$H$14</c:f>
              <c:strCache>
                <c:ptCount val="6"/>
                <c:pt idx="0">
                  <c:v>2014</c:v>
                </c:pt>
                <c:pt idx="1">
                  <c:v>2015</c:v>
                </c:pt>
                <c:pt idx="2">
                  <c:v>2016</c:v>
                </c:pt>
                <c:pt idx="3">
                  <c:v>2017</c:v>
                </c:pt>
                <c:pt idx="4">
                  <c:v>2018</c:v>
                </c:pt>
                <c:pt idx="5">
                  <c:v>2019</c:v>
                </c:pt>
              </c:strCache>
            </c:strRef>
          </c:cat>
          <c:val>
            <c:numRef>
              <c:f>wybrane!$C$15:$H$15</c:f>
              <c:numCache>
                <c:formatCode>General</c:formatCode>
                <c:ptCount val="6"/>
                <c:pt idx="0">
                  <c:v>7119</c:v>
                </c:pt>
                <c:pt idx="1">
                  <c:v>6849</c:v>
                </c:pt>
                <c:pt idx="2">
                  <c:v>7762</c:v>
                </c:pt>
                <c:pt idx="3">
                  <c:v>5816</c:v>
                </c:pt>
                <c:pt idx="4">
                  <c:v>4887</c:v>
                </c:pt>
                <c:pt idx="5">
                  <c:v>4444</c:v>
                </c:pt>
              </c:numCache>
            </c:numRef>
          </c:val>
          <c:smooth val="0"/>
          <c:extLst>
            <c:ext xmlns:c16="http://schemas.microsoft.com/office/drawing/2014/chart" uri="{C3380CC4-5D6E-409C-BE32-E72D297353CC}">
              <c16:uniqueId val="{00000000-65B1-44D7-B515-6C66374B61B4}"/>
            </c:ext>
          </c:extLst>
        </c:ser>
        <c:ser>
          <c:idx val="1"/>
          <c:order val="1"/>
          <c:tx>
            <c:strRef>
              <c:f>wybrane!$B$16</c:f>
              <c:strCache>
                <c:ptCount val="1"/>
                <c:pt idx="0">
                  <c:v>potrzeba ochrony macierzyństwa</c:v>
                </c:pt>
              </c:strCache>
            </c:strRef>
          </c:tx>
          <c:spPr>
            <a:ln w="28575" cap="rnd">
              <a:solidFill>
                <a:schemeClr val="accent2"/>
              </a:solidFill>
              <a:round/>
            </a:ln>
            <a:effectLst/>
          </c:spPr>
          <c:marker>
            <c:symbol val="none"/>
          </c:marker>
          <c:cat>
            <c:strRef>
              <c:f>wybrane!$C$14:$H$14</c:f>
              <c:strCache>
                <c:ptCount val="6"/>
                <c:pt idx="0">
                  <c:v>2014</c:v>
                </c:pt>
                <c:pt idx="1">
                  <c:v>2015</c:v>
                </c:pt>
                <c:pt idx="2">
                  <c:v>2016</c:v>
                </c:pt>
                <c:pt idx="3">
                  <c:v>2017</c:v>
                </c:pt>
                <c:pt idx="4">
                  <c:v>2018</c:v>
                </c:pt>
                <c:pt idx="5">
                  <c:v>2019</c:v>
                </c:pt>
              </c:strCache>
            </c:strRef>
          </c:cat>
          <c:val>
            <c:numRef>
              <c:f>wybrane!$C$16:$H$16</c:f>
              <c:numCache>
                <c:formatCode>General</c:formatCode>
                <c:ptCount val="6"/>
                <c:pt idx="0">
                  <c:v>1282</c:v>
                </c:pt>
                <c:pt idx="1">
                  <c:v>1266</c:v>
                </c:pt>
                <c:pt idx="2">
                  <c:v>1847</c:v>
                </c:pt>
                <c:pt idx="3">
                  <c:v>1033</c:v>
                </c:pt>
                <c:pt idx="4">
                  <c:v>980</c:v>
                </c:pt>
                <c:pt idx="5">
                  <c:v>895</c:v>
                </c:pt>
              </c:numCache>
            </c:numRef>
          </c:val>
          <c:smooth val="0"/>
          <c:extLst>
            <c:ext xmlns:c16="http://schemas.microsoft.com/office/drawing/2014/chart" uri="{C3380CC4-5D6E-409C-BE32-E72D297353CC}">
              <c16:uniqueId val="{00000001-65B1-44D7-B515-6C66374B61B4}"/>
            </c:ext>
          </c:extLst>
        </c:ser>
        <c:ser>
          <c:idx val="2"/>
          <c:order val="2"/>
          <c:tx>
            <c:strRef>
              <c:f>wybrane!$B$17</c:f>
              <c:strCache>
                <c:ptCount val="1"/>
                <c:pt idx="0">
                  <c:v>bezrobocie</c:v>
                </c:pt>
              </c:strCache>
            </c:strRef>
          </c:tx>
          <c:spPr>
            <a:ln w="28575" cap="rnd">
              <a:solidFill>
                <a:schemeClr val="accent3"/>
              </a:solidFill>
              <a:round/>
            </a:ln>
            <a:effectLst/>
          </c:spPr>
          <c:marker>
            <c:symbol val="none"/>
          </c:marker>
          <c:cat>
            <c:strRef>
              <c:f>wybrane!$C$14:$H$14</c:f>
              <c:strCache>
                <c:ptCount val="6"/>
                <c:pt idx="0">
                  <c:v>2014</c:v>
                </c:pt>
                <c:pt idx="1">
                  <c:v>2015</c:v>
                </c:pt>
                <c:pt idx="2">
                  <c:v>2016</c:v>
                </c:pt>
                <c:pt idx="3">
                  <c:v>2017</c:v>
                </c:pt>
                <c:pt idx="4">
                  <c:v>2018</c:v>
                </c:pt>
                <c:pt idx="5">
                  <c:v>2019</c:v>
                </c:pt>
              </c:strCache>
            </c:strRef>
          </c:cat>
          <c:val>
            <c:numRef>
              <c:f>wybrane!$C$17:$H$17</c:f>
              <c:numCache>
                <c:formatCode>General</c:formatCode>
                <c:ptCount val="6"/>
                <c:pt idx="0">
                  <c:v>7463</c:v>
                </c:pt>
                <c:pt idx="1">
                  <c:v>6708</c:v>
                </c:pt>
                <c:pt idx="2">
                  <c:v>8081</c:v>
                </c:pt>
                <c:pt idx="3">
                  <c:v>4690</c:v>
                </c:pt>
                <c:pt idx="4">
                  <c:v>3796</c:v>
                </c:pt>
                <c:pt idx="5">
                  <c:v>3193</c:v>
                </c:pt>
              </c:numCache>
            </c:numRef>
          </c:val>
          <c:smooth val="0"/>
          <c:extLst>
            <c:ext xmlns:c16="http://schemas.microsoft.com/office/drawing/2014/chart" uri="{C3380CC4-5D6E-409C-BE32-E72D297353CC}">
              <c16:uniqueId val="{00000002-65B1-44D7-B515-6C66374B61B4}"/>
            </c:ext>
          </c:extLst>
        </c:ser>
        <c:ser>
          <c:idx val="3"/>
          <c:order val="3"/>
          <c:tx>
            <c:strRef>
              <c:f>wybrane!$B$18</c:f>
              <c:strCache>
                <c:ptCount val="1"/>
                <c:pt idx="0">
                  <c:v>niepełnosprawność</c:v>
                </c:pt>
              </c:strCache>
            </c:strRef>
          </c:tx>
          <c:spPr>
            <a:ln w="28575" cap="rnd">
              <a:solidFill>
                <a:schemeClr val="accent4"/>
              </a:solidFill>
              <a:round/>
            </a:ln>
            <a:effectLst/>
          </c:spPr>
          <c:marker>
            <c:symbol val="none"/>
          </c:marker>
          <c:cat>
            <c:strRef>
              <c:f>wybrane!$C$14:$H$14</c:f>
              <c:strCache>
                <c:ptCount val="6"/>
                <c:pt idx="0">
                  <c:v>2014</c:v>
                </c:pt>
                <c:pt idx="1">
                  <c:v>2015</c:v>
                </c:pt>
                <c:pt idx="2">
                  <c:v>2016</c:v>
                </c:pt>
                <c:pt idx="3">
                  <c:v>2017</c:v>
                </c:pt>
                <c:pt idx="4">
                  <c:v>2018</c:v>
                </c:pt>
                <c:pt idx="5">
                  <c:v>2019</c:v>
                </c:pt>
              </c:strCache>
            </c:strRef>
          </c:cat>
          <c:val>
            <c:numRef>
              <c:f>wybrane!$C$18:$H$18</c:f>
              <c:numCache>
                <c:formatCode>General</c:formatCode>
                <c:ptCount val="6"/>
                <c:pt idx="0">
                  <c:v>3751</c:v>
                </c:pt>
                <c:pt idx="1">
                  <c:v>3502</c:v>
                </c:pt>
                <c:pt idx="2">
                  <c:v>5418</c:v>
                </c:pt>
                <c:pt idx="3">
                  <c:v>3169</c:v>
                </c:pt>
                <c:pt idx="4">
                  <c:v>2918</c:v>
                </c:pt>
                <c:pt idx="5">
                  <c:v>2679</c:v>
                </c:pt>
              </c:numCache>
            </c:numRef>
          </c:val>
          <c:smooth val="0"/>
          <c:extLst>
            <c:ext xmlns:c16="http://schemas.microsoft.com/office/drawing/2014/chart" uri="{C3380CC4-5D6E-409C-BE32-E72D297353CC}">
              <c16:uniqueId val="{00000003-65B1-44D7-B515-6C66374B61B4}"/>
            </c:ext>
          </c:extLst>
        </c:ser>
        <c:ser>
          <c:idx val="4"/>
          <c:order val="4"/>
          <c:tx>
            <c:strRef>
              <c:f>wybrane!$B$19</c:f>
              <c:strCache>
                <c:ptCount val="1"/>
                <c:pt idx="0">
                  <c:v>długotrwała lub ciężka choroba</c:v>
                </c:pt>
              </c:strCache>
            </c:strRef>
          </c:tx>
          <c:spPr>
            <a:ln w="28575" cap="rnd">
              <a:solidFill>
                <a:schemeClr val="accent5"/>
              </a:solidFill>
              <a:round/>
            </a:ln>
            <a:effectLst/>
          </c:spPr>
          <c:marker>
            <c:symbol val="none"/>
          </c:marker>
          <c:cat>
            <c:strRef>
              <c:f>wybrane!$C$14:$H$14</c:f>
              <c:strCache>
                <c:ptCount val="6"/>
                <c:pt idx="0">
                  <c:v>2014</c:v>
                </c:pt>
                <c:pt idx="1">
                  <c:v>2015</c:v>
                </c:pt>
                <c:pt idx="2">
                  <c:v>2016</c:v>
                </c:pt>
                <c:pt idx="3">
                  <c:v>2017</c:v>
                </c:pt>
                <c:pt idx="4">
                  <c:v>2018</c:v>
                </c:pt>
                <c:pt idx="5">
                  <c:v>2019</c:v>
                </c:pt>
              </c:strCache>
            </c:strRef>
          </c:cat>
          <c:val>
            <c:numRef>
              <c:f>wybrane!$C$19:$H$19</c:f>
              <c:numCache>
                <c:formatCode>General</c:formatCode>
                <c:ptCount val="6"/>
                <c:pt idx="0">
                  <c:v>3269</c:v>
                </c:pt>
                <c:pt idx="1">
                  <c:v>3293</c:v>
                </c:pt>
                <c:pt idx="2">
                  <c:v>6022</c:v>
                </c:pt>
                <c:pt idx="3">
                  <c:v>3367</c:v>
                </c:pt>
                <c:pt idx="4">
                  <c:v>3442</c:v>
                </c:pt>
                <c:pt idx="5">
                  <c:v>3099</c:v>
                </c:pt>
              </c:numCache>
            </c:numRef>
          </c:val>
          <c:smooth val="0"/>
          <c:extLst>
            <c:ext xmlns:c16="http://schemas.microsoft.com/office/drawing/2014/chart" uri="{C3380CC4-5D6E-409C-BE32-E72D297353CC}">
              <c16:uniqueId val="{00000004-65B1-44D7-B515-6C66374B61B4}"/>
            </c:ext>
          </c:extLst>
        </c:ser>
        <c:ser>
          <c:idx val="5"/>
          <c:order val="5"/>
          <c:tx>
            <c:strRef>
              <c:f>wybrane!$B$20</c:f>
              <c:strCache>
                <c:ptCount val="1"/>
                <c:pt idx="0">
                  <c:v>bezradność </c:v>
                </c:pt>
              </c:strCache>
            </c:strRef>
          </c:tx>
          <c:spPr>
            <a:ln w="28575" cap="rnd">
              <a:solidFill>
                <a:schemeClr val="accent6"/>
              </a:solidFill>
              <a:round/>
            </a:ln>
            <a:effectLst/>
          </c:spPr>
          <c:marker>
            <c:symbol val="none"/>
          </c:marker>
          <c:cat>
            <c:strRef>
              <c:f>wybrane!$C$14:$H$14</c:f>
              <c:strCache>
                <c:ptCount val="6"/>
                <c:pt idx="0">
                  <c:v>2014</c:v>
                </c:pt>
                <c:pt idx="1">
                  <c:v>2015</c:v>
                </c:pt>
                <c:pt idx="2">
                  <c:v>2016</c:v>
                </c:pt>
                <c:pt idx="3">
                  <c:v>2017</c:v>
                </c:pt>
                <c:pt idx="4">
                  <c:v>2018</c:v>
                </c:pt>
                <c:pt idx="5">
                  <c:v>2019</c:v>
                </c:pt>
              </c:strCache>
            </c:strRef>
          </c:cat>
          <c:val>
            <c:numRef>
              <c:f>wybrane!$C$20:$H$20</c:f>
              <c:numCache>
                <c:formatCode>General</c:formatCode>
                <c:ptCount val="6"/>
                <c:pt idx="0">
                  <c:v>2386</c:v>
                </c:pt>
                <c:pt idx="1">
                  <c:v>2243</c:v>
                </c:pt>
                <c:pt idx="2">
                  <c:v>2331</c:v>
                </c:pt>
                <c:pt idx="3">
                  <c:v>1774</c:v>
                </c:pt>
                <c:pt idx="4">
                  <c:v>1630</c:v>
                </c:pt>
                <c:pt idx="5">
                  <c:v>1501</c:v>
                </c:pt>
              </c:numCache>
            </c:numRef>
          </c:val>
          <c:smooth val="0"/>
          <c:extLst>
            <c:ext xmlns:c16="http://schemas.microsoft.com/office/drawing/2014/chart" uri="{C3380CC4-5D6E-409C-BE32-E72D297353CC}">
              <c16:uniqueId val="{00000005-65B1-44D7-B515-6C66374B61B4}"/>
            </c:ext>
          </c:extLst>
        </c:ser>
        <c:ser>
          <c:idx val="6"/>
          <c:order val="6"/>
          <c:tx>
            <c:strRef>
              <c:f>wybrane!$B$21</c:f>
              <c:strCache>
                <c:ptCount val="1"/>
                <c:pt idx="0">
                  <c:v>alkoholizm</c:v>
                </c:pt>
              </c:strCache>
            </c:strRef>
          </c:tx>
          <c:spPr>
            <a:ln w="28575" cap="rnd">
              <a:solidFill>
                <a:schemeClr val="accent1">
                  <a:lumMod val="60000"/>
                </a:schemeClr>
              </a:solidFill>
              <a:round/>
            </a:ln>
            <a:effectLst/>
          </c:spPr>
          <c:marker>
            <c:symbol val="none"/>
          </c:marker>
          <c:cat>
            <c:strRef>
              <c:f>wybrane!$C$14:$H$14</c:f>
              <c:strCache>
                <c:ptCount val="6"/>
                <c:pt idx="0">
                  <c:v>2014</c:v>
                </c:pt>
                <c:pt idx="1">
                  <c:v>2015</c:v>
                </c:pt>
                <c:pt idx="2">
                  <c:v>2016</c:v>
                </c:pt>
                <c:pt idx="3">
                  <c:v>2017</c:v>
                </c:pt>
                <c:pt idx="4">
                  <c:v>2018</c:v>
                </c:pt>
                <c:pt idx="5">
                  <c:v>2019</c:v>
                </c:pt>
              </c:strCache>
            </c:strRef>
          </c:cat>
          <c:val>
            <c:numRef>
              <c:f>wybrane!$C$21:$H$21</c:f>
              <c:numCache>
                <c:formatCode>General</c:formatCode>
                <c:ptCount val="6"/>
                <c:pt idx="0">
                  <c:v>554</c:v>
                </c:pt>
                <c:pt idx="1">
                  <c:v>429</c:v>
                </c:pt>
                <c:pt idx="2">
                  <c:v>1187</c:v>
                </c:pt>
                <c:pt idx="3">
                  <c:v>465</c:v>
                </c:pt>
                <c:pt idx="4">
                  <c:v>491</c:v>
                </c:pt>
                <c:pt idx="5">
                  <c:v>439</c:v>
                </c:pt>
              </c:numCache>
            </c:numRef>
          </c:val>
          <c:smooth val="0"/>
          <c:extLst>
            <c:ext xmlns:c16="http://schemas.microsoft.com/office/drawing/2014/chart" uri="{C3380CC4-5D6E-409C-BE32-E72D297353CC}">
              <c16:uniqueId val="{00000006-65B1-44D7-B515-6C66374B61B4}"/>
            </c:ext>
          </c:extLst>
        </c:ser>
        <c:dLbls>
          <c:showLegendKey val="0"/>
          <c:showVal val="0"/>
          <c:showCatName val="0"/>
          <c:showSerName val="0"/>
          <c:showPercent val="0"/>
          <c:showBubbleSize val="0"/>
        </c:dLbls>
        <c:smooth val="0"/>
        <c:axId val="397994352"/>
        <c:axId val="397996312"/>
      </c:lineChart>
      <c:catAx>
        <c:axId val="3979943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97996312"/>
        <c:crosses val="autoZero"/>
        <c:auto val="1"/>
        <c:lblAlgn val="ctr"/>
        <c:lblOffset val="100"/>
        <c:noMultiLvlLbl val="0"/>
      </c:catAx>
      <c:valAx>
        <c:axId val="3979963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97994352"/>
        <c:crosses val="autoZero"/>
        <c:crossBetween val="between"/>
      </c:valAx>
      <c:spPr>
        <a:noFill/>
        <a:ln>
          <a:noFill/>
        </a:ln>
        <a:effectLst/>
      </c:spPr>
    </c:plotArea>
    <c:legend>
      <c:legendPos val="b"/>
      <c:layout>
        <c:manualLayout>
          <c:xMode val="edge"/>
          <c:yMode val="edge"/>
          <c:x val="4.410143329658214E-3"/>
          <c:y val="0.67545425990108221"/>
          <c:w val="0.99173358567224301"/>
          <c:h val="0.2253796368760192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Arkusz1!$A$2</c:f>
              <c:strCache>
                <c:ptCount val="1"/>
                <c:pt idx="0">
                  <c:v>Województwo warmińsko-mazurskie</c:v>
                </c:pt>
              </c:strCache>
            </c:strRef>
          </c:tx>
          <c:spPr>
            <a:ln w="28575" cap="rnd">
              <a:solidFill>
                <a:schemeClr val="tx1">
                  <a:lumMod val="75000"/>
                  <a:lumOff val="25000"/>
                </a:schemeClr>
              </a:solidFill>
              <a:round/>
            </a:ln>
            <a:effectLst/>
          </c:spPr>
          <c:marker>
            <c:symbol val="none"/>
          </c:marker>
          <c:cat>
            <c:strRef>
              <c:f>Arkusz1!$B$1:$J$1</c:f>
              <c:strCache>
                <c:ptCount val="9"/>
                <c:pt idx="0">
                  <c:v>2010</c:v>
                </c:pt>
                <c:pt idx="1">
                  <c:v>2011</c:v>
                </c:pt>
                <c:pt idx="2">
                  <c:v>2012</c:v>
                </c:pt>
                <c:pt idx="3">
                  <c:v>2013</c:v>
                </c:pt>
                <c:pt idx="4">
                  <c:v>2014</c:v>
                </c:pt>
                <c:pt idx="5">
                  <c:v>2015</c:v>
                </c:pt>
                <c:pt idx="6">
                  <c:v>2016</c:v>
                </c:pt>
                <c:pt idx="7">
                  <c:v>2017</c:v>
                </c:pt>
                <c:pt idx="8">
                  <c:v>2018</c:v>
                </c:pt>
              </c:strCache>
            </c:strRef>
          </c:cat>
          <c:val>
            <c:numRef>
              <c:f>Arkusz1!$B$2:$J$2</c:f>
              <c:numCache>
                <c:formatCode>General</c:formatCode>
                <c:ptCount val="9"/>
                <c:pt idx="0">
                  <c:v>1426</c:v>
                </c:pt>
                <c:pt idx="1">
                  <c:v>1319</c:v>
                </c:pt>
                <c:pt idx="2">
                  <c:v>1353</c:v>
                </c:pt>
                <c:pt idx="3">
                  <c:v>1397</c:v>
                </c:pt>
                <c:pt idx="4">
                  <c:v>1279</c:v>
                </c:pt>
                <c:pt idx="5">
                  <c:v>1188</c:v>
                </c:pt>
                <c:pt idx="6">
                  <c:v>1090</c:v>
                </c:pt>
                <c:pt idx="7">
                  <c:v>957</c:v>
                </c:pt>
                <c:pt idx="8">
                  <c:v>873</c:v>
                </c:pt>
              </c:numCache>
            </c:numRef>
          </c:val>
          <c:smooth val="0"/>
          <c:extLst>
            <c:ext xmlns:c16="http://schemas.microsoft.com/office/drawing/2014/chart" uri="{C3380CC4-5D6E-409C-BE32-E72D297353CC}">
              <c16:uniqueId val="{00000000-64A7-4D23-B7B5-AE994263AC3E}"/>
            </c:ext>
          </c:extLst>
        </c:ser>
        <c:ser>
          <c:idx val="1"/>
          <c:order val="1"/>
          <c:tx>
            <c:strRef>
              <c:f>Arkusz1!$A$3</c:f>
              <c:strCache>
                <c:ptCount val="1"/>
                <c:pt idx="0">
                  <c:v>Powiat działdowski</c:v>
                </c:pt>
              </c:strCache>
            </c:strRef>
          </c:tx>
          <c:spPr>
            <a:ln w="28575" cap="rnd">
              <a:solidFill>
                <a:schemeClr val="accent2"/>
              </a:solidFill>
              <a:round/>
            </a:ln>
            <a:effectLst/>
          </c:spPr>
          <c:marker>
            <c:symbol val="none"/>
          </c:marker>
          <c:cat>
            <c:strRef>
              <c:f>Arkusz1!$B$1:$J$1</c:f>
              <c:strCache>
                <c:ptCount val="9"/>
                <c:pt idx="0">
                  <c:v>2010</c:v>
                </c:pt>
                <c:pt idx="1">
                  <c:v>2011</c:v>
                </c:pt>
                <c:pt idx="2">
                  <c:v>2012</c:v>
                </c:pt>
                <c:pt idx="3">
                  <c:v>2013</c:v>
                </c:pt>
                <c:pt idx="4">
                  <c:v>2014</c:v>
                </c:pt>
                <c:pt idx="5">
                  <c:v>2015</c:v>
                </c:pt>
                <c:pt idx="6">
                  <c:v>2016</c:v>
                </c:pt>
                <c:pt idx="7">
                  <c:v>2017</c:v>
                </c:pt>
                <c:pt idx="8">
                  <c:v>2018</c:v>
                </c:pt>
              </c:strCache>
            </c:strRef>
          </c:cat>
          <c:val>
            <c:numRef>
              <c:f>Arkusz1!$B$3:$J$3</c:f>
              <c:numCache>
                <c:formatCode>General</c:formatCode>
                <c:ptCount val="9"/>
                <c:pt idx="0">
                  <c:v>1384</c:v>
                </c:pt>
                <c:pt idx="1">
                  <c:v>1249</c:v>
                </c:pt>
                <c:pt idx="2">
                  <c:v>1233</c:v>
                </c:pt>
                <c:pt idx="3">
                  <c:v>1330</c:v>
                </c:pt>
                <c:pt idx="4">
                  <c:v>1270</c:v>
                </c:pt>
                <c:pt idx="5">
                  <c:v>1198</c:v>
                </c:pt>
                <c:pt idx="6">
                  <c:v>1118</c:v>
                </c:pt>
                <c:pt idx="7">
                  <c:v>993</c:v>
                </c:pt>
                <c:pt idx="8">
                  <c:v>849</c:v>
                </c:pt>
              </c:numCache>
            </c:numRef>
          </c:val>
          <c:smooth val="0"/>
          <c:extLst>
            <c:ext xmlns:c16="http://schemas.microsoft.com/office/drawing/2014/chart" uri="{C3380CC4-5D6E-409C-BE32-E72D297353CC}">
              <c16:uniqueId val="{00000001-64A7-4D23-B7B5-AE994263AC3E}"/>
            </c:ext>
          </c:extLst>
        </c:ser>
        <c:ser>
          <c:idx val="2"/>
          <c:order val="2"/>
          <c:tx>
            <c:strRef>
              <c:f>Arkusz1!$A$4</c:f>
              <c:strCache>
                <c:ptCount val="1"/>
                <c:pt idx="0">
                  <c:v>Powiat nidzicki</c:v>
                </c:pt>
              </c:strCache>
            </c:strRef>
          </c:tx>
          <c:spPr>
            <a:ln w="28575" cap="rnd">
              <a:solidFill>
                <a:schemeClr val="accent6"/>
              </a:solidFill>
              <a:round/>
            </a:ln>
            <a:effectLst/>
          </c:spPr>
          <c:marker>
            <c:symbol val="none"/>
          </c:marker>
          <c:cat>
            <c:strRef>
              <c:f>Arkusz1!$B$1:$J$1</c:f>
              <c:strCache>
                <c:ptCount val="9"/>
                <c:pt idx="0">
                  <c:v>2010</c:v>
                </c:pt>
                <c:pt idx="1">
                  <c:v>2011</c:v>
                </c:pt>
                <c:pt idx="2">
                  <c:v>2012</c:v>
                </c:pt>
                <c:pt idx="3">
                  <c:v>2013</c:v>
                </c:pt>
                <c:pt idx="4">
                  <c:v>2014</c:v>
                </c:pt>
                <c:pt idx="5">
                  <c:v>2015</c:v>
                </c:pt>
                <c:pt idx="6">
                  <c:v>2016</c:v>
                </c:pt>
                <c:pt idx="7">
                  <c:v>2017</c:v>
                </c:pt>
                <c:pt idx="8">
                  <c:v>2018</c:v>
                </c:pt>
              </c:strCache>
            </c:strRef>
          </c:cat>
          <c:val>
            <c:numRef>
              <c:f>Arkusz1!$B$4:$J$4</c:f>
              <c:numCache>
                <c:formatCode>General</c:formatCode>
                <c:ptCount val="9"/>
                <c:pt idx="0">
                  <c:v>1435</c:v>
                </c:pt>
                <c:pt idx="1">
                  <c:v>1404</c:v>
                </c:pt>
                <c:pt idx="2">
                  <c:v>1438</c:v>
                </c:pt>
                <c:pt idx="3">
                  <c:v>1490</c:v>
                </c:pt>
                <c:pt idx="4">
                  <c:v>1353</c:v>
                </c:pt>
                <c:pt idx="5">
                  <c:v>1286</c:v>
                </c:pt>
                <c:pt idx="6">
                  <c:v>1193</c:v>
                </c:pt>
                <c:pt idx="7">
                  <c:v>1026</c:v>
                </c:pt>
                <c:pt idx="8">
                  <c:v>904</c:v>
                </c:pt>
              </c:numCache>
            </c:numRef>
          </c:val>
          <c:smooth val="0"/>
          <c:extLst>
            <c:ext xmlns:c16="http://schemas.microsoft.com/office/drawing/2014/chart" uri="{C3380CC4-5D6E-409C-BE32-E72D297353CC}">
              <c16:uniqueId val="{00000002-64A7-4D23-B7B5-AE994263AC3E}"/>
            </c:ext>
          </c:extLst>
        </c:ser>
        <c:ser>
          <c:idx val="3"/>
          <c:order val="3"/>
          <c:tx>
            <c:strRef>
              <c:f>Arkusz1!$A$5</c:f>
              <c:strCache>
                <c:ptCount val="1"/>
                <c:pt idx="0">
                  <c:v>Powiat piski</c:v>
                </c:pt>
              </c:strCache>
            </c:strRef>
          </c:tx>
          <c:spPr>
            <a:ln w="28575" cap="rnd">
              <a:solidFill>
                <a:schemeClr val="accent4"/>
              </a:solidFill>
              <a:round/>
            </a:ln>
            <a:effectLst/>
          </c:spPr>
          <c:marker>
            <c:symbol val="none"/>
          </c:marker>
          <c:cat>
            <c:strRef>
              <c:f>Arkusz1!$B$1:$J$1</c:f>
              <c:strCache>
                <c:ptCount val="9"/>
                <c:pt idx="0">
                  <c:v>2010</c:v>
                </c:pt>
                <c:pt idx="1">
                  <c:v>2011</c:v>
                </c:pt>
                <c:pt idx="2">
                  <c:v>2012</c:v>
                </c:pt>
                <c:pt idx="3">
                  <c:v>2013</c:v>
                </c:pt>
                <c:pt idx="4">
                  <c:v>2014</c:v>
                </c:pt>
                <c:pt idx="5">
                  <c:v>2015</c:v>
                </c:pt>
                <c:pt idx="6">
                  <c:v>2016</c:v>
                </c:pt>
                <c:pt idx="7">
                  <c:v>2017</c:v>
                </c:pt>
                <c:pt idx="8">
                  <c:v>2018</c:v>
                </c:pt>
              </c:strCache>
            </c:strRef>
          </c:cat>
          <c:val>
            <c:numRef>
              <c:f>Arkusz1!$B$5:$J$5</c:f>
              <c:numCache>
                <c:formatCode>General</c:formatCode>
                <c:ptCount val="9"/>
                <c:pt idx="0">
                  <c:v>1744</c:v>
                </c:pt>
                <c:pt idx="1">
                  <c:v>1661</c:v>
                </c:pt>
                <c:pt idx="2">
                  <c:v>1717</c:v>
                </c:pt>
                <c:pt idx="3">
                  <c:v>1758</c:v>
                </c:pt>
                <c:pt idx="4">
                  <c:v>1642</c:v>
                </c:pt>
                <c:pt idx="5">
                  <c:v>1549</c:v>
                </c:pt>
                <c:pt idx="6">
                  <c:v>1379</c:v>
                </c:pt>
                <c:pt idx="7">
                  <c:v>1154</c:v>
                </c:pt>
                <c:pt idx="8">
                  <c:v>1001</c:v>
                </c:pt>
              </c:numCache>
            </c:numRef>
          </c:val>
          <c:smooth val="0"/>
          <c:extLst>
            <c:ext xmlns:c16="http://schemas.microsoft.com/office/drawing/2014/chart" uri="{C3380CC4-5D6E-409C-BE32-E72D297353CC}">
              <c16:uniqueId val="{00000003-64A7-4D23-B7B5-AE994263AC3E}"/>
            </c:ext>
          </c:extLst>
        </c:ser>
        <c:ser>
          <c:idx val="4"/>
          <c:order val="4"/>
          <c:tx>
            <c:strRef>
              <c:f>Arkusz1!$A$6</c:f>
              <c:strCache>
                <c:ptCount val="1"/>
                <c:pt idx="0">
                  <c:v>Powiat szczycieński</c:v>
                </c:pt>
              </c:strCache>
            </c:strRef>
          </c:tx>
          <c:spPr>
            <a:ln w="28575" cap="rnd">
              <a:solidFill>
                <a:schemeClr val="accent5"/>
              </a:solidFill>
              <a:round/>
            </a:ln>
            <a:effectLst/>
          </c:spPr>
          <c:marker>
            <c:symbol val="none"/>
          </c:marker>
          <c:cat>
            <c:strRef>
              <c:f>Arkusz1!$B$1:$J$1</c:f>
              <c:strCache>
                <c:ptCount val="9"/>
                <c:pt idx="0">
                  <c:v>2010</c:v>
                </c:pt>
                <c:pt idx="1">
                  <c:v>2011</c:v>
                </c:pt>
                <c:pt idx="2">
                  <c:v>2012</c:v>
                </c:pt>
                <c:pt idx="3">
                  <c:v>2013</c:v>
                </c:pt>
                <c:pt idx="4">
                  <c:v>2014</c:v>
                </c:pt>
                <c:pt idx="5">
                  <c:v>2015</c:v>
                </c:pt>
                <c:pt idx="6">
                  <c:v>2016</c:v>
                </c:pt>
                <c:pt idx="7">
                  <c:v>2017</c:v>
                </c:pt>
                <c:pt idx="8">
                  <c:v>2018</c:v>
                </c:pt>
              </c:strCache>
            </c:strRef>
          </c:cat>
          <c:val>
            <c:numRef>
              <c:f>Arkusz1!$B$6:$J$6</c:f>
              <c:numCache>
                <c:formatCode>General</c:formatCode>
                <c:ptCount val="9"/>
                <c:pt idx="0">
                  <c:v>1811</c:v>
                </c:pt>
                <c:pt idx="1">
                  <c:v>1681</c:v>
                </c:pt>
                <c:pt idx="2">
                  <c:v>1770</c:v>
                </c:pt>
                <c:pt idx="3">
                  <c:v>1810</c:v>
                </c:pt>
                <c:pt idx="4">
                  <c:v>1638</c:v>
                </c:pt>
                <c:pt idx="5">
                  <c:v>1487</c:v>
                </c:pt>
                <c:pt idx="6">
                  <c:v>1402</c:v>
                </c:pt>
                <c:pt idx="7">
                  <c:v>1203</c:v>
                </c:pt>
                <c:pt idx="8">
                  <c:v>1062</c:v>
                </c:pt>
              </c:numCache>
            </c:numRef>
          </c:val>
          <c:smooth val="0"/>
          <c:extLst>
            <c:ext xmlns:c16="http://schemas.microsoft.com/office/drawing/2014/chart" uri="{C3380CC4-5D6E-409C-BE32-E72D297353CC}">
              <c16:uniqueId val="{00000004-64A7-4D23-B7B5-AE994263AC3E}"/>
            </c:ext>
          </c:extLst>
        </c:ser>
        <c:dLbls>
          <c:showLegendKey val="0"/>
          <c:showVal val="0"/>
          <c:showCatName val="0"/>
          <c:showSerName val="0"/>
          <c:showPercent val="0"/>
          <c:showBubbleSize val="0"/>
        </c:dLbls>
        <c:smooth val="0"/>
        <c:axId val="397993960"/>
        <c:axId val="397992392"/>
      </c:lineChart>
      <c:catAx>
        <c:axId val="3979939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97992392"/>
        <c:crosses val="autoZero"/>
        <c:auto val="1"/>
        <c:lblAlgn val="ctr"/>
        <c:lblOffset val="100"/>
        <c:noMultiLvlLbl val="0"/>
      </c:catAx>
      <c:valAx>
        <c:axId val="397992392"/>
        <c:scaling>
          <c:orientation val="minMax"/>
          <c:min val="8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979939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Arkusz1!$A$2</c:f>
              <c:strCache>
                <c:ptCount val="1"/>
                <c:pt idx="0">
                  <c:v>Mazury Południowe</c:v>
                </c:pt>
              </c:strCache>
            </c:strRef>
          </c:tx>
          <c:spPr>
            <a:solidFill>
              <a:srgbClr val="00B0F0"/>
            </a:solidFill>
            <a:ln>
              <a:no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Arkusz1!$B$1:$I$1</c:f>
              <c:numCache>
                <c:formatCode>General</c:formatCode>
                <c:ptCount val="8"/>
                <c:pt idx="0">
                  <c:v>2012</c:v>
                </c:pt>
                <c:pt idx="1">
                  <c:v>2013</c:v>
                </c:pt>
                <c:pt idx="2">
                  <c:v>2014</c:v>
                </c:pt>
                <c:pt idx="3">
                  <c:v>2015</c:v>
                </c:pt>
                <c:pt idx="4">
                  <c:v>2016</c:v>
                </c:pt>
                <c:pt idx="5">
                  <c:v>2017</c:v>
                </c:pt>
                <c:pt idx="6">
                  <c:v>2018</c:v>
                </c:pt>
                <c:pt idx="7">
                  <c:v>2019</c:v>
                </c:pt>
              </c:numCache>
            </c:numRef>
          </c:cat>
          <c:val>
            <c:numRef>
              <c:f>Arkusz1!$B$2:$I$2</c:f>
              <c:numCache>
                <c:formatCode>General</c:formatCode>
                <c:ptCount val="8"/>
                <c:pt idx="0">
                  <c:v>193156</c:v>
                </c:pt>
                <c:pt idx="1">
                  <c:v>218165</c:v>
                </c:pt>
                <c:pt idx="2">
                  <c:v>208867</c:v>
                </c:pt>
                <c:pt idx="3">
                  <c:v>173464</c:v>
                </c:pt>
                <c:pt idx="4">
                  <c:v>207759</c:v>
                </c:pt>
                <c:pt idx="5">
                  <c:v>236399</c:v>
                </c:pt>
                <c:pt idx="6">
                  <c:v>219040</c:v>
                </c:pt>
                <c:pt idx="7">
                  <c:v>200354</c:v>
                </c:pt>
              </c:numCache>
            </c:numRef>
          </c:val>
          <c:extLst>
            <c:ext xmlns:c16="http://schemas.microsoft.com/office/drawing/2014/chart" uri="{C3380CC4-5D6E-409C-BE32-E72D297353CC}">
              <c16:uniqueId val="{00000000-79A4-4092-9D66-483BB08B2F93}"/>
            </c:ext>
          </c:extLst>
        </c:ser>
        <c:dLbls>
          <c:showLegendKey val="0"/>
          <c:showVal val="1"/>
          <c:showCatName val="0"/>
          <c:showSerName val="0"/>
          <c:showPercent val="0"/>
          <c:showBubbleSize val="0"/>
        </c:dLbls>
        <c:gapWidth val="150"/>
        <c:overlap val="-25"/>
        <c:axId val="510699656"/>
        <c:axId val="510700832"/>
      </c:barChart>
      <c:catAx>
        <c:axId val="5106996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10700832"/>
        <c:crosses val="autoZero"/>
        <c:auto val="1"/>
        <c:lblAlgn val="ctr"/>
        <c:lblOffset val="100"/>
        <c:noMultiLvlLbl val="0"/>
      </c:catAx>
      <c:valAx>
        <c:axId val="510700832"/>
        <c:scaling>
          <c:orientation val="minMax"/>
        </c:scaling>
        <c:delete val="1"/>
        <c:axPos val="l"/>
        <c:numFmt formatCode="General" sourceLinked="1"/>
        <c:majorTickMark val="none"/>
        <c:minorTickMark val="none"/>
        <c:tickLblPos val="nextTo"/>
        <c:crossAx val="5106996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TABLICA!$A$17</c:f>
              <c:strCache>
                <c:ptCount val="1"/>
                <c:pt idx="0">
                  <c:v>Województwo warmińsko-mazurskie</c:v>
                </c:pt>
              </c:strCache>
            </c:strRef>
          </c:tx>
          <c:spPr>
            <a:ln w="28575" cap="rnd">
              <a:solidFill>
                <a:schemeClr val="bg2">
                  <a:lumMod val="50000"/>
                </a:schemeClr>
              </a:solidFill>
              <a:round/>
            </a:ln>
            <a:effectLst/>
          </c:spPr>
          <c:marker>
            <c:symbol val="none"/>
          </c:marker>
          <c:cat>
            <c:strRef>
              <c:f>TABLICA!$B$16:$K$16</c:f>
              <c:strCache>
                <c:ptCount val="10"/>
                <c:pt idx="0">
                  <c:v>2010</c:v>
                </c:pt>
                <c:pt idx="1">
                  <c:v>2011</c:v>
                </c:pt>
                <c:pt idx="2">
                  <c:v>2012</c:v>
                </c:pt>
                <c:pt idx="3">
                  <c:v>2013</c:v>
                </c:pt>
                <c:pt idx="4">
                  <c:v>2014</c:v>
                </c:pt>
                <c:pt idx="5">
                  <c:v>2015</c:v>
                </c:pt>
                <c:pt idx="6">
                  <c:v>2016</c:v>
                </c:pt>
                <c:pt idx="7">
                  <c:v>2017</c:v>
                </c:pt>
                <c:pt idx="8">
                  <c:v>2018</c:v>
                </c:pt>
                <c:pt idx="9">
                  <c:v>2019</c:v>
                </c:pt>
              </c:strCache>
            </c:strRef>
          </c:cat>
          <c:val>
            <c:numRef>
              <c:f>TABLICA!$B$17:$K$17</c:f>
              <c:numCache>
                <c:formatCode>#,##0.00</c:formatCode>
                <c:ptCount val="10"/>
                <c:pt idx="0">
                  <c:v>1048.58</c:v>
                </c:pt>
                <c:pt idx="1">
                  <c:v>1075.46</c:v>
                </c:pt>
                <c:pt idx="2">
                  <c:v>1032.8699999999999</c:v>
                </c:pt>
                <c:pt idx="3">
                  <c:v>1083.8399999999999</c:v>
                </c:pt>
                <c:pt idx="4">
                  <c:v>1106.06</c:v>
                </c:pt>
                <c:pt idx="5">
                  <c:v>1101.3</c:v>
                </c:pt>
                <c:pt idx="6">
                  <c:v>1086.19</c:v>
                </c:pt>
                <c:pt idx="7">
                  <c:v>1141.52</c:v>
                </c:pt>
                <c:pt idx="8">
                  <c:v>1257.81</c:v>
                </c:pt>
                <c:pt idx="9">
                  <c:v>1384.4</c:v>
                </c:pt>
              </c:numCache>
            </c:numRef>
          </c:val>
          <c:smooth val="0"/>
          <c:extLst>
            <c:ext xmlns:c16="http://schemas.microsoft.com/office/drawing/2014/chart" uri="{C3380CC4-5D6E-409C-BE32-E72D297353CC}">
              <c16:uniqueId val="{00000000-E6A5-47F1-AFFA-872AD23A3A59}"/>
            </c:ext>
          </c:extLst>
        </c:ser>
        <c:ser>
          <c:idx val="1"/>
          <c:order val="1"/>
          <c:tx>
            <c:strRef>
              <c:f>TABLICA!$A$18</c:f>
              <c:strCache>
                <c:ptCount val="1"/>
                <c:pt idx="0">
                  <c:v>Powiat działdowski</c:v>
                </c:pt>
              </c:strCache>
            </c:strRef>
          </c:tx>
          <c:spPr>
            <a:ln w="28575" cap="rnd">
              <a:solidFill>
                <a:schemeClr val="accent2"/>
              </a:solidFill>
              <a:round/>
            </a:ln>
            <a:effectLst/>
          </c:spPr>
          <c:marker>
            <c:symbol val="none"/>
          </c:marker>
          <c:cat>
            <c:strRef>
              <c:f>TABLICA!$B$16:$K$16</c:f>
              <c:strCache>
                <c:ptCount val="10"/>
                <c:pt idx="0">
                  <c:v>2010</c:v>
                </c:pt>
                <c:pt idx="1">
                  <c:v>2011</c:v>
                </c:pt>
                <c:pt idx="2">
                  <c:v>2012</c:v>
                </c:pt>
                <c:pt idx="3">
                  <c:v>2013</c:v>
                </c:pt>
                <c:pt idx="4">
                  <c:v>2014</c:v>
                </c:pt>
                <c:pt idx="5">
                  <c:v>2015</c:v>
                </c:pt>
                <c:pt idx="6">
                  <c:v>2016</c:v>
                </c:pt>
                <c:pt idx="7">
                  <c:v>2017</c:v>
                </c:pt>
                <c:pt idx="8">
                  <c:v>2018</c:v>
                </c:pt>
                <c:pt idx="9">
                  <c:v>2019</c:v>
                </c:pt>
              </c:strCache>
            </c:strRef>
          </c:cat>
          <c:val>
            <c:numRef>
              <c:f>TABLICA!$B$18:$K$18</c:f>
              <c:numCache>
                <c:formatCode>#,##0.00</c:formatCode>
                <c:ptCount val="10"/>
                <c:pt idx="0">
                  <c:v>808.34</c:v>
                </c:pt>
                <c:pt idx="1">
                  <c:v>832.55</c:v>
                </c:pt>
                <c:pt idx="2">
                  <c:v>824.06</c:v>
                </c:pt>
                <c:pt idx="3">
                  <c:v>850.86</c:v>
                </c:pt>
                <c:pt idx="4">
                  <c:v>870.34</c:v>
                </c:pt>
                <c:pt idx="5">
                  <c:v>888.1</c:v>
                </c:pt>
                <c:pt idx="6">
                  <c:v>915.38</c:v>
                </c:pt>
                <c:pt idx="7">
                  <c:v>974.34</c:v>
                </c:pt>
                <c:pt idx="8">
                  <c:v>1008.39</c:v>
                </c:pt>
                <c:pt idx="9">
                  <c:v>1144.52</c:v>
                </c:pt>
              </c:numCache>
            </c:numRef>
          </c:val>
          <c:smooth val="0"/>
          <c:extLst>
            <c:ext xmlns:c16="http://schemas.microsoft.com/office/drawing/2014/chart" uri="{C3380CC4-5D6E-409C-BE32-E72D297353CC}">
              <c16:uniqueId val="{00000001-E6A5-47F1-AFFA-872AD23A3A59}"/>
            </c:ext>
          </c:extLst>
        </c:ser>
        <c:ser>
          <c:idx val="2"/>
          <c:order val="2"/>
          <c:tx>
            <c:strRef>
              <c:f>TABLICA!$A$19</c:f>
              <c:strCache>
                <c:ptCount val="1"/>
                <c:pt idx="0">
                  <c:v>Powiat nidzicki</c:v>
                </c:pt>
              </c:strCache>
            </c:strRef>
          </c:tx>
          <c:spPr>
            <a:ln w="28575" cap="rnd">
              <a:solidFill>
                <a:schemeClr val="accent6"/>
              </a:solidFill>
              <a:round/>
            </a:ln>
            <a:effectLst/>
          </c:spPr>
          <c:marker>
            <c:symbol val="none"/>
          </c:marker>
          <c:cat>
            <c:strRef>
              <c:f>TABLICA!$B$16:$K$16</c:f>
              <c:strCache>
                <c:ptCount val="10"/>
                <c:pt idx="0">
                  <c:v>2010</c:v>
                </c:pt>
                <c:pt idx="1">
                  <c:v>2011</c:v>
                </c:pt>
                <c:pt idx="2">
                  <c:v>2012</c:v>
                </c:pt>
                <c:pt idx="3">
                  <c:v>2013</c:v>
                </c:pt>
                <c:pt idx="4">
                  <c:v>2014</c:v>
                </c:pt>
                <c:pt idx="5">
                  <c:v>2015</c:v>
                </c:pt>
                <c:pt idx="6">
                  <c:v>2016</c:v>
                </c:pt>
                <c:pt idx="7">
                  <c:v>2017</c:v>
                </c:pt>
                <c:pt idx="8">
                  <c:v>2018</c:v>
                </c:pt>
                <c:pt idx="9">
                  <c:v>2019</c:v>
                </c:pt>
              </c:strCache>
            </c:strRef>
          </c:cat>
          <c:val>
            <c:numRef>
              <c:f>TABLICA!$B$19:$K$19</c:f>
              <c:numCache>
                <c:formatCode>#,##0.00</c:formatCode>
                <c:ptCount val="10"/>
                <c:pt idx="0">
                  <c:v>1207.52</c:v>
                </c:pt>
                <c:pt idx="1">
                  <c:v>1130.31</c:v>
                </c:pt>
                <c:pt idx="2">
                  <c:v>1081.5999999999999</c:v>
                </c:pt>
                <c:pt idx="3">
                  <c:v>1104.54</c:v>
                </c:pt>
                <c:pt idx="4">
                  <c:v>1086.1400000000001</c:v>
                </c:pt>
                <c:pt idx="5">
                  <c:v>1143.99</c:v>
                </c:pt>
                <c:pt idx="6">
                  <c:v>1217.8599999999999</c:v>
                </c:pt>
                <c:pt idx="7">
                  <c:v>1218.1400000000001</c:v>
                </c:pt>
                <c:pt idx="8">
                  <c:v>1242.6099999999999</c:v>
                </c:pt>
                <c:pt idx="9">
                  <c:v>1692.88</c:v>
                </c:pt>
              </c:numCache>
            </c:numRef>
          </c:val>
          <c:smooth val="0"/>
          <c:extLst>
            <c:ext xmlns:c16="http://schemas.microsoft.com/office/drawing/2014/chart" uri="{C3380CC4-5D6E-409C-BE32-E72D297353CC}">
              <c16:uniqueId val="{00000002-E6A5-47F1-AFFA-872AD23A3A59}"/>
            </c:ext>
          </c:extLst>
        </c:ser>
        <c:ser>
          <c:idx val="3"/>
          <c:order val="3"/>
          <c:tx>
            <c:strRef>
              <c:f>TABLICA!$A$20</c:f>
              <c:strCache>
                <c:ptCount val="1"/>
                <c:pt idx="0">
                  <c:v>Powiat piski</c:v>
                </c:pt>
              </c:strCache>
            </c:strRef>
          </c:tx>
          <c:spPr>
            <a:ln w="28575" cap="rnd">
              <a:solidFill>
                <a:schemeClr val="accent4"/>
              </a:solidFill>
              <a:round/>
            </a:ln>
            <a:effectLst/>
          </c:spPr>
          <c:marker>
            <c:symbol val="none"/>
          </c:marker>
          <c:cat>
            <c:strRef>
              <c:f>TABLICA!$B$16:$K$16</c:f>
              <c:strCache>
                <c:ptCount val="10"/>
                <c:pt idx="0">
                  <c:v>2010</c:v>
                </c:pt>
                <c:pt idx="1">
                  <c:v>2011</c:v>
                </c:pt>
                <c:pt idx="2">
                  <c:v>2012</c:v>
                </c:pt>
                <c:pt idx="3">
                  <c:v>2013</c:v>
                </c:pt>
                <c:pt idx="4">
                  <c:v>2014</c:v>
                </c:pt>
                <c:pt idx="5">
                  <c:v>2015</c:v>
                </c:pt>
                <c:pt idx="6">
                  <c:v>2016</c:v>
                </c:pt>
                <c:pt idx="7">
                  <c:v>2017</c:v>
                </c:pt>
                <c:pt idx="8">
                  <c:v>2018</c:v>
                </c:pt>
                <c:pt idx="9">
                  <c:v>2019</c:v>
                </c:pt>
              </c:strCache>
            </c:strRef>
          </c:cat>
          <c:val>
            <c:numRef>
              <c:f>TABLICA!$B$20:$K$20</c:f>
              <c:numCache>
                <c:formatCode>#,##0.00</c:formatCode>
                <c:ptCount val="10"/>
                <c:pt idx="0">
                  <c:v>1136.46</c:v>
                </c:pt>
                <c:pt idx="1">
                  <c:v>1045.5999999999999</c:v>
                </c:pt>
                <c:pt idx="2">
                  <c:v>1038.56</c:v>
                </c:pt>
                <c:pt idx="3">
                  <c:v>1113.17</c:v>
                </c:pt>
                <c:pt idx="4">
                  <c:v>1158.1400000000001</c:v>
                </c:pt>
                <c:pt idx="5">
                  <c:v>1145.81</c:v>
                </c:pt>
                <c:pt idx="6">
                  <c:v>1081.72</c:v>
                </c:pt>
                <c:pt idx="7">
                  <c:v>1137.98</c:v>
                </c:pt>
                <c:pt idx="8">
                  <c:v>1375.82</c:v>
                </c:pt>
                <c:pt idx="9">
                  <c:v>1303.68</c:v>
                </c:pt>
              </c:numCache>
            </c:numRef>
          </c:val>
          <c:smooth val="0"/>
          <c:extLst>
            <c:ext xmlns:c16="http://schemas.microsoft.com/office/drawing/2014/chart" uri="{C3380CC4-5D6E-409C-BE32-E72D297353CC}">
              <c16:uniqueId val="{00000003-E6A5-47F1-AFFA-872AD23A3A59}"/>
            </c:ext>
          </c:extLst>
        </c:ser>
        <c:ser>
          <c:idx val="4"/>
          <c:order val="4"/>
          <c:tx>
            <c:strRef>
              <c:f>TABLICA!$A$21</c:f>
              <c:strCache>
                <c:ptCount val="1"/>
                <c:pt idx="0">
                  <c:v>Powiat szczycieński</c:v>
                </c:pt>
              </c:strCache>
            </c:strRef>
          </c:tx>
          <c:spPr>
            <a:ln w="28575" cap="rnd">
              <a:solidFill>
                <a:schemeClr val="accent5"/>
              </a:solidFill>
              <a:round/>
            </a:ln>
            <a:effectLst/>
          </c:spPr>
          <c:marker>
            <c:symbol val="none"/>
          </c:marker>
          <c:cat>
            <c:strRef>
              <c:f>TABLICA!$B$16:$K$16</c:f>
              <c:strCache>
                <c:ptCount val="10"/>
                <c:pt idx="0">
                  <c:v>2010</c:v>
                </c:pt>
                <c:pt idx="1">
                  <c:v>2011</c:v>
                </c:pt>
                <c:pt idx="2">
                  <c:v>2012</c:v>
                </c:pt>
                <c:pt idx="3">
                  <c:v>2013</c:v>
                </c:pt>
                <c:pt idx="4">
                  <c:v>2014</c:v>
                </c:pt>
                <c:pt idx="5">
                  <c:v>2015</c:v>
                </c:pt>
                <c:pt idx="6">
                  <c:v>2016</c:v>
                </c:pt>
                <c:pt idx="7">
                  <c:v>2017</c:v>
                </c:pt>
                <c:pt idx="8">
                  <c:v>2018</c:v>
                </c:pt>
                <c:pt idx="9">
                  <c:v>2019</c:v>
                </c:pt>
              </c:strCache>
            </c:strRef>
          </c:cat>
          <c:val>
            <c:numRef>
              <c:f>TABLICA!$B$21:$K$21</c:f>
              <c:numCache>
                <c:formatCode>#,##0.00</c:formatCode>
                <c:ptCount val="10"/>
                <c:pt idx="0">
                  <c:v>1318</c:v>
                </c:pt>
                <c:pt idx="1">
                  <c:v>1016.12</c:v>
                </c:pt>
                <c:pt idx="2">
                  <c:v>1014.1</c:v>
                </c:pt>
                <c:pt idx="3">
                  <c:v>1057.19</c:v>
                </c:pt>
                <c:pt idx="4">
                  <c:v>1038.56</c:v>
                </c:pt>
                <c:pt idx="5">
                  <c:v>1071.04</c:v>
                </c:pt>
                <c:pt idx="6">
                  <c:v>1135.99</c:v>
                </c:pt>
                <c:pt idx="7">
                  <c:v>1145.26</c:v>
                </c:pt>
                <c:pt idx="8">
                  <c:v>1207.0999999999999</c:v>
                </c:pt>
                <c:pt idx="9">
                  <c:v>1195.27</c:v>
                </c:pt>
              </c:numCache>
            </c:numRef>
          </c:val>
          <c:smooth val="0"/>
          <c:extLst>
            <c:ext xmlns:c16="http://schemas.microsoft.com/office/drawing/2014/chart" uri="{C3380CC4-5D6E-409C-BE32-E72D297353CC}">
              <c16:uniqueId val="{00000004-E6A5-47F1-AFFA-872AD23A3A59}"/>
            </c:ext>
          </c:extLst>
        </c:ser>
        <c:dLbls>
          <c:showLegendKey val="0"/>
          <c:showVal val="0"/>
          <c:showCatName val="0"/>
          <c:showSerName val="0"/>
          <c:showPercent val="0"/>
          <c:showBubbleSize val="0"/>
        </c:dLbls>
        <c:smooth val="0"/>
        <c:axId val="397997488"/>
        <c:axId val="397989648"/>
      </c:lineChart>
      <c:catAx>
        <c:axId val="3979974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97989648"/>
        <c:crosses val="autoZero"/>
        <c:auto val="1"/>
        <c:lblAlgn val="ctr"/>
        <c:lblOffset val="100"/>
        <c:noMultiLvlLbl val="0"/>
      </c:catAx>
      <c:valAx>
        <c:axId val="397989648"/>
        <c:scaling>
          <c:orientation val="minMax"/>
          <c:min val="600"/>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979974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'subwencja w ogólem'!$A$28</c:f>
              <c:strCache>
                <c:ptCount val="1"/>
                <c:pt idx="0">
                  <c:v>Województwo warmińsko-mazurskie</c:v>
                </c:pt>
              </c:strCache>
            </c:strRef>
          </c:tx>
          <c:spPr>
            <a:ln w="28575" cap="rnd">
              <a:solidFill>
                <a:schemeClr val="tx1">
                  <a:lumMod val="75000"/>
                  <a:lumOff val="25000"/>
                </a:schemeClr>
              </a:solidFill>
              <a:round/>
            </a:ln>
            <a:effectLst/>
          </c:spPr>
          <c:marker>
            <c:symbol val="none"/>
          </c:marker>
          <c:cat>
            <c:strRef>
              <c:f>'subwencja w ogólem'!$B$27:$K$27</c:f>
              <c:strCache>
                <c:ptCount val="10"/>
                <c:pt idx="0">
                  <c:v>2010</c:v>
                </c:pt>
                <c:pt idx="1">
                  <c:v>2011</c:v>
                </c:pt>
                <c:pt idx="2">
                  <c:v>2012</c:v>
                </c:pt>
                <c:pt idx="3">
                  <c:v>2013</c:v>
                </c:pt>
                <c:pt idx="4">
                  <c:v>2014</c:v>
                </c:pt>
                <c:pt idx="5">
                  <c:v>2015</c:v>
                </c:pt>
                <c:pt idx="6">
                  <c:v>2016</c:v>
                </c:pt>
                <c:pt idx="7">
                  <c:v>2017</c:v>
                </c:pt>
                <c:pt idx="8">
                  <c:v>2018</c:v>
                </c:pt>
                <c:pt idx="9">
                  <c:v>2019</c:v>
                </c:pt>
              </c:strCache>
            </c:strRef>
          </c:cat>
          <c:val>
            <c:numRef>
              <c:f>'subwencja w ogólem'!$B$28:$K$28</c:f>
              <c:numCache>
                <c:formatCode>0.0</c:formatCode>
                <c:ptCount val="10"/>
                <c:pt idx="0">
                  <c:v>49.351047081523326</c:v>
                </c:pt>
                <c:pt idx="1">
                  <c:v>49.62876992387104</c:v>
                </c:pt>
                <c:pt idx="2">
                  <c:v>52.055631200009486</c:v>
                </c:pt>
                <c:pt idx="3">
                  <c:v>50.013880442426689</c:v>
                </c:pt>
                <c:pt idx="4">
                  <c:v>48.33838553287606</c:v>
                </c:pt>
                <c:pt idx="5">
                  <c:v>48.19768407280074</c:v>
                </c:pt>
                <c:pt idx="6">
                  <c:v>49.912918056276219</c:v>
                </c:pt>
                <c:pt idx="7">
                  <c:v>47.911325414803756</c:v>
                </c:pt>
                <c:pt idx="8">
                  <c:v>46.18125405083422</c:v>
                </c:pt>
                <c:pt idx="9">
                  <c:v>45.796496085259228</c:v>
                </c:pt>
              </c:numCache>
            </c:numRef>
          </c:val>
          <c:smooth val="0"/>
          <c:extLst>
            <c:ext xmlns:c16="http://schemas.microsoft.com/office/drawing/2014/chart" uri="{C3380CC4-5D6E-409C-BE32-E72D297353CC}">
              <c16:uniqueId val="{00000000-D496-49A8-9D95-C6A747D3D414}"/>
            </c:ext>
          </c:extLst>
        </c:ser>
        <c:ser>
          <c:idx val="1"/>
          <c:order val="1"/>
          <c:tx>
            <c:strRef>
              <c:f>'subwencja w ogólem'!$A$29</c:f>
              <c:strCache>
                <c:ptCount val="1"/>
                <c:pt idx="0">
                  <c:v>Powiat działdowski</c:v>
                </c:pt>
              </c:strCache>
            </c:strRef>
          </c:tx>
          <c:spPr>
            <a:ln w="28575" cap="rnd">
              <a:solidFill>
                <a:schemeClr val="accent6"/>
              </a:solidFill>
              <a:round/>
            </a:ln>
            <a:effectLst/>
          </c:spPr>
          <c:marker>
            <c:symbol val="none"/>
          </c:marker>
          <c:cat>
            <c:strRef>
              <c:f>'subwencja w ogólem'!$B$27:$K$27</c:f>
              <c:strCache>
                <c:ptCount val="10"/>
                <c:pt idx="0">
                  <c:v>2010</c:v>
                </c:pt>
                <c:pt idx="1">
                  <c:v>2011</c:v>
                </c:pt>
                <c:pt idx="2">
                  <c:v>2012</c:v>
                </c:pt>
                <c:pt idx="3">
                  <c:v>2013</c:v>
                </c:pt>
                <c:pt idx="4">
                  <c:v>2014</c:v>
                </c:pt>
                <c:pt idx="5">
                  <c:v>2015</c:v>
                </c:pt>
                <c:pt idx="6">
                  <c:v>2016</c:v>
                </c:pt>
                <c:pt idx="7">
                  <c:v>2017</c:v>
                </c:pt>
                <c:pt idx="8">
                  <c:v>2018</c:v>
                </c:pt>
                <c:pt idx="9">
                  <c:v>2019</c:v>
                </c:pt>
              </c:strCache>
            </c:strRef>
          </c:cat>
          <c:val>
            <c:numRef>
              <c:f>'subwencja w ogólem'!$B$29:$K$29</c:f>
              <c:numCache>
                <c:formatCode>0.0</c:formatCode>
                <c:ptCount val="10"/>
                <c:pt idx="0">
                  <c:v>54.179061332943498</c:v>
                </c:pt>
                <c:pt idx="1">
                  <c:v>53.959916285344697</c:v>
                </c:pt>
                <c:pt idx="2">
                  <c:v>55.525768447343665</c:v>
                </c:pt>
                <c:pt idx="3">
                  <c:v>54.282612497269668</c:v>
                </c:pt>
                <c:pt idx="4">
                  <c:v>53.616062722157402</c:v>
                </c:pt>
                <c:pt idx="5">
                  <c:v>51.359682979547699</c:v>
                </c:pt>
                <c:pt idx="6">
                  <c:v>50.737322728309493</c:v>
                </c:pt>
                <c:pt idx="7">
                  <c:v>48.144303135298543</c:v>
                </c:pt>
                <c:pt idx="8">
                  <c:v>49.961239354074742</c:v>
                </c:pt>
                <c:pt idx="9">
                  <c:v>52.176627302420719</c:v>
                </c:pt>
              </c:numCache>
            </c:numRef>
          </c:val>
          <c:smooth val="0"/>
          <c:extLst>
            <c:ext xmlns:c16="http://schemas.microsoft.com/office/drawing/2014/chart" uri="{C3380CC4-5D6E-409C-BE32-E72D297353CC}">
              <c16:uniqueId val="{00000001-D496-49A8-9D95-C6A747D3D414}"/>
            </c:ext>
          </c:extLst>
        </c:ser>
        <c:ser>
          <c:idx val="2"/>
          <c:order val="2"/>
          <c:tx>
            <c:strRef>
              <c:f>'subwencja w ogólem'!$A$30</c:f>
              <c:strCache>
                <c:ptCount val="1"/>
                <c:pt idx="0">
                  <c:v>Powiat nidzicki</c:v>
                </c:pt>
              </c:strCache>
            </c:strRef>
          </c:tx>
          <c:spPr>
            <a:ln w="28575" cap="rnd">
              <a:solidFill>
                <a:schemeClr val="accent3"/>
              </a:solidFill>
              <a:round/>
            </a:ln>
            <a:effectLst/>
          </c:spPr>
          <c:marker>
            <c:symbol val="none"/>
          </c:marker>
          <c:cat>
            <c:strRef>
              <c:f>'subwencja w ogólem'!$B$27:$K$27</c:f>
              <c:strCache>
                <c:ptCount val="10"/>
                <c:pt idx="0">
                  <c:v>2010</c:v>
                </c:pt>
                <c:pt idx="1">
                  <c:v>2011</c:v>
                </c:pt>
                <c:pt idx="2">
                  <c:v>2012</c:v>
                </c:pt>
                <c:pt idx="3">
                  <c:v>2013</c:v>
                </c:pt>
                <c:pt idx="4">
                  <c:v>2014</c:v>
                </c:pt>
                <c:pt idx="5">
                  <c:v>2015</c:v>
                </c:pt>
                <c:pt idx="6">
                  <c:v>2016</c:v>
                </c:pt>
                <c:pt idx="7">
                  <c:v>2017</c:v>
                </c:pt>
                <c:pt idx="8">
                  <c:v>2018</c:v>
                </c:pt>
                <c:pt idx="9">
                  <c:v>2019</c:v>
                </c:pt>
              </c:strCache>
            </c:strRef>
          </c:cat>
          <c:val>
            <c:numRef>
              <c:f>'subwencja w ogólem'!$B$30:$K$30</c:f>
              <c:numCache>
                <c:formatCode>0.0</c:formatCode>
                <c:ptCount val="10"/>
                <c:pt idx="0">
                  <c:v>54.142717243915016</c:v>
                </c:pt>
                <c:pt idx="1">
                  <c:v>59.908696830815686</c:v>
                </c:pt>
                <c:pt idx="2">
                  <c:v>59.24046883289747</c:v>
                </c:pt>
                <c:pt idx="3">
                  <c:v>58.861820651116147</c:v>
                </c:pt>
                <c:pt idx="4">
                  <c:v>59.7399689363466</c:v>
                </c:pt>
                <c:pt idx="5">
                  <c:v>56.014671035441296</c:v>
                </c:pt>
                <c:pt idx="6">
                  <c:v>55.092697160237172</c:v>
                </c:pt>
                <c:pt idx="7">
                  <c:v>55.250664992499303</c:v>
                </c:pt>
                <c:pt idx="8">
                  <c:v>51.539331493552091</c:v>
                </c:pt>
                <c:pt idx="9">
                  <c:v>41.845135881672171</c:v>
                </c:pt>
              </c:numCache>
            </c:numRef>
          </c:val>
          <c:smooth val="0"/>
          <c:extLst>
            <c:ext xmlns:c16="http://schemas.microsoft.com/office/drawing/2014/chart" uri="{C3380CC4-5D6E-409C-BE32-E72D297353CC}">
              <c16:uniqueId val="{00000002-D496-49A8-9D95-C6A747D3D414}"/>
            </c:ext>
          </c:extLst>
        </c:ser>
        <c:ser>
          <c:idx val="3"/>
          <c:order val="3"/>
          <c:tx>
            <c:strRef>
              <c:f>'subwencja w ogólem'!$A$31</c:f>
              <c:strCache>
                <c:ptCount val="1"/>
                <c:pt idx="0">
                  <c:v>Powiat piski</c:v>
                </c:pt>
              </c:strCache>
            </c:strRef>
          </c:tx>
          <c:spPr>
            <a:ln w="28575" cap="rnd">
              <a:solidFill>
                <a:schemeClr val="accent4"/>
              </a:solidFill>
              <a:round/>
            </a:ln>
            <a:effectLst/>
          </c:spPr>
          <c:marker>
            <c:symbol val="none"/>
          </c:marker>
          <c:cat>
            <c:strRef>
              <c:f>'subwencja w ogólem'!$B$27:$K$27</c:f>
              <c:strCache>
                <c:ptCount val="10"/>
                <c:pt idx="0">
                  <c:v>2010</c:v>
                </c:pt>
                <c:pt idx="1">
                  <c:v>2011</c:v>
                </c:pt>
                <c:pt idx="2">
                  <c:v>2012</c:v>
                </c:pt>
                <c:pt idx="3">
                  <c:v>2013</c:v>
                </c:pt>
                <c:pt idx="4">
                  <c:v>2014</c:v>
                </c:pt>
                <c:pt idx="5">
                  <c:v>2015</c:v>
                </c:pt>
                <c:pt idx="6">
                  <c:v>2016</c:v>
                </c:pt>
                <c:pt idx="7">
                  <c:v>2017</c:v>
                </c:pt>
                <c:pt idx="8">
                  <c:v>2018</c:v>
                </c:pt>
                <c:pt idx="9">
                  <c:v>2019</c:v>
                </c:pt>
              </c:strCache>
            </c:strRef>
          </c:cat>
          <c:val>
            <c:numRef>
              <c:f>'subwencja w ogólem'!$B$31:$K$31</c:f>
              <c:numCache>
                <c:formatCode>0.0</c:formatCode>
                <c:ptCount val="10"/>
                <c:pt idx="0">
                  <c:v>54.839926621277449</c:v>
                </c:pt>
                <c:pt idx="1">
                  <c:v>61.154586670303793</c:v>
                </c:pt>
                <c:pt idx="2">
                  <c:v>59.974115152100211</c:v>
                </c:pt>
                <c:pt idx="3">
                  <c:v>57.633798462023449</c:v>
                </c:pt>
                <c:pt idx="4">
                  <c:v>54.684880285725534</c:v>
                </c:pt>
                <c:pt idx="5">
                  <c:v>54.421634336803066</c:v>
                </c:pt>
                <c:pt idx="6">
                  <c:v>60.891888048827717</c:v>
                </c:pt>
                <c:pt idx="7">
                  <c:v>57.821514669458011</c:v>
                </c:pt>
                <c:pt idx="8">
                  <c:v>48.318252776875134</c:v>
                </c:pt>
                <c:pt idx="9">
                  <c:v>57.114377096323217</c:v>
                </c:pt>
              </c:numCache>
            </c:numRef>
          </c:val>
          <c:smooth val="0"/>
          <c:extLst>
            <c:ext xmlns:c16="http://schemas.microsoft.com/office/drawing/2014/chart" uri="{C3380CC4-5D6E-409C-BE32-E72D297353CC}">
              <c16:uniqueId val="{00000003-D496-49A8-9D95-C6A747D3D414}"/>
            </c:ext>
          </c:extLst>
        </c:ser>
        <c:ser>
          <c:idx val="4"/>
          <c:order val="4"/>
          <c:tx>
            <c:strRef>
              <c:f>'subwencja w ogólem'!$A$32</c:f>
              <c:strCache>
                <c:ptCount val="1"/>
                <c:pt idx="0">
                  <c:v>Powiat szczycieński</c:v>
                </c:pt>
              </c:strCache>
            </c:strRef>
          </c:tx>
          <c:spPr>
            <a:ln w="28575" cap="rnd">
              <a:solidFill>
                <a:schemeClr val="accent5"/>
              </a:solidFill>
              <a:round/>
            </a:ln>
            <a:effectLst/>
          </c:spPr>
          <c:marker>
            <c:symbol val="none"/>
          </c:marker>
          <c:cat>
            <c:strRef>
              <c:f>'subwencja w ogólem'!$B$27:$K$27</c:f>
              <c:strCache>
                <c:ptCount val="10"/>
                <c:pt idx="0">
                  <c:v>2010</c:v>
                </c:pt>
                <c:pt idx="1">
                  <c:v>2011</c:v>
                </c:pt>
                <c:pt idx="2">
                  <c:v>2012</c:v>
                </c:pt>
                <c:pt idx="3">
                  <c:v>2013</c:v>
                </c:pt>
                <c:pt idx="4">
                  <c:v>2014</c:v>
                </c:pt>
                <c:pt idx="5">
                  <c:v>2015</c:v>
                </c:pt>
                <c:pt idx="6">
                  <c:v>2016</c:v>
                </c:pt>
                <c:pt idx="7">
                  <c:v>2017</c:v>
                </c:pt>
                <c:pt idx="8">
                  <c:v>2018</c:v>
                </c:pt>
                <c:pt idx="9">
                  <c:v>2019</c:v>
                </c:pt>
              </c:strCache>
            </c:strRef>
          </c:cat>
          <c:val>
            <c:numRef>
              <c:f>'subwencja w ogólem'!$B$32:$K$32</c:f>
              <c:numCache>
                <c:formatCode>0.0</c:formatCode>
                <c:ptCount val="10"/>
                <c:pt idx="0">
                  <c:v>38.670739805969269</c:v>
                </c:pt>
                <c:pt idx="1">
                  <c:v>49.452700175009952</c:v>
                </c:pt>
                <c:pt idx="2">
                  <c:v>50.659055478375173</c:v>
                </c:pt>
                <c:pt idx="3">
                  <c:v>49.681634590572806</c:v>
                </c:pt>
                <c:pt idx="4">
                  <c:v>50.00946643815044</c:v>
                </c:pt>
                <c:pt idx="5">
                  <c:v>48.469300055568013</c:v>
                </c:pt>
                <c:pt idx="6">
                  <c:v>45.451389100027136</c:v>
                </c:pt>
                <c:pt idx="7">
                  <c:v>43.610886247183181</c:v>
                </c:pt>
                <c:pt idx="8">
                  <c:v>42.366044889779864</c:v>
                </c:pt>
                <c:pt idx="9">
                  <c:v>47.180493464285355</c:v>
                </c:pt>
              </c:numCache>
            </c:numRef>
          </c:val>
          <c:smooth val="0"/>
          <c:extLst>
            <c:ext xmlns:c16="http://schemas.microsoft.com/office/drawing/2014/chart" uri="{C3380CC4-5D6E-409C-BE32-E72D297353CC}">
              <c16:uniqueId val="{00000004-D496-49A8-9D95-C6A747D3D414}"/>
            </c:ext>
          </c:extLst>
        </c:ser>
        <c:dLbls>
          <c:showLegendKey val="0"/>
          <c:showVal val="0"/>
          <c:showCatName val="0"/>
          <c:showSerName val="0"/>
          <c:showPercent val="0"/>
          <c:showBubbleSize val="0"/>
        </c:dLbls>
        <c:smooth val="0"/>
        <c:axId val="398001016"/>
        <c:axId val="397999840"/>
      </c:lineChart>
      <c:catAx>
        <c:axId val="3980010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97999840"/>
        <c:crosses val="autoZero"/>
        <c:auto val="1"/>
        <c:lblAlgn val="ctr"/>
        <c:lblOffset val="100"/>
        <c:noMultiLvlLbl val="0"/>
      </c:catAx>
      <c:valAx>
        <c:axId val="397999840"/>
        <c:scaling>
          <c:orientation val="minMax"/>
          <c:min val="35"/>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980010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TABLICA!$L$24</c:f>
              <c:strCache>
                <c:ptCount val="1"/>
                <c:pt idx="0">
                  <c:v>Województwo warmińsko-mazurskie</c:v>
                </c:pt>
              </c:strCache>
            </c:strRef>
          </c:tx>
          <c:spPr>
            <a:ln w="28575" cap="rnd">
              <a:solidFill>
                <a:schemeClr val="tx1">
                  <a:lumMod val="75000"/>
                  <a:lumOff val="25000"/>
                </a:schemeClr>
              </a:solidFill>
              <a:round/>
            </a:ln>
            <a:effectLst/>
          </c:spPr>
          <c:marker>
            <c:symbol val="none"/>
          </c:marker>
          <c:cat>
            <c:strRef>
              <c:f>TABLICA!$M$23:$V$23</c:f>
              <c:strCache>
                <c:ptCount val="10"/>
                <c:pt idx="0">
                  <c:v>2010</c:v>
                </c:pt>
                <c:pt idx="1">
                  <c:v>2011</c:v>
                </c:pt>
                <c:pt idx="2">
                  <c:v>2012</c:v>
                </c:pt>
                <c:pt idx="3">
                  <c:v>2013</c:v>
                </c:pt>
                <c:pt idx="4">
                  <c:v>2014</c:v>
                </c:pt>
                <c:pt idx="5">
                  <c:v>2015</c:v>
                </c:pt>
                <c:pt idx="6">
                  <c:v>2016</c:v>
                </c:pt>
                <c:pt idx="7">
                  <c:v>2017</c:v>
                </c:pt>
                <c:pt idx="8">
                  <c:v>2018</c:v>
                </c:pt>
                <c:pt idx="9">
                  <c:v>2019</c:v>
                </c:pt>
              </c:strCache>
            </c:strRef>
          </c:cat>
          <c:val>
            <c:numRef>
              <c:f>TABLICA!$M$24:$V$24</c:f>
              <c:numCache>
                <c:formatCode>#,##0.00</c:formatCode>
                <c:ptCount val="10"/>
                <c:pt idx="0">
                  <c:v>262.52</c:v>
                </c:pt>
                <c:pt idx="1">
                  <c:v>262.13</c:v>
                </c:pt>
                <c:pt idx="2">
                  <c:v>235.7</c:v>
                </c:pt>
                <c:pt idx="3">
                  <c:v>258.64999999999998</c:v>
                </c:pt>
                <c:pt idx="4">
                  <c:v>281.70999999999998</c:v>
                </c:pt>
                <c:pt idx="5">
                  <c:v>295.69</c:v>
                </c:pt>
                <c:pt idx="6">
                  <c:v>309.48</c:v>
                </c:pt>
                <c:pt idx="7">
                  <c:v>330.39</c:v>
                </c:pt>
                <c:pt idx="8">
                  <c:v>371.17</c:v>
                </c:pt>
                <c:pt idx="9">
                  <c:v>465.9</c:v>
                </c:pt>
              </c:numCache>
            </c:numRef>
          </c:val>
          <c:smooth val="0"/>
          <c:extLst>
            <c:ext xmlns:c16="http://schemas.microsoft.com/office/drawing/2014/chart" uri="{C3380CC4-5D6E-409C-BE32-E72D297353CC}">
              <c16:uniqueId val="{00000000-9D99-484E-88DA-9BD9D412DE7D}"/>
            </c:ext>
          </c:extLst>
        </c:ser>
        <c:ser>
          <c:idx val="1"/>
          <c:order val="1"/>
          <c:tx>
            <c:strRef>
              <c:f>TABLICA!$L$25</c:f>
              <c:strCache>
                <c:ptCount val="1"/>
                <c:pt idx="0">
                  <c:v>Powiat działdowski</c:v>
                </c:pt>
              </c:strCache>
            </c:strRef>
          </c:tx>
          <c:spPr>
            <a:ln w="28575" cap="rnd">
              <a:solidFill>
                <a:schemeClr val="accent6"/>
              </a:solidFill>
              <a:round/>
            </a:ln>
            <a:effectLst/>
          </c:spPr>
          <c:marker>
            <c:symbol val="none"/>
          </c:marker>
          <c:cat>
            <c:strRef>
              <c:f>TABLICA!$M$23:$V$23</c:f>
              <c:strCache>
                <c:ptCount val="10"/>
                <c:pt idx="0">
                  <c:v>2010</c:v>
                </c:pt>
                <c:pt idx="1">
                  <c:v>2011</c:v>
                </c:pt>
                <c:pt idx="2">
                  <c:v>2012</c:v>
                </c:pt>
                <c:pt idx="3">
                  <c:v>2013</c:v>
                </c:pt>
                <c:pt idx="4">
                  <c:v>2014</c:v>
                </c:pt>
                <c:pt idx="5">
                  <c:v>2015</c:v>
                </c:pt>
                <c:pt idx="6">
                  <c:v>2016</c:v>
                </c:pt>
                <c:pt idx="7">
                  <c:v>2017</c:v>
                </c:pt>
                <c:pt idx="8">
                  <c:v>2018</c:v>
                </c:pt>
                <c:pt idx="9">
                  <c:v>2019</c:v>
                </c:pt>
              </c:strCache>
            </c:strRef>
          </c:cat>
          <c:val>
            <c:numRef>
              <c:f>TABLICA!$M$25:$V$25</c:f>
              <c:numCache>
                <c:formatCode>#,##0.00</c:formatCode>
                <c:ptCount val="10"/>
                <c:pt idx="0">
                  <c:v>175.73</c:v>
                </c:pt>
                <c:pt idx="1">
                  <c:v>166.05</c:v>
                </c:pt>
                <c:pt idx="2">
                  <c:v>185.34</c:v>
                </c:pt>
                <c:pt idx="3">
                  <c:v>195.09</c:v>
                </c:pt>
                <c:pt idx="4">
                  <c:v>216.09</c:v>
                </c:pt>
                <c:pt idx="5">
                  <c:v>249.72</c:v>
                </c:pt>
                <c:pt idx="6">
                  <c:v>259.39</c:v>
                </c:pt>
                <c:pt idx="7">
                  <c:v>282.70999999999998</c:v>
                </c:pt>
                <c:pt idx="8">
                  <c:v>298.51</c:v>
                </c:pt>
                <c:pt idx="9">
                  <c:v>369.43</c:v>
                </c:pt>
              </c:numCache>
            </c:numRef>
          </c:val>
          <c:smooth val="0"/>
          <c:extLst>
            <c:ext xmlns:c16="http://schemas.microsoft.com/office/drawing/2014/chart" uri="{C3380CC4-5D6E-409C-BE32-E72D297353CC}">
              <c16:uniqueId val="{00000001-9D99-484E-88DA-9BD9D412DE7D}"/>
            </c:ext>
          </c:extLst>
        </c:ser>
        <c:ser>
          <c:idx val="2"/>
          <c:order val="2"/>
          <c:tx>
            <c:strRef>
              <c:f>TABLICA!$L$26</c:f>
              <c:strCache>
                <c:ptCount val="1"/>
                <c:pt idx="0">
                  <c:v>Powiat nidzicki</c:v>
                </c:pt>
              </c:strCache>
            </c:strRef>
          </c:tx>
          <c:spPr>
            <a:ln w="28575" cap="rnd">
              <a:solidFill>
                <a:schemeClr val="accent3"/>
              </a:solidFill>
              <a:round/>
            </a:ln>
            <a:effectLst/>
          </c:spPr>
          <c:marker>
            <c:symbol val="none"/>
          </c:marker>
          <c:cat>
            <c:strRef>
              <c:f>TABLICA!$M$23:$V$23</c:f>
              <c:strCache>
                <c:ptCount val="10"/>
                <c:pt idx="0">
                  <c:v>2010</c:v>
                </c:pt>
                <c:pt idx="1">
                  <c:v>2011</c:v>
                </c:pt>
                <c:pt idx="2">
                  <c:v>2012</c:v>
                </c:pt>
                <c:pt idx="3">
                  <c:v>2013</c:v>
                </c:pt>
                <c:pt idx="4">
                  <c:v>2014</c:v>
                </c:pt>
                <c:pt idx="5">
                  <c:v>2015</c:v>
                </c:pt>
                <c:pt idx="6">
                  <c:v>2016</c:v>
                </c:pt>
                <c:pt idx="7">
                  <c:v>2017</c:v>
                </c:pt>
                <c:pt idx="8">
                  <c:v>2018</c:v>
                </c:pt>
                <c:pt idx="9">
                  <c:v>2019</c:v>
                </c:pt>
              </c:strCache>
            </c:strRef>
          </c:cat>
          <c:val>
            <c:numRef>
              <c:f>TABLICA!$M$26:$V$26</c:f>
              <c:numCache>
                <c:formatCode>#,##0.00</c:formatCode>
                <c:ptCount val="10"/>
                <c:pt idx="0">
                  <c:v>170.84</c:v>
                </c:pt>
                <c:pt idx="1">
                  <c:v>174</c:v>
                </c:pt>
                <c:pt idx="2">
                  <c:v>219.79</c:v>
                </c:pt>
                <c:pt idx="3">
                  <c:v>170.72</c:v>
                </c:pt>
                <c:pt idx="4">
                  <c:v>189.84</c:v>
                </c:pt>
                <c:pt idx="5">
                  <c:v>205.31</c:v>
                </c:pt>
                <c:pt idx="6">
                  <c:v>233.23</c:v>
                </c:pt>
                <c:pt idx="7">
                  <c:v>223.77</c:v>
                </c:pt>
                <c:pt idx="8">
                  <c:v>291.58</c:v>
                </c:pt>
                <c:pt idx="9">
                  <c:v>601.17999999999995</c:v>
                </c:pt>
              </c:numCache>
            </c:numRef>
          </c:val>
          <c:smooth val="0"/>
          <c:extLst>
            <c:ext xmlns:c16="http://schemas.microsoft.com/office/drawing/2014/chart" uri="{C3380CC4-5D6E-409C-BE32-E72D297353CC}">
              <c16:uniqueId val="{00000002-9D99-484E-88DA-9BD9D412DE7D}"/>
            </c:ext>
          </c:extLst>
        </c:ser>
        <c:ser>
          <c:idx val="3"/>
          <c:order val="3"/>
          <c:tx>
            <c:strRef>
              <c:f>TABLICA!$L$27</c:f>
              <c:strCache>
                <c:ptCount val="1"/>
                <c:pt idx="0">
                  <c:v>Powiat piski</c:v>
                </c:pt>
              </c:strCache>
            </c:strRef>
          </c:tx>
          <c:spPr>
            <a:ln w="28575" cap="rnd">
              <a:solidFill>
                <a:schemeClr val="accent4"/>
              </a:solidFill>
              <a:round/>
            </a:ln>
            <a:effectLst/>
          </c:spPr>
          <c:marker>
            <c:symbol val="none"/>
          </c:marker>
          <c:cat>
            <c:strRef>
              <c:f>TABLICA!$M$23:$V$23</c:f>
              <c:strCache>
                <c:ptCount val="10"/>
                <c:pt idx="0">
                  <c:v>2010</c:v>
                </c:pt>
                <c:pt idx="1">
                  <c:v>2011</c:v>
                </c:pt>
                <c:pt idx="2">
                  <c:v>2012</c:v>
                </c:pt>
                <c:pt idx="3">
                  <c:v>2013</c:v>
                </c:pt>
                <c:pt idx="4">
                  <c:v>2014</c:v>
                </c:pt>
                <c:pt idx="5">
                  <c:v>2015</c:v>
                </c:pt>
                <c:pt idx="6">
                  <c:v>2016</c:v>
                </c:pt>
                <c:pt idx="7">
                  <c:v>2017</c:v>
                </c:pt>
                <c:pt idx="8">
                  <c:v>2018</c:v>
                </c:pt>
                <c:pt idx="9">
                  <c:v>2019</c:v>
                </c:pt>
              </c:strCache>
            </c:strRef>
          </c:cat>
          <c:val>
            <c:numRef>
              <c:f>TABLICA!$M$27:$V$27</c:f>
              <c:numCache>
                <c:formatCode>#,##0.00</c:formatCode>
                <c:ptCount val="10"/>
                <c:pt idx="0">
                  <c:v>183.19</c:v>
                </c:pt>
                <c:pt idx="1">
                  <c:v>228.18</c:v>
                </c:pt>
                <c:pt idx="2">
                  <c:v>223.85</c:v>
                </c:pt>
                <c:pt idx="3">
                  <c:v>238.98</c:v>
                </c:pt>
                <c:pt idx="4">
                  <c:v>267.52</c:v>
                </c:pt>
                <c:pt idx="5">
                  <c:v>268.26</c:v>
                </c:pt>
                <c:pt idx="6">
                  <c:v>227.92</c:v>
                </c:pt>
                <c:pt idx="7">
                  <c:v>254.89</c:v>
                </c:pt>
                <c:pt idx="8">
                  <c:v>275</c:v>
                </c:pt>
                <c:pt idx="9">
                  <c:v>354.27</c:v>
                </c:pt>
              </c:numCache>
            </c:numRef>
          </c:val>
          <c:smooth val="0"/>
          <c:extLst>
            <c:ext xmlns:c16="http://schemas.microsoft.com/office/drawing/2014/chart" uri="{C3380CC4-5D6E-409C-BE32-E72D297353CC}">
              <c16:uniqueId val="{00000003-9D99-484E-88DA-9BD9D412DE7D}"/>
            </c:ext>
          </c:extLst>
        </c:ser>
        <c:ser>
          <c:idx val="4"/>
          <c:order val="4"/>
          <c:tx>
            <c:strRef>
              <c:f>TABLICA!$L$28</c:f>
              <c:strCache>
                <c:ptCount val="1"/>
                <c:pt idx="0">
                  <c:v>Powiat szczycieński</c:v>
                </c:pt>
              </c:strCache>
            </c:strRef>
          </c:tx>
          <c:spPr>
            <a:ln w="28575" cap="rnd">
              <a:solidFill>
                <a:schemeClr val="accent5"/>
              </a:solidFill>
              <a:round/>
            </a:ln>
            <a:effectLst/>
          </c:spPr>
          <c:marker>
            <c:symbol val="none"/>
          </c:marker>
          <c:cat>
            <c:strRef>
              <c:f>TABLICA!$M$23:$V$23</c:f>
              <c:strCache>
                <c:ptCount val="10"/>
                <c:pt idx="0">
                  <c:v>2010</c:v>
                </c:pt>
                <c:pt idx="1">
                  <c:v>2011</c:v>
                </c:pt>
                <c:pt idx="2">
                  <c:v>2012</c:v>
                </c:pt>
                <c:pt idx="3">
                  <c:v>2013</c:v>
                </c:pt>
                <c:pt idx="4">
                  <c:v>2014</c:v>
                </c:pt>
                <c:pt idx="5">
                  <c:v>2015</c:v>
                </c:pt>
                <c:pt idx="6">
                  <c:v>2016</c:v>
                </c:pt>
                <c:pt idx="7">
                  <c:v>2017</c:v>
                </c:pt>
                <c:pt idx="8">
                  <c:v>2018</c:v>
                </c:pt>
                <c:pt idx="9">
                  <c:v>2019</c:v>
                </c:pt>
              </c:strCache>
            </c:strRef>
          </c:cat>
          <c:val>
            <c:numRef>
              <c:f>TABLICA!$M$28:$V$28</c:f>
              <c:numCache>
                <c:formatCode>#,##0.00</c:formatCode>
                <c:ptCount val="10"/>
                <c:pt idx="0">
                  <c:v>510.43</c:v>
                </c:pt>
                <c:pt idx="1">
                  <c:v>230.89</c:v>
                </c:pt>
                <c:pt idx="2">
                  <c:v>225.15</c:v>
                </c:pt>
                <c:pt idx="3">
                  <c:v>238.58</c:v>
                </c:pt>
                <c:pt idx="4">
                  <c:v>254.15</c:v>
                </c:pt>
                <c:pt idx="5">
                  <c:v>285.52</c:v>
                </c:pt>
                <c:pt idx="6">
                  <c:v>341.99</c:v>
                </c:pt>
                <c:pt idx="7">
                  <c:v>341.38</c:v>
                </c:pt>
                <c:pt idx="8">
                  <c:v>389.38</c:v>
                </c:pt>
                <c:pt idx="9">
                  <c:v>391.55</c:v>
                </c:pt>
              </c:numCache>
            </c:numRef>
          </c:val>
          <c:smooth val="0"/>
          <c:extLst>
            <c:ext xmlns:c16="http://schemas.microsoft.com/office/drawing/2014/chart" uri="{C3380CC4-5D6E-409C-BE32-E72D297353CC}">
              <c16:uniqueId val="{00000004-9D99-484E-88DA-9BD9D412DE7D}"/>
            </c:ext>
          </c:extLst>
        </c:ser>
        <c:dLbls>
          <c:showLegendKey val="0"/>
          <c:showVal val="0"/>
          <c:showCatName val="0"/>
          <c:showSerName val="0"/>
          <c:showPercent val="0"/>
          <c:showBubbleSize val="0"/>
        </c:dLbls>
        <c:smooth val="0"/>
        <c:axId val="298031040"/>
        <c:axId val="298030256"/>
      </c:lineChart>
      <c:catAx>
        <c:axId val="2980310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98030256"/>
        <c:crosses val="autoZero"/>
        <c:auto val="1"/>
        <c:lblAlgn val="ctr"/>
        <c:lblOffset val="100"/>
        <c:noMultiLvlLbl val="0"/>
      </c:catAx>
      <c:valAx>
        <c:axId val="29803025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980310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Arkusz1!$A$3</c:f>
              <c:strCache>
                <c:ptCount val="1"/>
                <c:pt idx="0">
                  <c:v>Województwo warmińsko-mazurskie</c:v>
                </c:pt>
              </c:strCache>
            </c:strRef>
          </c:tx>
          <c:spPr>
            <a:ln w="28575" cap="rnd">
              <a:solidFill>
                <a:schemeClr val="tx1">
                  <a:lumMod val="75000"/>
                  <a:lumOff val="25000"/>
                </a:schemeClr>
              </a:solidFill>
              <a:round/>
            </a:ln>
            <a:effectLst/>
          </c:spPr>
          <c:marker>
            <c:symbol val="none"/>
          </c:marker>
          <c:cat>
            <c:strRef>
              <c:f>Arkusz1!$B$2:$K$2</c:f>
              <c:strCache>
                <c:ptCount val="10"/>
                <c:pt idx="0">
                  <c:v>2010</c:v>
                </c:pt>
                <c:pt idx="1">
                  <c:v>2011</c:v>
                </c:pt>
                <c:pt idx="2">
                  <c:v>2012</c:v>
                </c:pt>
                <c:pt idx="3">
                  <c:v>2013</c:v>
                </c:pt>
                <c:pt idx="4">
                  <c:v>2014</c:v>
                </c:pt>
                <c:pt idx="5">
                  <c:v>2015</c:v>
                </c:pt>
                <c:pt idx="6">
                  <c:v>2016</c:v>
                </c:pt>
                <c:pt idx="7">
                  <c:v>2017</c:v>
                </c:pt>
                <c:pt idx="8">
                  <c:v>2018</c:v>
                </c:pt>
                <c:pt idx="9">
                  <c:v>2019</c:v>
                </c:pt>
              </c:strCache>
            </c:strRef>
          </c:cat>
          <c:val>
            <c:numRef>
              <c:f>Arkusz1!$B$3:$K$3</c:f>
              <c:numCache>
                <c:formatCode>#,##0.00</c:formatCode>
                <c:ptCount val="10"/>
                <c:pt idx="0">
                  <c:v>1091.17</c:v>
                </c:pt>
                <c:pt idx="1">
                  <c:v>1071.77</c:v>
                </c:pt>
                <c:pt idx="2">
                  <c:v>1034.98</c:v>
                </c:pt>
                <c:pt idx="3">
                  <c:v>1095.27</c:v>
                </c:pt>
                <c:pt idx="4">
                  <c:v>1109.52</c:v>
                </c:pt>
                <c:pt idx="5">
                  <c:v>1075.3699999999999</c:v>
                </c:pt>
                <c:pt idx="6">
                  <c:v>1055.3800000000001</c:v>
                </c:pt>
                <c:pt idx="7">
                  <c:v>1143.0899999999999</c:v>
                </c:pt>
                <c:pt idx="8">
                  <c:v>1269.8499999999999</c:v>
                </c:pt>
                <c:pt idx="9">
                  <c:v>1381.25</c:v>
                </c:pt>
              </c:numCache>
            </c:numRef>
          </c:val>
          <c:smooth val="0"/>
          <c:extLst>
            <c:ext xmlns:c16="http://schemas.microsoft.com/office/drawing/2014/chart" uri="{C3380CC4-5D6E-409C-BE32-E72D297353CC}">
              <c16:uniqueId val="{00000000-6C16-4EEC-89CF-10C3A2680459}"/>
            </c:ext>
          </c:extLst>
        </c:ser>
        <c:ser>
          <c:idx val="1"/>
          <c:order val="1"/>
          <c:tx>
            <c:strRef>
              <c:f>Arkusz1!$A$4</c:f>
              <c:strCache>
                <c:ptCount val="1"/>
                <c:pt idx="0">
                  <c:v>Powiat działdowski</c:v>
                </c:pt>
              </c:strCache>
            </c:strRef>
          </c:tx>
          <c:spPr>
            <a:ln w="28575" cap="rnd">
              <a:solidFill>
                <a:schemeClr val="accent2"/>
              </a:solidFill>
              <a:round/>
            </a:ln>
            <a:effectLst/>
          </c:spPr>
          <c:marker>
            <c:symbol val="none"/>
          </c:marker>
          <c:cat>
            <c:strRef>
              <c:f>Arkusz1!$B$2:$K$2</c:f>
              <c:strCache>
                <c:ptCount val="10"/>
                <c:pt idx="0">
                  <c:v>2010</c:v>
                </c:pt>
                <c:pt idx="1">
                  <c:v>2011</c:v>
                </c:pt>
                <c:pt idx="2">
                  <c:v>2012</c:v>
                </c:pt>
                <c:pt idx="3">
                  <c:v>2013</c:v>
                </c:pt>
                <c:pt idx="4">
                  <c:v>2014</c:v>
                </c:pt>
                <c:pt idx="5">
                  <c:v>2015</c:v>
                </c:pt>
                <c:pt idx="6">
                  <c:v>2016</c:v>
                </c:pt>
                <c:pt idx="7">
                  <c:v>2017</c:v>
                </c:pt>
                <c:pt idx="8">
                  <c:v>2018</c:v>
                </c:pt>
                <c:pt idx="9">
                  <c:v>2019</c:v>
                </c:pt>
              </c:strCache>
            </c:strRef>
          </c:cat>
          <c:val>
            <c:numRef>
              <c:f>Arkusz1!$B$4:$K$4</c:f>
              <c:numCache>
                <c:formatCode>#,##0.00</c:formatCode>
                <c:ptCount val="10"/>
                <c:pt idx="0">
                  <c:v>820.04</c:v>
                </c:pt>
                <c:pt idx="1">
                  <c:v>833.93</c:v>
                </c:pt>
                <c:pt idx="2">
                  <c:v>812.23</c:v>
                </c:pt>
                <c:pt idx="3">
                  <c:v>824.89</c:v>
                </c:pt>
                <c:pt idx="4">
                  <c:v>847.16</c:v>
                </c:pt>
                <c:pt idx="5">
                  <c:v>841.24</c:v>
                </c:pt>
                <c:pt idx="6">
                  <c:v>863.21</c:v>
                </c:pt>
                <c:pt idx="7">
                  <c:v>933.25</c:v>
                </c:pt>
                <c:pt idx="8">
                  <c:v>972.35</c:v>
                </c:pt>
                <c:pt idx="9">
                  <c:v>1108.77</c:v>
                </c:pt>
              </c:numCache>
            </c:numRef>
          </c:val>
          <c:smooth val="0"/>
          <c:extLst>
            <c:ext xmlns:c16="http://schemas.microsoft.com/office/drawing/2014/chart" uri="{C3380CC4-5D6E-409C-BE32-E72D297353CC}">
              <c16:uniqueId val="{00000001-6C16-4EEC-89CF-10C3A2680459}"/>
            </c:ext>
          </c:extLst>
        </c:ser>
        <c:ser>
          <c:idx val="2"/>
          <c:order val="2"/>
          <c:tx>
            <c:strRef>
              <c:f>Arkusz1!$A$5</c:f>
              <c:strCache>
                <c:ptCount val="1"/>
                <c:pt idx="0">
                  <c:v>Powiat nidzicki</c:v>
                </c:pt>
              </c:strCache>
            </c:strRef>
          </c:tx>
          <c:spPr>
            <a:ln w="28575" cap="rnd">
              <a:solidFill>
                <a:schemeClr val="accent6"/>
              </a:solidFill>
              <a:round/>
            </a:ln>
            <a:effectLst/>
          </c:spPr>
          <c:marker>
            <c:symbol val="none"/>
          </c:marker>
          <c:cat>
            <c:strRef>
              <c:f>Arkusz1!$B$2:$K$2</c:f>
              <c:strCache>
                <c:ptCount val="10"/>
                <c:pt idx="0">
                  <c:v>2010</c:v>
                </c:pt>
                <c:pt idx="1">
                  <c:v>2011</c:v>
                </c:pt>
                <c:pt idx="2">
                  <c:v>2012</c:v>
                </c:pt>
                <c:pt idx="3">
                  <c:v>2013</c:v>
                </c:pt>
                <c:pt idx="4">
                  <c:v>2014</c:v>
                </c:pt>
                <c:pt idx="5">
                  <c:v>2015</c:v>
                </c:pt>
                <c:pt idx="6">
                  <c:v>2016</c:v>
                </c:pt>
                <c:pt idx="7">
                  <c:v>2017</c:v>
                </c:pt>
                <c:pt idx="8">
                  <c:v>2018</c:v>
                </c:pt>
                <c:pt idx="9">
                  <c:v>2019</c:v>
                </c:pt>
              </c:strCache>
            </c:strRef>
          </c:cat>
          <c:val>
            <c:numRef>
              <c:f>Arkusz1!$B$5:$K$5</c:f>
              <c:numCache>
                <c:formatCode>#,##0.00</c:formatCode>
                <c:ptCount val="10"/>
                <c:pt idx="0">
                  <c:v>1370.74</c:v>
                </c:pt>
                <c:pt idx="1">
                  <c:v>1191.8900000000001</c:v>
                </c:pt>
                <c:pt idx="2">
                  <c:v>1030.8800000000001</c:v>
                </c:pt>
                <c:pt idx="3">
                  <c:v>1082.3599999999999</c:v>
                </c:pt>
                <c:pt idx="4">
                  <c:v>1066.08</c:v>
                </c:pt>
                <c:pt idx="5">
                  <c:v>1107.79</c:v>
                </c:pt>
                <c:pt idx="6">
                  <c:v>1154.78</c:v>
                </c:pt>
                <c:pt idx="7">
                  <c:v>1255.76</c:v>
                </c:pt>
                <c:pt idx="8">
                  <c:v>1238.6500000000001</c:v>
                </c:pt>
                <c:pt idx="9">
                  <c:v>1479.1</c:v>
                </c:pt>
              </c:numCache>
            </c:numRef>
          </c:val>
          <c:smooth val="0"/>
          <c:extLst>
            <c:ext xmlns:c16="http://schemas.microsoft.com/office/drawing/2014/chart" uri="{C3380CC4-5D6E-409C-BE32-E72D297353CC}">
              <c16:uniqueId val="{00000002-6C16-4EEC-89CF-10C3A2680459}"/>
            </c:ext>
          </c:extLst>
        </c:ser>
        <c:ser>
          <c:idx val="3"/>
          <c:order val="3"/>
          <c:tx>
            <c:strRef>
              <c:f>Arkusz1!$A$6</c:f>
              <c:strCache>
                <c:ptCount val="1"/>
                <c:pt idx="0">
                  <c:v>Powiat piski</c:v>
                </c:pt>
              </c:strCache>
            </c:strRef>
          </c:tx>
          <c:spPr>
            <a:ln w="28575" cap="rnd">
              <a:solidFill>
                <a:schemeClr val="accent4"/>
              </a:solidFill>
              <a:round/>
            </a:ln>
            <a:effectLst/>
          </c:spPr>
          <c:marker>
            <c:symbol val="none"/>
          </c:marker>
          <c:cat>
            <c:strRef>
              <c:f>Arkusz1!$B$2:$K$2</c:f>
              <c:strCache>
                <c:ptCount val="10"/>
                <c:pt idx="0">
                  <c:v>2010</c:v>
                </c:pt>
                <c:pt idx="1">
                  <c:v>2011</c:v>
                </c:pt>
                <c:pt idx="2">
                  <c:v>2012</c:v>
                </c:pt>
                <c:pt idx="3">
                  <c:v>2013</c:v>
                </c:pt>
                <c:pt idx="4">
                  <c:v>2014</c:v>
                </c:pt>
                <c:pt idx="5">
                  <c:v>2015</c:v>
                </c:pt>
                <c:pt idx="6">
                  <c:v>2016</c:v>
                </c:pt>
                <c:pt idx="7">
                  <c:v>2017</c:v>
                </c:pt>
                <c:pt idx="8">
                  <c:v>2018</c:v>
                </c:pt>
                <c:pt idx="9">
                  <c:v>2019</c:v>
                </c:pt>
              </c:strCache>
            </c:strRef>
          </c:cat>
          <c:val>
            <c:numRef>
              <c:f>Arkusz1!$B$6:$K$6</c:f>
              <c:numCache>
                <c:formatCode>#,##0.00</c:formatCode>
                <c:ptCount val="10"/>
                <c:pt idx="0">
                  <c:v>1131.93</c:v>
                </c:pt>
                <c:pt idx="1">
                  <c:v>1017.01</c:v>
                </c:pt>
                <c:pt idx="2">
                  <c:v>997.75</c:v>
                </c:pt>
                <c:pt idx="3">
                  <c:v>1167.3900000000001</c:v>
                </c:pt>
                <c:pt idx="4">
                  <c:v>1187.81</c:v>
                </c:pt>
                <c:pt idx="5">
                  <c:v>1121.95</c:v>
                </c:pt>
                <c:pt idx="6">
                  <c:v>1048.22</c:v>
                </c:pt>
                <c:pt idx="7">
                  <c:v>1184.19</c:v>
                </c:pt>
                <c:pt idx="8">
                  <c:v>1389.21</c:v>
                </c:pt>
                <c:pt idx="9">
                  <c:v>1303.01</c:v>
                </c:pt>
              </c:numCache>
            </c:numRef>
          </c:val>
          <c:smooth val="0"/>
          <c:extLst>
            <c:ext xmlns:c16="http://schemas.microsoft.com/office/drawing/2014/chart" uri="{C3380CC4-5D6E-409C-BE32-E72D297353CC}">
              <c16:uniqueId val="{00000003-6C16-4EEC-89CF-10C3A2680459}"/>
            </c:ext>
          </c:extLst>
        </c:ser>
        <c:ser>
          <c:idx val="4"/>
          <c:order val="4"/>
          <c:tx>
            <c:strRef>
              <c:f>Arkusz1!$A$7</c:f>
              <c:strCache>
                <c:ptCount val="1"/>
                <c:pt idx="0">
                  <c:v>Powiat szczycieński</c:v>
                </c:pt>
              </c:strCache>
            </c:strRef>
          </c:tx>
          <c:spPr>
            <a:ln w="28575" cap="rnd">
              <a:solidFill>
                <a:schemeClr val="accent5"/>
              </a:solidFill>
              <a:round/>
            </a:ln>
            <a:effectLst/>
          </c:spPr>
          <c:marker>
            <c:symbol val="none"/>
          </c:marker>
          <c:cat>
            <c:strRef>
              <c:f>Arkusz1!$B$2:$K$2</c:f>
              <c:strCache>
                <c:ptCount val="10"/>
                <c:pt idx="0">
                  <c:v>2010</c:v>
                </c:pt>
                <c:pt idx="1">
                  <c:v>2011</c:v>
                </c:pt>
                <c:pt idx="2">
                  <c:v>2012</c:v>
                </c:pt>
                <c:pt idx="3">
                  <c:v>2013</c:v>
                </c:pt>
                <c:pt idx="4">
                  <c:v>2014</c:v>
                </c:pt>
                <c:pt idx="5">
                  <c:v>2015</c:v>
                </c:pt>
                <c:pt idx="6">
                  <c:v>2016</c:v>
                </c:pt>
                <c:pt idx="7">
                  <c:v>2017</c:v>
                </c:pt>
                <c:pt idx="8">
                  <c:v>2018</c:v>
                </c:pt>
                <c:pt idx="9">
                  <c:v>2019</c:v>
                </c:pt>
              </c:strCache>
            </c:strRef>
          </c:cat>
          <c:val>
            <c:numRef>
              <c:f>Arkusz1!$B$7:$K$7</c:f>
              <c:numCache>
                <c:formatCode>#,##0.00</c:formatCode>
                <c:ptCount val="10"/>
                <c:pt idx="0">
                  <c:v>1351.9</c:v>
                </c:pt>
                <c:pt idx="1">
                  <c:v>980.47</c:v>
                </c:pt>
                <c:pt idx="2">
                  <c:v>978.11</c:v>
                </c:pt>
                <c:pt idx="3">
                  <c:v>1077.0899999999999</c:v>
                </c:pt>
                <c:pt idx="4">
                  <c:v>1044.03</c:v>
                </c:pt>
                <c:pt idx="5">
                  <c:v>1052.8</c:v>
                </c:pt>
                <c:pt idx="6">
                  <c:v>1128.52</c:v>
                </c:pt>
                <c:pt idx="7">
                  <c:v>1240.4100000000001</c:v>
                </c:pt>
                <c:pt idx="8">
                  <c:v>1332.87</c:v>
                </c:pt>
                <c:pt idx="9">
                  <c:v>1368.56</c:v>
                </c:pt>
              </c:numCache>
            </c:numRef>
          </c:val>
          <c:smooth val="0"/>
          <c:extLst>
            <c:ext xmlns:c16="http://schemas.microsoft.com/office/drawing/2014/chart" uri="{C3380CC4-5D6E-409C-BE32-E72D297353CC}">
              <c16:uniqueId val="{00000004-6C16-4EEC-89CF-10C3A2680459}"/>
            </c:ext>
          </c:extLst>
        </c:ser>
        <c:dLbls>
          <c:showLegendKey val="0"/>
          <c:showVal val="0"/>
          <c:showCatName val="0"/>
          <c:showSerName val="0"/>
          <c:showPercent val="0"/>
          <c:showBubbleSize val="0"/>
        </c:dLbls>
        <c:smooth val="0"/>
        <c:axId val="298022024"/>
        <c:axId val="299280936"/>
      </c:lineChart>
      <c:catAx>
        <c:axId val="2980220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99280936"/>
        <c:crosses val="autoZero"/>
        <c:auto val="1"/>
        <c:lblAlgn val="ctr"/>
        <c:lblOffset val="100"/>
        <c:noMultiLvlLbl val="0"/>
      </c:catAx>
      <c:valAx>
        <c:axId val="299280936"/>
        <c:scaling>
          <c:orientation val="minMax"/>
          <c:min val="600"/>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980220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Arkusz1!$B$39</c:f>
              <c:strCache>
                <c:ptCount val="1"/>
                <c:pt idx="0">
                  <c:v>Powiat działdowski</c:v>
                </c:pt>
              </c:strCache>
            </c:strRef>
          </c:tx>
          <c:spPr>
            <a:ln w="28575" cap="rnd">
              <a:solidFill>
                <a:schemeClr val="accent1"/>
              </a:solidFill>
              <a:round/>
            </a:ln>
            <a:effectLst/>
          </c:spPr>
          <c:marker>
            <c:symbol val="none"/>
          </c:marker>
          <c:cat>
            <c:strRef>
              <c:f>Arkusz1!$C$38:$L$38</c:f>
              <c:strCache>
                <c:ptCount val="10"/>
                <c:pt idx="0">
                  <c:v>2010</c:v>
                </c:pt>
                <c:pt idx="1">
                  <c:v>2011</c:v>
                </c:pt>
                <c:pt idx="2">
                  <c:v>2012</c:v>
                </c:pt>
                <c:pt idx="3">
                  <c:v>2013</c:v>
                </c:pt>
                <c:pt idx="4">
                  <c:v>2014</c:v>
                </c:pt>
                <c:pt idx="5">
                  <c:v>2015</c:v>
                </c:pt>
                <c:pt idx="6">
                  <c:v>2016</c:v>
                </c:pt>
                <c:pt idx="7">
                  <c:v>2017</c:v>
                </c:pt>
                <c:pt idx="8">
                  <c:v>2018</c:v>
                </c:pt>
                <c:pt idx="9">
                  <c:v>2019</c:v>
                </c:pt>
              </c:strCache>
            </c:strRef>
          </c:cat>
          <c:val>
            <c:numRef>
              <c:f>Arkusz1!$C$39:$L$39</c:f>
              <c:numCache>
                <c:formatCode>#,##0.00</c:formatCode>
                <c:ptCount val="10"/>
                <c:pt idx="0">
                  <c:v>-783053.33999999613</c:v>
                </c:pt>
                <c:pt idx="1">
                  <c:v>-91944.259999997914</c:v>
                </c:pt>
                <c:pt idx="2">
                  <c:v>789393.20000000298</c:v>
                </c:pt>
                <c:pt idx="3">
                  <c:v>1729393.9100000039</c:v>
                </c:pt>
                <c:pt idx="4">
                  <c:v>1538746.9299999997</c:v>
                </c:pt>
                <c:pt idx="5">
                  <c:v>3101041.75</c:v>
                </c:pt>
                <c:pt idx="6">
                  <c:v>3441801.1600000039</c:v>
                </c:pt>
                <c:pt idx="7">
                  <c:v>2708983.2099999934</c:v>
                </c:pt>
                <c:pt idx="8">
                  <c:v>2364081.3099999949</c:v>
                </c:pt>
                <c:pt idx="9">
                  <c:v>2334375.4200000018</c:v>
                </c:pt>
              </c:numCache>
            </c:numRef>
          </c:val>
          <c:smooth val="0"/>
          <c:extLst>
            <c:ext xmlns:c16="http://schemas.microsoft.com/office/drawing/2014/chart" uri="{C3380CC4-5D6E-409C-BE32-E72D297353CC}">
              <c16:uniqueId val="{00000000-F134-486D-8050-3FA4CA6336C9}"/>
            </c:ext>
          </c:extLst>
        </c:ser>
        <c:ser>
          <c:idx val="1"/>
          <c:order val="1"/>
          <c:tx>
            <c:strRef>
              <c:f>Arkusz1!$B$40</c:f>
              <c:strCache>
                <c:ptCount val="1"/>
                <c:pt idx="0">
                  <c:v>Powiat nidzicki</c:v>
                </c:pt>
              </c:strCache>
            </c:strRef>
          </c:tx>
          <c:spPr>
            <a:ln w="28575" cap="rnd">
              <a:solidFill>
                <a:schemeClr val="accent2"/>
              </a:solidFill>
              <a:round/>
            </a:ln>
            <a:effectLst/>
          </c:spPr>
          <c:marker>
            <c:symbol val="none"/>
          </c:marker>
          <c:cat>
            <c:strRef>
              <c:f>Arkusz1!$C$38:$L$38</c:f>
              <c:strCache>
                <c:ptCount val="10"/>
                <c:pt idx="0">
                  <c:v>2010</c:v>
                </c:pt>
                <c:pt idx="1">
                  <c:v>2011</c:v>
                </c:pt>
                <c:pt idx="2">
                  <c:v>2012</c:v>
                </c:pt>
                <c:pt idx="3">
                  <c:v>2013</c:v>
                </c:pt>
                <c:pt idx="4">
                  <c:v>2014</c:v>
                </c:pt>
                <c:pt idx="5">
                  <c:v>2015</c:v>
                </c:pt>
                <c:pt idx="6">
                  <c:v>2016</c:v>
                </c:pt>
                <c:pt idx="7">
                  <c:v>2017</c:v>
                </c:pt>
                <c:pt idx="8">
                  <c:v>2018</c:v>
                </c:pt>
                <c:pt idx="9">
                  <c:v>2019</c:v>
                </c:pt>
              </c:strCache>
            </c:strRef>
          </c:cat>
          <c:val>
            <c:numRef>
              <c:f>Arkusz1!$C$40:$L$40</c:f>
              <c:numCache>
                <c:formatCode>#,##0.00</c:formatCode>
                <c:ptCount val="10"/>
                <c:pt idx="0">
                  <c:v>-5636086.049999997</c:v>
                </c:pt>
                <c:pt idx="1">
                  <c:v>-2115009.0300000012</c:v>
                </c:pt>
                <c:pt idx="2">
                  <c:v>1734390.6400000006</c:v>
                </c:pt>
                <c:pt idx="3">
                  <c:v>755429.58000000566</c:v>
                </c:pt>
                <c:pt idx="4">
                  <c:v>677915.93999999762</c:v>
                </c:pt>
                <c:pt idx="5">
                  <c:v>1222032.5300000012</c:v>
                </c:pt>
                <c:pt idx="6">
                  <c:v>2116779.2699999958</c:v>
                </c:pt>
                <c:pt idx="7">
                  <c:v>-1254711.0399999991</c:v>
                </c:pt>
                <c:pt idx="8">
                  <c:v>131187.03000000119</c:v>
                </c:pt>
                <c:pt idx="9">
                  <c:v>7041745.7099999934</c:v>
                </c:pt>
              </c:numCache>
            </c:numRef>
          </c:val>
          <c:smooth val="0"/>
          <c:extLst>
            <c:ext xmlns:c16="http://schemas.microsoft.com/office/drawing/2014/chart" uri="{C3380CC4-5D6E-409C-BE32-E72D297353CC}">
              <c16:uniqueId val="{00000001-F134-486D-8050-3FA4CA6336C9}"/>
            </c:ext>
          </c:extLst>
        </c:ser>
        <c:ser>
          <c:idx val="2"/>
          <c:order val="2"/>
          <c:tx>
            <c:strRef>
              <c:f>Arkusz1!$B$41</c:f>
              <c:strCache>
                <c:ptCount val="1"/>
                <c:pt idx="0">
                  <c:v>Powiat piski</c:v>
                </c:pt>
              </c:strCache>
            </c:strRef>
          </c:tx>
          <c:spPr>
            <a:ln w="28575" cap="rnd">
              <a:solidFill>
                <a:schemeClr val="accent3"/>
              </a:solidFill>
              <a:round/>
            </a:ln>
            <a:effectLst/>
          </c:spPr>
          <c:marker>
            <c:symbol val="none"/>
          </c:marker>
          <c:cat>
            <c:strRef>
              <c:f>Arkusz1!$C$38:$L$38</c:f>
              <c:strCache>
                <c:ptCount val="10"/>
                <c:pt idx="0">
                  <c:v>2010</c:v>
                </c:pt>
                <c:pt idx="1">
                  <c:v>2011</c:v>
                </c:pt>
                <c:pt idx="2">
                  <c:v>2012</c:v>
                </c:pt>
                <c:pt idx="3">
                  <c:v>2013</c:v>
                </c:pt>
                <c:pt idx="4">
                  <c:v>2014</c:v>
                </c:pt>
                <c:pt idx="5">
                  <c:v>2015</c:v>
                </c:pt>
                <c:pt idx="6">
                  <c:v>2016</c:v>
                </c:pt>
                <c:pt idx="7">
                  <c:v>2017</c:v>
                </c:pt>
                <c:pt idx="8">
                  <c:v>2018</c:v>
                </c:pt>
                <c:pt idx="9">
                  <c:v>2019</c:v>
                </c:pt>
              </c:strCache>
            </c:strRef>
          </c:cat>
          <c:val>
            <c:numRef>
              <c:f>Arkusz1!$C$41:$L$41</c:f>
              <c:numCache>
                <c:formatCode>#,##0.00</c:formatCode>
                <c:ptCount val="10"/>
                <c:pt idx="0">
                  <c:v>265771.87000000477</c:v>
                </c:pt>
                <c:pt idx="1">
                  <c:v>1670631.3299999982</c:v>
                </c:pt>
                <c:pt idx="2">
                  <c:v>2378001.6799999997</c:v>
                </c:pt>
                <c:pt idx="3">
                  <c:v>-3137855.7800000012</c:v>
                </c:pt>
                <c:pt idx="4">
                  <c:v>-1711366.2300000042</c:v>
                </c:pt>
                <c:pt idx="5">
                  <c:v>1375449.4099999964</c:v>
                </c:pt>
                <c:pt idx="6">
                  <c:v>1924402.0300000012</c:v>
                </c:pt>
                <c:pt idx="7">
                  <c:v>-2639943.4699999988</c:v>
                </c:pt>
                <c:pt idx="8">
                  <c:v>-759185.70000000298</c:v>
                </c:pt>
                <c:pt idx="9">
                  <c:v>37685.659999996424</c:v>
                </c:pt>
              </c:numCache>
            </c:numRef>
          </c:val>
          <c:smooth val="0"/>
          <c:extLst>
            <c:ext xmlns:c16="http://schemas.microsoft.com/office/drawing/2014/chart" uri="{C3380CC4-5D6E-409C-BE32-E72D297353CC}">
              <c16:uniqueId val="{00000002-F134-486D-8050-3FA4CA6336C9}"/>
            </c:ext>
          </c:extLst>
        </c:ser>
        <c:ser>
          <c:idx val="3"/>
          <c:order val="3"/>
          <c:tx>
            <c:strRef>
              <c:f>Arkusz1!$B$42</c:f>
              <c:strCache>
                <c:ptCount val="1"/>
                <c:pt idx="0">
                  <c:v>Powiat szczycieński</c:v>
                </c:pt>
              </c:strCache>
            </c:strRef>
          </c:tx>
          <c:spPr>
            <a:ln w="28575" cap="rnd">
              <a:solidFill>
                <a:schemeClr val="accent4"/>
              </a:solidFill>
              <a:round/>
            </a:ln>
            <a:effectLst/>
          </c:spPr>
          <c:marker>
            <c:symbol val="none"/>
          </c:marker>
          <c:cat>
            <c:strRef>
              <c:f>Arkusz1!$C$38:$L$38</c:f>
              <c:strCache>
                <c:ptCount val="10"/>
                <c:pt idx="0">
                  <c:v>2010</c:v>
                </c:pt>
                <c:pt idx="1">
                  <c:v>2011</c:v>
                </c:pt>
                <c:pt idx="2">
                  <c:v>2012</c:v>
                </c:pt>
                <c:pt idx="3">
                  <c:v>2013</c:v>
                </c:pt>
                <c:pt idx="4">
                  <c:v>2014</c:v>
                </c:pt>
                <c:pt idx="5">
                  <c:v>2015</c:v>
                </c:pt>
                <c:pt idx="6">
                  <c:v>2016</c:v>
                </c:pt>
                <c:pt idx="7">
                  <c:v>2017</c:v>
                </c:pt>
                <c:pt idx="8">
                  <c:v>2018</c:v>
                </c:pt>
                <c:pt idx="9">
                  <c:v>2019</c:v>
                </c:pt>
              </c:strCache>
            </c:strRef>
          </c:cat>
          <c:val>
            <c:numRef>
              <c:f>Arkusz1!$C$42:$L$42</c:f>
              <c:numCache>
                <c:formatCode>#,##0.00</c:formatCode>
                <c:ptCount val="10"/>
                <c:pt idx="0">
                  <c:v>-2419052.3600000143</c:v>
                </c:pt>
                <c:pt idx="1">
                  <c:v>2545647.6899999976</c:v>
                </c:pt>
                <c:pt idx="2">
                  <c:v>2568278.3800000101</c:v>
                </c:pt>
                <c:pt idx="3">
                  <c:v>-1416348.4300000072</c:v>
                </c:pt>
                <c:pt idx="4">
                  <c:v>-387782.30000001192</c:v>
                </c:pt>
                <c:pt idx="5">
                  <c:v>1289215.5700000077</c:v>
                </c:pt>
                <c:pt idx="6">
                  <c:v>526523.24000000954</c:v>
                </c:pt>
                <c:pt idx="7">
                  <c:v>-6692651.6299999952</c:v>
                </c:pt>
                <c:pt idx="8">
                  <c:v>-8800642.7900000066</c:v>
                </c:pt>
                <c:pt idx="9">
                  <c:v>-12074016.960000008</c:v>
                </c:pt>
              </c:numCache>
            </c:numRef>
          </c:val>
          <c:smooth val="0"/>
          <c:extLst>
            <c:ext xmlns:c16="http://schemas.microsoft.com/office/drawing/2014/chart" uri="{C3380CC4-5D6E-409C-BE32-E72D297353CC}">
              <c16:uniqueId val="{00000003-F134-486D-8050-3FA4CA6336C9}"/>
            </c:ext>
          </c:extLst>
        </c:ser>
        <c:dLbls>
          <c:showLegendKey val="0"/>
          <c:showVal val="0"/>
          <c:showCatName val="0"/>
          <c:showSerName val="0"/>
          <c:showPercent val="0"/>
          <c:showBubbleSize val="0"/>
        </c:dLbls>
        <c:smooth val="0"/>
        <c:axId val="397738536"/>
        <c:axId val="521282000"/>
      </c:lineChart>
      <c:catAx>
        <c:axId val="3977385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21282000"/>
        <c:crosses val="autoZero"/>
        <c:auto val="1"/>
        <c:lblAlgn val="ctr"/>
        <c:lblOffset val="100"/>
        <c:noMultiLvlLbl val="0"/>
      </c:catAx>
      <c:valAx>
        <c:axId val="52128200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977385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0905798296712359"/>
          <c:y val="7.162928035158396E-2"/>
          <c:w val="0.31859847728515739"/>
          <c:h val="0.84002563633034233"/>
        </c:manualLayout>
      </c:layout>
      <c:pieChart>
        <c:varyColors val="1"/>
        <c:ser>
          <c:idx val="0"/>
          <c:order val="0"/>
          <c:spPr>
            <a:ln>
              <a:noFill/>
            </a:ln>
          </c:spPr>
          <c:dPt>
            <c:idx val="0"/>
            <c:bubble3D val="0"/>
            <c:spPr>
              <a:solidFill>
                <a:schemeClr val="accent1"/>
              </a:solidFill>
              <a:ln w="19050">
                <a:noFill/>
              </a:ln>
              <a:effectLst/>
            </c:spPr>
            <c:extLst>
              <c:ext xmlns:c16="http://schemas.microsoft.com/office/drawing/2014/chart" uri="{C3380CC4-5D6E-409C-BE32-E72D297353CC}">
                <c16:uniqueId val="{00000001-B576-4A68-A82F-BF7F7FB25680}"/>
              </c:ext>
            </c:extLst>
          </c:dPt>
          <c:dPt>
            <c:idx val="1"/>
            <c:bubble3D val="0"/>
            <c:spPr>
              <a:solidFill>
                <a:srgbClr val="C7A2E2"/>
              </a:solidFill>
              <a:ln w="19050">
                <a:noFill/>
              </a:ln>
              <a:effectLst/>
            </c:spPr>
            <c:extLst>
              <c:ext xmlns:c16="http://schemas.microsoft.com/office/drawing/2014/chart" uri="{C3380CC4-5D6E-409C-BE32-E72D297353CC}">
                <c16:uniqueId val="{00000003-B576-4A68-A82F-BF7F7FB25680}"/>
              </c:ext>
            </c:extLst>
          </c:dPt>
          <c:dPt>
            <c:idx val="2"/>
            <c:bubble3D val="0"/>
            <c:spPr>
              <a:solidFill>
                <a:schemeClr val="accent3"/>
              </a:solidFill>
              <a:ln w="19050">
                <a:noFill/>
              </a:ln>
              <a:effectLst/>
            </c:spPr>
            <c:extLst>
              <c:ext xmlns:c16="http://schemas.microsoft.com/office/drawing/2014/chart" uri="{C3380CC4-5D6E-409C-BE32-E72D297353CC}">
                <c16:uniqueId val="{00000005-B576-4A68-A82F-BF7F7FB25680}"/>
              </c:ext>
            </c:extLst>
          </c:dPt>
          <c:dPt>
            <c:idx val="3"/>
            <c:bubble3D val="0"/>
            <c:spPr>
              <a:solidFill>
                <a:srgbClr val="92D050"/>
              </a:solidFill>
              <a:ln w="19050">
                <a:noFill/>
              </a:ln>
              <a:effectLst/>
            </c:spPr>
            <c:extLst>
              <c:ext xmlns:c16="http://schemas.microsoft.com/office/drawing/2014/chart" uri="{C3380CC4-5D6E-409C-BE32-E72D297353CC}">
                <c16:uniqueId val="{00000007-B576-4A68-A82F-BF7F7FB25680}"/>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Metryczka!$D$8:$G$8</c:f>
              <c:strCache>
                <c:ptCount val="4"/>
                <c:pt idx="0">
                  <c:v>Powiat Szczycieński</c:v>
                </c:pt>
                <c:pt idx="1">
                  <c:v>Powiat Nidzicki</c:v>
                </c:pt>
                <c:pt idx="2">
                  <c:v>Powiat Piski</c:v>
                </c:pt>
                <c:pt idx="3">
                  <c:v>Powiat Działdowski</c:v>
                </c:pt>
              </c:strCache>
            </c:strRef>
          </c:cat>
          <c:val>
            <c:numRef>
              <c:f>Metryczka!$D$9:$G$9</c:f>
              <c:numCache>
                <c:formatCode>0.0%</c:formatCode>
                <c:ptCount val="4"/>
                <c:pt idx="0">
                  <c:v>5.5376690276883453E-2</c:v>
                </c:pt>
                <c:pt idx="1">
                  <c:v>0.13071474565357372</c:v>
                </c:pt>
                <c:pt idx="2">
                  <c:v>0.31165486155827432</c:v>
                </c:pt>
                <c:pt idx="3">
                  <c:v>0.50160978750804897</c:v>
                </c:pt>
              </c:numCache>
            </c:numRef>
          </c:val>
          <c:extLst>
            <c:ext xmlns:c16="http://schemas.microsoft.com/office/drawing/2014/chart" uri="{C3380CC4-5D6E-409C-BE32-E72D297353CC}">
              <c16:uniqueId val="{00000008-B576-4A68-A82F-BF7F7FB25680}"/>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2.9919176310237956E-2"/>
          <c:y val="7.0022601341498986E-2"/>
          <c:w val="0.28525536292527931"/>
          <c:h val="0.77719962088072325"/>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strRef>
              <c:f>Metryczka!$Q$3</c:f>
              <c:strCache>
                <c:ptCount val="1"/>
                <c:pt idx="0">
                  <c:v>Razem</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Metryczka!$P$4:$P$5</c:f>
              <c:strCache>
                <c:ptCount val="2"/>
                <c:pt idx="0">
                  <c:v>kobieta</c:v>
                </c:pt>
                <c:pt idx="1">
                  <c:v>mężczyzna</c:v>
                </c:pt>
              </c:strCache>
            </c:strRef>
          </c:cat>
          <c:val>
            <c:numRef>
              <c:f>Metryczka!$Q$4:$Q$5</c:f>
              <c:numCache>
                <c:formatCode>0.0%</c:formatCode>
                <c:ptCount val="2"/>
                <c:pt idx="0">
                  <c:v>0.63811976819059879</c:v>
                </c:pt>
                <c:pt idx="1">
                  <c:v>0.36188023180940115</c:v>
                </c:pt>
              </c:numCache>
            </c:numRef>
          </c:val>
          <c:extLst>
            <c:ext xmlns:c16="http://schemas.microsoft.com/office/drawing/2014/chart" uri="{C3380CC4-5D6E-409C-BE32-E72D297353CC}">
              <c16:uniqueId val="{00000000-6886-4BA1-9F7B-15D2AE8862CD}"/>
            </c:ext>
          </c:extLst>
        </c:ser>
        <c:ser>
          <c:idx val="1"/>
          <c:order val="1"/>
          <c:tx>
            <c:strRef>
              <c:f>Metryczka!$R$3</c:f>
              <c:strCache>
                <c:ptCount val="1"/>
                <c:pt idx="0">
                  <c:v>Powiat Szczycieński</c:v>
                </c:pt>
              </c:strCache>
            </c:strRef>
          </c:tx>
          <c:spPr>
            <a:solidFill>
              <a:srgbClr val="C7A2E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Metryczka!$P$4:$P$5</c:f>
              <c:strCache>
                <c:ptCount val="2"/>
                <c:pt idx="0">
                  <c:v>kobieta</c:v>
                </c:pt>
                <c:pt idx="1">
                  <c:v>mężczyzna</c:v>
                </c:pt>
              </c:strCache>
            </c:strRef>
          </c:cat>
          <c:val>
            <c:numRef>
              <c:f>Metryczka!$R$4:$R$5</c:f>
              <c:numCache>
                <c:formatCode>0.0%</c:formatCode>
                <c:ptCount val="2"/>
                <c:pt idx="0">
                  <c:v>0.59302325581395354</c:v>
                </c:pt>
                <c:pt idx="1">
                  <c:v>0.40697674418604651</c:v>
                </c:pt>
              </c:numCache>
            </c:numRef>
          </c:val>
          <c:extLst>
            <c:ext xmlns:c16="http://schemas.microsoft.com/office/drawing/2014/chart" uri="{C3380CC4-5D6E-409C-BE32-E72D297353CC}">
              <c16:uniqueId val="{00000001-6886-4BA1-9F7B-15D2AE8862CD}"/>
            </c:ext>
          </c:extLst>
        </c:ser>
        <c:ser>
          <c:idx val="2"/>
          <c:order val="2"/>
          <c:tx>
            <c:strRef>
              <c:f>Metryczka!$S$3</c:f>
              <c:strCache>
                <c:ptCount val="1"/>
                <c:pt idx="0">
                  <c:v>Powiat Nidzicki</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Metryczka!$P$4:$P$5</c:f>
              <c:strCache>
                <c:ptCount val="2"/>
                <c:pt idx="0">
                  <c:v>kobieta</c:v>
                </c:pt>
                <c:pt idx="1">
                  <c:v>mężczyzna</c:v>
                </c:pt>
              </c:strCache>
            </c:strRef>
          </c:cat>
          <c:val>
            <c:numRef>
              <c:f>Metryczka!$S$4:$S$5</c:f>
              <c:numCache>
                <c:formatCode>0.0%</c:formatCode>
                <c:ptCount val="2"/>
                <c:pt idx="0">
                  <c:v>0.70935960591133007</c:v>
                </c:pt>
                <c:pt idx="1">
                  <c:v>0.29064039408866993</c:v>
                </c:pt>
              </c:numCache>
            </c:numRef>
          </c:val>
          <c:extLst>
            <c:ext xmlns:c16="http://schemas.microsoft.com/office/drawing/2014/chart" uri="{C3380CC4-5D6E-409C-BE32-E72D297353CC}">
              <c16:uniqueId val="{00000002-6886-4BA1-9F7B-15D2AE8862CD}"/>
            </c:ext>
          </c:extLst>
        </c:ser>
        <c:ser>
          <c:idx val="3"/>
          <c:order val="3"/>
          <c:tx>
            <c:strRef>
              <c:f>Metryczka!$T$3</c:f>
              <c:strCache>
                <c:ptCount val="1"/>
                <c:pt idx="0">
                  <c:v>Powiat Piski</c:v>
                </c:pt>
              </c:strCache>
            </c:strRef>
          </c:tx>
          <c:spPr>
            <a:solidFill>
              <a:srgbClr val="92D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Metryczka!$P$4:$P$5</c:f>
              <c:strCache>
                <c:ptCount val="2"/>
                <c:pt idx="0">
                  <c:v>kobieta</c:v>
                </c:pt>
                <c:pt idx="1">
                  <c:v>mężczyzna</c:v>
                </c:pt>
              </c:strCache>
            </c:strRef>
          </c:cat>
          <c:val>
            <c:numRef>
              <c:f>Metryczka!$T$4:$T$5</c:f>
              <c:numCache>
                <c:formatCode>0.0%</c:formatCode>
                <c:ptCount val="2"/>
                <c:pt idx="0">
                  <c:v>0.56611570247933884</c:v>
                </c:pt>
                <c:pt idx="1">
                  <c:v>0.43388429752066116</c:v>
                </c:pt>
              </c:numCache>
            </c:numRef>
          </c:val>
          <c:extLst>
            <c:ext xmlns:c16="http://schemas.microsoft.com/office/drawing/2014/chart" uri="{C3380CC4-5D6E-409C-BE32-E72D297353CC}">
              <c16:uniqueId val="{00000003-6886-4BA1-9F7B-15D2AE8862CD}"/>
            </c:ext>
          </c:extLst>
        </c:ser>
        <c:ser>
          <c:idx val="4"/>
          <c:order val="4"/>
          <c:tx>
            <c:strRef>
              <c:f>Metryczka!$U$3</c:f>
              <c:strCache>
                <c:ptCount val="1"/>
                <c:pt idx="0">
                  <c:v>Powiat Działdowski</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Metryczka!$P$4:$P$5</c:f>
              <c:strCache>
                <c:ptCount val="2"/>
                <c:pt idx="0">
                  <c:v>kobieta</c:v>
                </c:pt>
                <c:pt idx="1">
                  <c:v>mężczyzna</c:v>
                </c:pt>
              </c:strCache>
            </c:strRef>
          </c:cat>
          <c:val>
            <c:numRef>
              <c:f>Metryczka!$U$4:$U$5</c:f>
              <c:numCache>
                <c:formatCode>0.0%</c:formatCode>
                <c:ptCount val="2"/>
                <c:pt idx="0">
                  <c:v>0.67008985879332472</c:v>
                </c:pt>
                <c:pt idx="1">
                  <c:v>0.32991014120667522</c:v>
                </c:pt>
              </c:numCache>
            </c:numRef>
          </c:val>
          <c:extLst>
            <c:ext xmlns:c16="http://schemas.microsoft.com/office/drawing/2014/chart" uri="{C3380CC4-5D6E-409C-BE32-E72D297353CC}">
              <c16:uniqueId val="{00000004-6886-4BA1-9F7B-15D2AE8862CD}"/>
            </c:ext>
          </c:extLst>
        </c:ser>
        <c:dLbls>
          <c:dLblPos val="ctr"/>
          <c:showLegendKey val="0"/>
          <c:showVal val="1"/>
          <c:showCatName val="0"/>
          <c:showSerName val="0"/>
          <c:showPercent val="0"/>
          <c:showBubbleSize val="0"/>
        </c:dLbls>
        <c:gapWidth val="219"/>
        <c:overlap val="100"/>
        <c:axId val="521278864"/>
        <c:axId val="521287488"/>
      </c:barChart>
      <c:catAx>
        <c:axId val="5212788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21287488"/>
        <c:crosses val="autoZero"/>
        <c:auto val="1"/>
        <c:lblAlgn val="ctr"/>
        <c:lblOffset val="100"/>
        <c:noMultiLvlLbl val="0"/>
      </c:catAx>
      <c:valAx>
        <c:axId val="521287488"/>
        <c:scaling>
          <c:orientation val="minMax"/>
        </c:scaling>
        <c:delete val="1"/>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5212788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1"/>
          <c:tx>
            <c:strRef>
              <c:f>Metryczka!$R$26</c:f>
              <c:strCache>
                <c:ptCount val="1"/>
                <c:pt idx="0">
                  <c:v>Powiat Szczycieński</c:v>
                </c:pt>
              </c:strCache>
            </c:strRef>
          </c:tx>
          <c:spPr>
            <a:solidFill>
              <a:srgbClr val="C7A2E2"/>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Metryczka!$P$27:$P$30</c:f>
              <c:strCache>
                <c:ptCount val="4"/>
                <c:pt idx="0">
                  <c:v>wyższe</c:v>
                </c:pt>
                <c:pt idx="1">
                  <c:v>średnie, średnie branżowe</c:v>
                </c:pt>
                <c:pt idx="2">
                  <c:v>zasadnicze zawodowe, zasadnicze branżowe</c:v>
                </c:pt>
                <c:pt idx="3">
                  <c:v>gimnazjalne, podstawowe</c:v>
                </c:pt>
              </c:strCache>
            </c:strRef>
          </c:cat>
          <c:val>
            <c:numRef>
              <c:f>Metryczka!$R$27:$R$30</c:f>
              <c:numCache>
                <c:formatCode>0.0%</c:formatCode>
                <c:ptCount val="4"/>
                <c:pt idx="0">
                  <c:v>0.68604651162790697</c:v>
                </c:pt>
                <c:pt idx="1">
                  <c:v>0.23255813953488372</c:v>
                </c:pt>
                <c:pt idx="2">
                  <c:v>8.1395348837209308E-2</c:v>
                </c:pt>
                <c:pt idx="3">
                  <c:v>0</c:v>
                </c:pt>
              </c:numCache>
            </c:numRef>
          </c:val>
          <c:extLst>
            <c:ext xmlns:c16="http://schemas.microsoft.com/office/drawing/2014/chart" uri="{C3380CC4-5D6E-409C-BE32-E72D297353CC}">
              <c16:uniqueId val="{00000000-AD1E-41A3-920E-BA831F18F1E2}"/>
            </c:ext>
          </c:extLst>
        </c:ser>
        <c:ser>
          <c:idx val="2"/>
          <c:order val="2"/>
          <c:tx>
            <c:strRef>
              <c:f>Metryczka!$S$26</c:f>
              <c:strCache>
                <c:ptCount val="1"/>
                <c:pt idx="0">
                  <c:v>Powiat Nidzicki</c:v>
                </c:pt>
              </c:strCache>
            </c:strRef>
          </c:tx>
          <c:spPr>
            <a:solidFill>
              <a:schemeClr val="accent3"/>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Metryczka!$P$27:$P$30</c:f>
              <c:strCache>
                <c:ptCount val="4"/>
                <c:pt idx="0">
                  <c:v>wyższe</c:v>
                </c:pt>
                <c:pt idx="1">
                  <c:v>średnie, średnie branżowe</c:v>
                </c:pt>
                <c:pt idx="2">
                  <c:v>zasadnicze zawodowe, zasadnicze branżowe</c:v>
                </c:pt>
                <c:pt idx="3">
                  <c:v>gimnazjalne, podstawowe</c:v>
                </c:pt>
              </c:strCache>
            </c:strRef>
          </c:cat>
          <c:val>
            <c:numRef>
              <c:f>Metryczka!$S$27:$S$30</c:f>
              <c:numCache>
                <c:formatCode>0.0%</c:formatCode>
                <c:ptCount val="4"/>
                <c:pt idx="0">
                  <c:v>0.67487684729064035</c:v>
                </c:pt>
                <c:pt idx="1">
                  <c:v>0.28078817733990147</c:v>
                </c:pt>
                <c:pt idx="2">
                  <c:v>3.9408866995073892E-2</c:v>
                </c:pt>
                <c:pt idx="3">
                  <c:v>4.9261083743842365E-3</c:v>
                </c:pt>
              </c:numCache>
            </c:numRef>
          </c:val>
          <c:extLst>
            <c:ext xmlns:c16="http://schemas.microsoft.com/office/drawing/2014/chart" uri="{C3380CC4-5D6E-409C-BE32-E72D297353CC}">
              <c16:uniqueId val="{00000001-AD1E-41A3-920E-BA831F18F1E2}"/>
            </c:ext>
          </c:extLst>
        </c:ser>
        <c:ser>
          <c:idx val="3"/>
          <c:order val="3"/>
          <c:tx>
            <c:strRef>
              <c:f>Metryczka!$T$26</c:f>
              <c:strCache>
                <c:ptCount val="1"/>
                <c:pt idx="0">
                  <c:v>Powiat Piski</c:v>
                </c:pt>
              </c:strCache>
            </c:strRef>
          </c:tx>
          <c:spPr>
            <a:solidFill>
              <a:srgbClr val="92D050"/>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Metryczka!$P$27:$P$30</c:f>
              <c:strCache>
                <c:ptCount val="4"/>
                <c:pt idx="0">
                  <c:v>wyższe</c:v>
                </c:pt>
                <c:pt idx="1">
                  <c:v>średnie, średnie branżowe</c:v>
                </c:pt>
                <c:pt idx="2">
                  <c:v>zasadnicze zawodowe, zasadnicze branżowe</c:v>
                </c:pt>
                <c:pt idx="3">
                  <c:v>gimnazjalne, podstawowe</c:v>
                </c:pt>
              </c:strCache>
            </c:strRef>
          </c:cat>
          <c:val>
            <c:numRef>
              <c:f>Metryczka!$T$27:$T$30</c:f>
              <c:numCache>
                <c:formatCode>0.0%</c:formatCode>
                <c:ptCount val="4"/>
                <c:pt idx="0">
                  <c:v>0.60537190082644632</c:v>
                </c:pt>
                <c:pt idx="1">
                  <c:v>0.32438016528925617</c:v>
                </c:pt>
                <c:pt idx="2">
                  <c:v>6.1983471074380167E-2</c:v>
                </c:pt>
                <c:pt idx="3">
                  <c:v>8.2644628099173556E-3</c:v>
                </c:pt>
              </c:numCache>
            </c:numRef>
          </c:val>
          <c:extLst>
            <c:ext xmlns:c16="http://schemas.microsoft.com/office/drawing/2014/chart" uri="{C3380CC4-5D6E-409C-BE32-E72D297353CC}">
              <c16:uniqueId val="{00000002-AD1E-41A3-920E-BA831F18F1E2}"/>
            </c:ext>
          </c:extLst>
        </c:ser>
        <c:ser>
          <c:idx val="4"/>
          <c:order val="4"/>
          <c:tx>
            <c:strRef>
              <c:f>Metryczka!$U$26</c:f>
              <c:strCache>
                <c:ptCount val="1"/>
                <c:pt idx="0">
                  <c:v>Powiat Działdowski</c:v>
                </c:pt>
              </c:strCache>
            </c:strRef>
          </c:tx>
          <c:spPr>
            <a:solidFill>
              <a:schemeClr val="accent5"/>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Metryczka!$P$27:$P$30</c:f>
              <c:strCache>
                <c:ptCount val="4"/>
                <c:pt idx="0">
                  <c:v>wyższe</c:v>
                </c:pt>
                <c:pt idx="1">
                  <c:v>średnie, średnie branżowe</c:v>
                </c:pt>
                <c:pt idx="2">
                  <c:v>zasadnicze zawodowe, zasadnicze branżowe</c:v>
                </c:pt>
                <c:pt idx="3">
                  <c:v>gimnazjalne, podstawowe</c:v>
                </c:pt>
              </c:strCache>
            </c:strRef>
          </c:cat>
          <c:val>
            <c:numRef>
              <c:f>Metryczka!$U$27:$U$30</c:f>
              <c:numCache>
                <c:formatCode>0.0%</c:formatCode>
                <c:ptCount val="4"/>
                <c:pt idx="0">
                  <c:v>0.60718870346598208</c:v>
                </c:pt>
                <c:pt idx="1">
                  <c:v>0.31707317073170732</c:v>
                </c:pt>
                <c:pt idx="2">
                  <c:v>5.391527599486521E-2</c:v>
                </c:pt>
                <c:pt idx="3">
                  <c:v>2.1822849807445442E-2</c:v>
                </c:pt>
              </c:numCache>
            </c:numRef>
          </c:val>
          <c:extLst>
            <c:ext xmlns:c16="http://schemas.microsoft.com/office/drawing/2014/chart" uri="{C3380CC4-5D6E-409C-BE32-E72D297353CC}">
              <c16:uniqueId val="{00000003-AD1E-41A3-920E-BA831F18F1E2}"/>
            </c:ext>
          </c:extLst>
        </c:ser>
        <c:dLbls>
          <c:showLegendKey val="0"/>
          <c:showVal val="0"/>
          <c:showCatName val="0"/>
          <c:showSerName val="0"/>
          <c:showPercent val="0"/>
          <c:showBubbleSize val="0"/>
        </c:dLbls>
        <c:gapWidth val="29"/>
        <c:axId val="521280432"/>
        <c:axId val="521280824"/>
      </c:barChart>
      <c:lineChart>
        <c:grouping val="standard"/>
        <c:varyColors val="0"/>
        <c:ser>
          <c:idx val="0"/>
          <c:order val="0"/>
          <c:tx>
            <c:strRef>
              <c:f>Metryczka!$Q$26</c:f>
              <c:strCache>
                <c:ptCount val="1"/>
                <c:pt idx="0">
                  <c:v>Razem</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Metryczka!$P$27:$P$30</c:f>
              <c:strCache>
                <c:ptCount val="4"/>
                <c:pt idx="0">
                  <c:v>wyższe</c:v>
                </c:pt>
                <c:pt idx="1">
                  <c:v>średnie, średnie branżowe</c:v>
                </c:pt>
                <c:pt idx="2">
                  <c:v>zasadnicze zawodowe, zasadnicze branżowe</c:v>
                </c:pt>
                <c:pt idx="3">
                  <c:v>gimnazjalne, podstawowe</c:v>
                </c:pt>
              </c:strCache>
            </c:strRef>
          </c:cat>
          <c:val>
            <c:numRef>
              <c:f>Metryczka!$Q$27:$Q$30</c:f>
              <c:numCache>
                <c:formatCode>0.0%</c:formatCode>
                <c:ptCount val="4"/>
                <c:pt idx="0">
                  <c:v>0.61944623309723112</c:v>
                </c:pt>
                <c:pt idx="1">
                  <c:v>0.30972311654861556</c:v>
                </c:pt>
                <c:pt idx="2">
                  <c:v>5.6664520283322604E-2</c:v>
                </c:pt>
                <c:pt idx="3">
                  <c:v>1.4166130070830651E-2</c:v>
                </c:pt>
              </c:numCache>
            </c:numRef>
          </c:val>
          <c:smooth val="0"/>
          <c:extLst>
            <c:ext xmlns:c16="http://schemas.microsoft.com/office/drawing/2014/chart" uri="{C3380CC4-5D6E-409C-BE32-E72D297353CC}">
              <c16:uniqueId val="{00000004-AD1E-41A3-920E-BA831F18F1E2}"/>
            </c:ext>
          </c:extLst>
        </c:ser>
        <c:dLbls>
          <c:showLegendKey val="0"/>
          <c:showVal val="0"/>
          <c:showCatName val="0"/>
          <c:showSerName val="0"/>
          <c:showPercent val="0"/>
          <c:showBubbleSize val="0"/>
        </c:dLbls>
        <c:marker val="1"/>
        <c:smooth val="0"/>
        <c:axId val="521280432"/>
        <c:axId val="521280824"/>
      </c:lineChart>
      <c:catAx>
        <c:axId val="5212804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21280824"/>
        <c:crosses val="autoZero"/>
        <c:auto val="1"/>
        <c:lblAlgn val="ctr"/>
        <c:lblOffset val="100"/>
        <c:noMultiLvlLbl val="0"/>
      </c:catAx>
      <c:valAx>
        <c:axId val="521280824"/>
        <c:scaling>
          <c:orientation val="minMax"/>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crossAx val="5212804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1"/>
          <c:tx>
            <c:strRef>
              <c:f>Metryczka!$R$12</c:f>
              <c:strCache>
                <c:ptCount val="1"/>
                <c:pt idx="0">
                  <c:v>Powiat Szczycieński</c:v>
                </c:pt>
              </c:strCache>
            </c:strRef>
          </c:tx>
          <c:spPr>
            <a:solidFill>
              <a:srgbClr val="92D050"/>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Metryczka!$P$13:$P$19</c:f>
              <c:strCache>
                <c:ptCount val="7"/>
                <c:pt idx="0">
                  <c:v>65 i więcej</c:v>
                </c:pt>
                <c:pt idx="1">
                  <c:v>18-19</c:v>
                </c:pt>
                <c:pt idx="2">
                  <c:v>20-24</c:v>
                </c:pt>
                <c:pt idx="3">
                  <c:v>55-64</c:v>
                </c:pt>
                <c:pt idx="4">
                  <c:v>45-54</c:v>
                </c:pt>
                <c:pt idx="5">
                  <c:v>25-34</c:v>
                </c:pt>
                <c:pt idx="6">
                  <c:v>35-44</c:v>
                </c:pt>
              </c:strCache>
            </c:strRef>
          </c:cat>
          <c:val>
            <c:numRef>
              <c:f>Metryczka!$R$13:$R$19</c:f>
              <c:numCache>
                <c:formatCode>0.0%</c:formatCode>
                <c:ptCount val="7"/>
                <c:pt idx="0">
                  <c:v>3.4883720930232558E-2</c:v>
                </c:pt>
                <c:pt idx="1">
                  <c:v>3.4883720930232558E-2</c:v>
                </c:pt>
                <c:pt idx="2">
                  <c:v>6.9767441860465115E-2</c:v>
                </c:pt>
                <c:pt idx="3">
                  <c:v>8.1395348837209308E-2</c:v>
                </c:pt>
                <c:pt idx="4">
                  <c:v>0.22093023255813954</c:v>
                </c:pt>
                <c:pt idx="5">
                  <c:v>0.26744186046511625</c:v>
                </c:pt>
                <c:pt idx="6">
                  <c:v>0.29069767441860467</c:v>
                </c:pt>
              </c:numCache>
            </c:numRef>
          </c:val>
          <c:extLst>
            <c:ext xmlns:c16="http://schemas.microsoft.com/office/drawing/2014/chart" uri="{C3380CC4-5D6E-409C-BE32-E72D297353CC}">
              <c16:uniqueId val="{00000000-8178-45C7-94DE-71A8FD3CB7A4}"/>
            </c:ext>
          </c:extLst>
        </c:ser>
        <c:ser>
          <c:idx val="2"/>
          <c:order val="2"/>
          <c:tx>
            <c:strRef>
              <c:f>Metryczka!$S$12</c:f>
              <c:strCache>
                <c:ptCount val="1"/>
                <c:pt idx="0">
                  <c:v>Powiat Nidzicki</c:v>
                </c:pt>
              </c:strCache>
            </c:strRef>
          </c:tx>
          <c:spPr>
            <a:solidFill>
              <a:schemeClr val="accent3"/>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Metryczka!$P$13:$P$19</c:f>
              <c:strCache>
                <c:ptCount val="7"/>
                <c:pt idx="0">
                  <c:v>65 i więcej</c:v>
                </c:pt>
                <c:pt idx="1">
                  <c:v>18-19</c:v>
                </c:pt>
                <c:pt idx="2">
                  <c:v>20-24</c:v>
                </c:pt>
                <c:pt idx="3">
                  <c:v>55-64</c:v>
                </c:pt>
                <c:pt idx="4">
                  <c:v>45-54</c:v>
                </c:pt>
                <c:pt idx="5">
                  <c:v>25-34</c:v>
                </c:pt>
                <c:pt idx="6">
                  <c:v>35-44</c:v>
                </c:pt>
              </c:strCache>
            </c:strRef>
          </c:cat>
          <c:val>
            <c:numRef>
              <c:f>Metryczka!$S$13:$S$19</c:f>
              <c:numCache>
                <c:formatCode>0.0%</c:formatCode>
                <c:ptCount val="7"/>
                <c:pt idx="0">
                  <c:v>0.05</c:v>
                </c:pt>
                <c:pt idx="1">
                  <c:v>5.0000000000000001E-3</c:v>
                </c:pt>
                <c:pt idx="2">
                  <c:v>4.4999999999999998E-2</c:v>
                </c:pt>
                <c:pt idx="3">
                  <c:v>0.155</c:v>
                </c:pt>
                <c:pt idx="4">
                  <c:v>0.18</c:v>
                </c:pt>
                <c:pt idx="5">
                  <c:v>0.215</c:v>
                </c:pt>
                <c:pt idx="6">
                  <c:v>0.35</c:v>
                </c:pt>
              </c:numCache>
            </c:numRef>
          </c:val>
          <c:extLst>
            <c:ext xmlns:c16="http://schemas.microsoft.com/office/drawing/2014/chart" uri="{C3380CC4-5D6E-409C-BE32-E72D297353CC}">
              <c16:uniqueId val="{00000001-8178-45C7-94DE-71A8FD3CB7A4}"/>
            </c:ext>
          </c:extLst>
        </c:ser>
        <c:ser>
          <c:idx val="3"/>
          <c:order val="3"/>
          <c:tx>
            <c:strRef>
              <c:f>Metryczka!$T$12</c:f>
              <c:strCache>
                <c:ptCount val="1"/>
                <c:pt idx="0">
                  <c:v>Powiat Piski</c:v>
                </c:pt>
              </c:strCache>
            </c:strRef>
          </c:tx>
          <c:spPr>
            <a:solidFill>
              <a:srgbClr val="C7A2E2"/>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Metryczka!$P$13:$P$19</c:f>
              <c:strCache>
                <c:ptCount val="7"/>
                <c:pt idx="0">
                  <c:v>65 i więcej</c:v>
                </c:pt>
                <c:pt idx="1">
                  <c:v>18-19</c:v>
                </c:pt>
                <c:pt idx="2">
                  <c:v>20-24</c:v>
                </c:pt>
                <c:pt idx="3">
                  <c:v>55-64</c:v>
                </c:pt>
                <c:pt idx="4">
                  <c:v>45-54</c:v>
                </c:pt>
                <c:pt idx="5">
                  <c:v>25-34</c:v>
                </c:pt>
                <c:pt idx="6">
                  <c:v>35-44</c:v>
                </c:pt>
              </c:strCache>
            </c:strRef>
          </c:cat>
          <c:val>
            <c:numRef>
              <c:f>Metryczka!$T$13:$T$19</c:f>
              <c:numCache>
                <c:formatCode>0.0%</c:formatCode>
                <c:ptCount val="7"/>
                <c:pt idx="0">
                  <c:v>1.4613778705636743E-2</c:v>
                </c:pt>
                <c:pt idx="1">
                  <c:v>3.7578288100208766E-2</c:v>
                </c:pt>
                <c:pt idx="2">
                  <c:v>9.3945720250521919E-2</c:v>
                </c:pt>
                <c:pt idx="3">
                  <c:v>9.3945720250521919E-2</c:v>
                </c:pt>
                <c:pt idx="4">
                  <c:v>0.18162839248434237</c:v>
                </c:pt>
                <c:pt idx="5">
                  <c:v>0.2881002087682672</c:v>
                </c:pt>
                <c:pt idx="6">
                  <c:v>0.29018789144050106</c:v>
                </c:pt>
              </c:numCache>
            </c:numRef>
          </c:val>
          <c:extLst>
            <c:ext xmlns:c16="http://schemas.microsoft.com/office/drawing/2014/chart" uri="{C3380CC4-5D6E-409C-BE32-E72D297353CC}">
              <c16:uniqueId val="{00000002-8178-45C7-94DE-71A8FD3CB7A4}"/>
            </c:ext>
          </c:extLst>
        </c:ser>
        <c:ser>
          <c:idx val="4"/>
          <c:order val="4"/>
          <c:tx>
            <c:strRef>
              <c:f>Metryczka!$U$12</c:f>
              <c:strCache>
                <c:ptCount val="1"/>
                <c:pt idx="0">
                  <c:v>Powiat Działdowski</c:v>
                </c:pt>
              </c:strCache>
            </c:strRef>
          </c:tx>
          <c:spPr>
            <a:solidFill>
              <a:schemeClr val="accent5"/>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Metryczka!$P$13:$P$19</c:f>
              <c:strCache>
                <c:ptCount val="7"/>
                <c:pt idx="0">
                  <c:v>65 i więcej</c:v>
                </c:pt>
                <c:pt idx="1">
                  <c:v>18-19</c:v>
                </c:pt>
                <c:pt idx="2">
                  <c:v>20-24</c:v>
                </c:pt>
                <c:pt idx="3">
                  <c:v>55-64</c:v>
                </c:pt>
                <c:pt idx="4">
                  <c:v>45-54</c:v>
                </c:pt>
                <c:pt idx="5">
                  <c:v>25-34</c:v>
                </c:pt>
                <c:pt idx="6">
                  <c:v>35-44</c:v>
                </c:pt>
              </c:strCache>
            </c:strRef>
          </c:cat>
          <c:val>
            <c:numRef>
              <c:f>Metryczka!$U$13:$U$19</c:f>
              <c:numCache>
                <c:formatCode>0.0%</c:formatCode>
                <c:ptCount val="7"/>
                <c:pt idx="0">
                  <c:v>2.3285899094437259E-2</c:v>
                </c:pt>
                <c:pt idx="1">
                  <c:v>3.7516170763260026E-2</c:v>
                </c:pt>
                <c:pt idx="2">
                  <c:v>9.4437257438551095E-2</c:v>
                </c:pt>
                <c:pt idx="3">
                  <c:v>0.11772315653298836</c:v>
                </c:pt>
                <c:pt idx="4">
                  <c:v>0.16300129366106081</c:v>
                </c:pt>
                <c:pt idx="5">
                  <c:v>0.24579560155239327</c:v>
                </c:pt>
                <c:pt idx="6">
                  <c:v>0.31824062095730921</c:v>
                </c:pt>
              </c:numCache>
            </c:numRef>
          </c:val>
          <c:extLst>
            <c:ext xmlns:c16="http://schemas.microsoft.com/office/drawing/2014/chart" uri="{C3380CC4-5D6E-409C-BE32-E72D297353CC}">
              <c16:uniqueId val="{00000003-8178-45C7-94DE-71A8FD3CB7A4}"/>
            </c:ext>
          </c:extLst>
        </c:ser>
        <c:dLbls>
          <c:showLegendKey val="0"/>
          <c:showVal val="0"/>
          <c:showCatName val="0"/>
          <c:showSerName val="0"/>
          <c:showPercent val="0"/>
          <c:showBubbleSize val="0"/>
        </c:dLbls>
        <c:gapWidth val="38"/>
        <c:axId val="521277688"/>
        <c:axId val="521278080"/>
      </c:barChart>
      <c:lineChart>
        <c:grouping val="standard"/>
        <c:varyColors val="0"/>
        <c:ser>
          <c:idx val="0"/>
          <c:order val="0"/>
          <c:tx>
            <c:strRef>
              <c:f>Metryczka!$Q$12</c:f>
              <c:strCache>
                <c:ptCount val="1"/>
                <c:pt idx="0">
                  <c:v>Razem</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Metryczka!$P$13:$P$19</c:f>
              <c:strCache>
                <c:ptCount val="7"/>
                <c:pt idx="0">
                  <c:v>65 i więcej</c:v>
                </c:pt>
                <c:pt idx="1">
                  <c:v>18-19</c:v>
                </c:pt>
                <c:pt idx="2">
                  <c:v>20-24</c:v>
                </c:pt>
                <c:pt idx="3">
                  <c:v>55-64</c:v>
                </c:pt>
                <c:pt idx="4">
                  <c:v>45-54</c:v>
                </c:pt>
                <c:pt idx="5">
                  <c:v>25-34</c:v>
                </c:pt>
                <c:pt idx="6">
                  <c:v>35-44</c:v>
                </c:pt>
              </c:strCache>
            </c:strRef>
          </c:cat>
          <c:val>
            <c:numRef>
              <c:f>Metryczka!$Q$13:$Q$19</c:f>
              <c:numCache>
                <c:formatCode>0.0%</c:formatCode>
                <c:ptCount val="7"/>
                <c:pt idx="0">
                  <c:v>2.4691358024691357E-2</c:v>
                </c:pt>
                <c:pt idx="1">
                  <c:v>3.3138401559454189E-2</c:v>
                </c:pt>
                <c:pt idx="2">
                  <c:v>8.6419753086419748E-2</c:v>
                </c:pt>
                <c:pt idx="3">
                  <c:v>0.11371020142949967</c:v>
                </c:pt>
                <c:pt idx="4">
                  <c:v>0.17413905133203378</c:v>
                </c:pt>
                <c:pt idx="5">
                  <c:v>0.25601039636127354</c:v>
                </c:pt>
                <c:pt idx="6">
                  <c:v>0.31189083820662766</c:v>
                </c:pt>
              </c:numCache>
            </c:numRef>
          </c:val>
          <c:smooth val="0"/>
          <c:extLst>
            <c:ext xmlns:c16="http://schemas.microsoft.com/office/drawing/2014/chart" uri="{C3380CC4-5D6E-409C-BE32-E72D297353CC}">
              <c16:uniqueId val="{00000004-8178-45C7-94DE-71A8FD3CB7A4}"/>
            </c:ext>
          </c:extLst>
        </c:ser>
        <c:dLbls>
          <c:showLegendKey val="0"/>
          <c:showVal val="0"/>
          <c:showCatName val="0"/>
          <c:showSerName val="0"/>
          <c:showPercent val="0"/>
          <c:showBubbleSize val="0"/>
        </c:dLbls>
        <c:marker val="1"/>
        <c:smooth val="0"/>
        <c:axId val="521277688"/>
        <c:axId val="521278080"/>
      </c:lineChart>
      <c:catAx>
        <c:axId val="5212776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21278080"/>
        <c:crosses val="autoZero"/>
        <c:auto val="1"/>
        <c:lblAlgn val="ctr"/>
        <c:lblOffset val="100"/>
        <c:noMultiLvlLbl val="0"/>
      </c:catAx>
      <c:valAx>
        <c:axId val="521278080"/>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212776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8506511987206415E-2"/>
          <c:y val="3.7396615685558562E-2"/>
          <c:w val="0.8292176128586336"/>
          <c:h val="0.83581911725866276"/>
        </c:manualLayout>
      </c:layout>
      <c:barChart>
        <c:barDir val="col"/>
        <c:grouping val="clustered"/>
        <c:varyColors val="0"/>
        <c:ser>
          <c:idx val="0"/>
          <c:order val="0"/>
          <c:tx>
            <c:strRef>
              <c:f>'Pyt. 1,2,3'!$P$23</c:f>
              <c:strCache>
                <c:ptCount val="1"/>
                <c:pt idx="0">
                  <c:v>Szczycieński</c:v>
                </c:pt>
              </c:strCache>
            </c:strRef>
          </c:tx>
          <c:spPr>
            <a:solidFill>
              <a:schemeClr val="accent1"/>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'Pyt. 1,2,3'!$Q$22:$U$22</c:f>
              <c:strCache>
                <c:ptCount val="5"/>
                <c:pt idx="0">
                  <c:v>raczej tak</c:v>
                </c:pt>
                <c:pt idx="1">
                  <c:v>zdecydowanie tak</c:v>
                </c:pt>
                <c:pt idx="2">
                  <c:v>trudno powiedzieć</c:v>
                </c:pt>
                <c:pt idx="3">
                  <c:v>raczej nie</c:v>
                </c:pt>
                <c:pt idx="4">
                  <c:v>zdecydowanie nie</c:v>
                </c:pt>
              </c:strCache>
            </c:strRef>
          </c:cat>
          <c:val>
            <c:numRef>
              <c:f>'Pyt. 1,2,3'!$Q$23:$U$23</c:f>
              <c:numCache>
                <c:formatCode>0.0%</c:formatCode>
                <c:ptCount val="5"/>
                <c:pt idx="0">
                  <c:v>0.5</c:v>
                </c:pt>
                <c:pt idx="1">
                  <c:v>0.2441860465116279</c:v>
                </c:pt>
                <c:pt idx="2">
                  <c:v>9.3023255813953487E-2</c:v>
                </c:pt>
                <c:pt idx="3">
                  <c:v>8.1395348837209308E-2</c:v>
                </c:pt>
                <c:pt idx="4">
                  <c:v>8.1395348837209308E-2</c:v>
                </c:pt>
              </c:numCache>
            </c:numRef>
          </c:val>
          <c:extLst>
            <c:ext xmlns:c16="http://schemas.microsoft.com/office/drawing/2014/chart" uri="{C3380CC4-5D6E-409C-BE32-E72D297353CC}">
              <c16:uniqueId val="{00000000-5B0A-49C9-B666-712643830AAF}"/>
            </c:ext>
          </c:extLst>
        </c:ser>
        <c:ser>
          <c:idx val="1"/>
          <c:order val="1"/>
          <c:tx>
            <c:strRef>
              <c:f>'Pyt. 1,2,3'!$P$24</c:f>
              <c:strCache>
                <c:ptCount val="1"/>
                <c:pt idx="0">
                  <c:v>Nidzicki</c:v>
                </c:pt>
              </c:strCache>
            </c:strRef>
          </c:tx>
          <c:spPr>
            <a:solidFill>
              <a:srgbClr val="C7A2E2"/>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'Pyt. 1,2,3'!$Q$22:$U$22</c:f>
              <c:strCache>
                <c:ptCount val="5"/>
                <c:pt idx="0">
                  <c:v>raczej tak</c:v>
                </c:pt>
                <c:pt idx="1">
                  <c:v>zdecydowanie tak</c:v>
                </c:pt>
                <c:pt idx="2">
                  <c:v>trudno powiedzieć</c:v>
                </c:pt>
                <c:pt idx="3">
                  <c:v>raczej nie</c:v>
                </c:pt>
                <c:pt idx="4">
                  <c:v>zdecydowanie nie</c:v>
                </c:pt>
              </c:strCache>
            </c:strRef>
          </c:cat>
          <c:val>
            <c:numRef>
              <c:f>'Pyt. 1,2,3'!$Q$24:$U$24</c:f>
              <c:numCache>
                <c:formatCode>0.0%</c:formatCode>
                <c:ptCount val="5"/>
                <c:pt idx="0">
                  <c:v>0.54679802955665024</c:v>
                </c:pt>
                <c:pt idx="1">
                  <c:v>0.17733990147783252</c:v>
                </c:pt>
                <c:pt idx="2">
                  <c:v>0.10344827586206896</c:v>
                </c:pt>
                <c:pt idx="3">
                  <c:v>0.12315270935960591</c:v>
                </c:pt>
                <c:pt idx="4">
                  <c:v>4.9261083743842367E-2</c:v>
                </c:pt>
              </c:numCache>
            </c:numRef>
          </c:val>
          <c:extLst>
            <c:ext xmlns:c16="http://schemas.microsoft.com/office/drawing/2014/chart" uri="{C3380CC4-5D6E-409C-BE32-E72D297353CC}">
              <c16:uniqueId val="{00000001-5B0A-49C9-B666-712643830AAF}"/>
            </c:ext>
          </c:extLst>
        </c:ser>
        <c:ser>
          <c:idx val="2"/>
          <c:order val="2"/>
          <c:tx>
            <c:strRef>
              <c:f>'Pyt. 1,2,3'!$P$25</c:f>
              <c:strCache>
                <c:ptCount val="1"/>
                <c:pt idx="0">
                  <c:v>Piski</c:v>
                </c:pt>
              </c:strCache>
            </c:strRef>
          </c:tx>
          <c:spPr>
            <a:solidFill>
              <a:schemeClr val="accent3"/>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'Pyt. 1,2,3'!$Q$22:$U$22</c:f>
              <c:strCache>
                <c:ptCount val="5"/>
                <c:pt idx="0">
                  <c:v>raczej tak</c:v>
                </c:pt>
                <c:pt idx="1">
                  <c:v>zdecydowanie tak</c:v>
                </c:pt>
                <c:pt idx="2">
                  <c:v>trudno powiedzieć</c:v>
                </c:pt>
                <c:pt idx="3">
                  <c:v>raczej nie</c:v>
                </c:pt>
                <c:pt idx="4">
                  <c:v>zdecydowanie nie</c:v>
                </c:pt>
              </c:strCache>
            </c:strRef>
          </c:cat>
          <c:val>
            <c:numRef>
              <c:f>'Pyt. 1,2,3'!$Q$25:$U$25</c:f>
              <c:numCache>
                <c:formatCode>0.0%</c:formatCode>
                <c:ptCount val="5"/>
                <c:pt idx="0">
                  <c:v>0.44421487603305787</c:v>
                </c:pt>
                <c:pt idx="1">
                  <c:v>0.18181818181818182</c:v>
                </c:pt>
                <c:pt idx="2">
                  <c:v>0.11363636363636363</c:v>
                </c:pt>
                <c:pt idx="3">
                  <c:v>0.18388429752066116</c:v>
                </c:pt>
                <c:pt idx="4">
                  <c:v>7.6446280991735532E-2</c:v>
                </c:pt>
              </c:numCache>
            </c:numRef>
          </c:val>
          <c:extLst>
            <c:ext xmlns:c16="http://schemas.microsoft.com/office/drawing/2014/chart" uri="{C3380CC4-5D6E-409C-BE32-E72D297353CC}">
              <c16:uniqueId val="{00000002-5B0A-49C9-B666-712643830AAF}"/>
            </c:ext>
          </c:extLst>
        </c:ser>
        <c:ser>
          <c:idx val="3"/>
          <c:order val="3"/>
          <c:tx>
            <c:strRef>
              <c:f>'Pyt. 1,2,3'!$P$26</c:f>
              <c:strCache>
                <c:ptCount val="1"/>
                <c:pt idx="0">
                  <c:v>Działdowski</c:v>
                </c:pt>
              </c:strCache>
            </c:strRef>
          </c:tx>
          <c:spPr>
            <a:solidFill>
              <a:srgbClr val="92D050"/>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'Pyt. 1,2,3'!$Q$22:$U$22</c:f>
              <c:strCache>
                <c:ptCount val="5"/>
                <c:pt idx="0">
                  <c:v>raczej tak</c:v>
                </c:pt>
                <c:pt idx="1">
                  <c:v>zdecydowanie tak</c:v>
                </c:pt>
                <c:pt idx="2">
                  <c:v>trudno powiedzieć</c:v>
                </c:pt>
                <c:pt idx="3">
                  <c:v>raczej nie</c:v>
                </c:pt>
                <c:pt idx="4">
                  <c:v>zdecydowanie nie</c:v>
                </c:pt>
              </c:strCache>
            </c:strRef>
          </c:cat>
          <c:val>
            <c:numRef>
              <c:f>'Pyt. 1,2,3'!$Q$26:$U$26</c:f>
              <c:numCache>
                <c:formatCode>0.0%</c:formatCode>
                <c:ptCount val="5"/>
                <c:pt idx="0">
                  <c:v>0.53915275994865208</c:v>
                </c:pt>
                <c:pt idx="1">
                  <c:v>0.18870346598202825</c:v>
                </c:pt>
                <c:pt idx="2">
                  <c:v>0.10141206675224647</c:v>
                </c:pt>
                <c:pt idx="3">
                  <c:v>0.12323491655969192</c:v>
                </c:pt>
                <c:pt idx="4">
                  <c:v>4.7496790757381259E-2</c:v>
                </c:pt>
              </c:numCache>
            </c:numRef>
          </c:val>
          <c:extLst>
            <c:ext xmlns:c16="http://schemas.microsoft.com/office/drawing/2014/chart" uri="{C3380CC4-5D6E-409C-BE32-E72D297353CC}">
              <c16:uniqueId val="{00000003-5B0A-49C9-B666-712643830AAF}"/>
            </c:ext>
          </c:extLst>
        </c:ser>
        <c:dLbls>
          <c:showLegendKey val="0"/>
          <c:showVal val="1"/>
          <c:showCatName val="0"/>
          <c:showSerName val="0"/>
          <c:showPercent val="0"/>
          <c:showBubbleSize val="0"/>
        </c:dLbls>
        <c:gapWidth val="219"/>
        <c:axId val="521279256"/>
        <c:axId val="521285528"/>
      </c:barChart>
      <c:lineChart>
        <c:grouping val="standard"/>
        <c:varyColors val="0"/>
        <c:ser>
          <c:idx val="4"/>
          <c:order val="4"/>
          <c:tx>
            <c:strRef>
              <c:f>'Pyt. 1,2,3'!$P$27</c:f>
              <c:strCache>
                <c:ptCount val="1"/>
                <c:pt idx="0">
                  <c:v>Razem</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dLbls>
            <c:dLbl>
              <c:idx val="4"/>
              <c:layout>
                <c:manualLayout>
                  <c:x val="8.8202866593164279E-3"/>
                  <c:y val="-5.781226228510573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77F-4897-A421-BBB119E94B8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'Pyt. 1,2,3'!$Q$22:$U$22</c:f>
              <c:strCache>
                <c:ptCount val="5"/>
                <c:pt idx="0">
                  <c:v>raczej tak</c:v>
                </c:pt>
                <c:pt idx="1">
                  <c:v>zdecydowanie tak</c:v>
                </c:pt>
                <c:pt idx="2">
                  <c:v>trudno powiedzieć</c:v>
                </c:pt>
                <c:pt idx="3">
                  <c:v>raczej nie</c:v>
                </c:pt>
                <c:pt idx="4">
                  <c:v>zdecydowanie nie</c:v>
                </c:pt>
              </c:strCache>
            </c:strRef>
          </c:cat>
          <c:val>
            <c:numRef>
              <c:f>'Pyt. 1,2,3'!$Q$27:$U$27</c:f>
              <c:numCache>
                <c:formatCode>0.0%</c:formatCode>
                <c:ptCount val="5"/>
                <c:pt idx="0">
                  <c:v>0.50804893754024472</c:v>
                </c:pt>
                <c:pt idx="1">
                  <c:v>0.18802318094011591</c:v>
                </c:pt>
                <c:pt idx="2">
                  <c:v>0.1056020605280103</c:v>
                </c:pt>
                <c:pt idx="3">
                  <c:v>0.13972955569864778</c:v>
                </c:pt>
                <c:pt idx="4">
                  <c:v>5.8596265292981328E-2</c:v>
                </c:pt>
              </c:numCache>
            </c:numRef>
          </c:val>
          <c:smooth val="0"/>
          <c:extLst>
            <c:ext xmlns:c16="http://schemas.microsoft.com/office/drawing/2014/chart" uri="{C3380CC4-5D6E-409C-BE32-E72D297353CC}">
              <c16:uniqueId val="{00000004-5B0A-49C9-B666-712643830AAF}"/>
            </c:ext>
          </c:extLst>
        </c:ser>
        <c:dLbls>
          <c:showLegendKey val="0"/>
          <c:showVal val="1"/>
          <c:showCatName val="0"/>
          <c:showSerName val="0"/>
          <c:showPercent val="0"/>
          <c:showBubbleSize val="0"/>
        </c:dLbls>
        <c:marker val="1"/>
        <c:smooth val="0"/>
        <c:axId val="521282392"/>
        <c:axId val="521281608"/>
      </c:lineChart>
      <c:catAx>
        <c:axId val="5212792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21285528"/>
        <c:crosses val="autoZero"/>
        <c:auto val="1"/>
        <c:lblAlgn val="ctr"/>
        <c:lblOffset val="100"/>
        <c:noMultiLvlLbl val="0"/>
      </c:catAx>
      <c:valAx>
        <c:axId val="52128552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21279256"/>
        <c:crosses val="autoZero"/>
        <c:crossBetween val="between"/>
      </c:valAx>
      <c:valAx>
        <c:axId val="521281608"/>
        <c:scaling>
          <c:orientation val="minMax"/>
        </c:scaling>
        <c:delete val="0"/>
        <c:axPos val="r"/>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21282392"/>
        <c:crosses val="max"/>
        <c:crossBetween val="between"/>
      </c:valAx>
      <c:catAx>
        <c:axId val="521282392"/>
        <c:scaling>
          <c:orientation val="minMax"/>
        </c:scaling>
        <c:delete val="1"/>
        <c:axPos val="b"/>
        <c:numFmt formatCode="General" sourceLinked="1"/>
        <c:majorTickMark val="out"/>
        <c:minorTickMark val="none"/>
        <c:tickLblPos val="nextTo"/>
        <c:crossAx val="521281608"/>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Arkusz1!$A$2</c:f>
              <c:strCache>
                <c:ptCount val="1"/>
                <c:pt idx="0">
                  <c:v>Południowe Mazury</c:v>
                </c:pt>
              </c:strCache>
            </c:strRef>
          </c:tx>
          <c:spPr>
            <a:solidFill>
              <a:srgbClr val="00B0F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Arkusz1!$B$1:$I$1</c:f>
              <c:numCache>
                <c:formatCode>General</c:formatCode>
                <c:ptCount val="8"/>
                <c:pt idx="0">
                  <c:v>2012</c:v>
                </c:pt>
                <c:pt idx="1">
                  <c:v>2013</c:v>
                </c:pt>
                <c:pt idx="2">
                  <c:v>2014</c:v>
                </c:pt>
                <c:pt idx="3">
                  <c:v>2015</c:v>
                </c:pt>
                <c:pt idx="4">
                  <c:v>2016</c:v>
                </c:pt>
                <c:pt idx="5">
                  <c:v>2017</c:v>
                </c:pt>
                <c:pt idx="6">
                  <c:v>2018</c:v>
                </c:pt>
                <c:pt idx="7">
                  <c:v>2019</c:v>
                </c:pt>
              </c:numCache>
            </c:numRef>
          </c:cat>
          <c:val>
            <c:numRef>
              <c:f>Arkusz1!$B$2:$I$2</c:f>
              <c:numCache>
                <c:formatCode>General</c:formatCode>
                <c:ptCount val="8"/>
                <c:pt idx="0">
                  <c:v>170</c:v>
                </c:pt>
                <c:pt idx="1">
                  <c:v>217</c:v>
                </c:pt>
                <c:pt idx="2">
                  <c:v>197</c:v>
                </c:pt>
                <c:pt idx="3">
                  <c:v>202</c:v>
                </c:pt>
                <c:pt idx="4">
                  <c:v>166</c:v>
                </c:pt>
                <c:pt idx="5">
                  <c:v>129</c:v>
                </c:pt>
                <c:pt idx="6">
                  <c:v>117</c:v>
                </c:pt>
                <c:pt idx="7">
                  <c:v>103</c:v>
                </c:pt>
              </c:numCache>
            </c:numRef>
          </c:val>
          <c:extLst>
            <c:ext xmlns:c16="http://schemas.microsoft.com/office/drawing/2014/chart" uri="{C3380CC4-5D6E-409C-BE32-E72D297353CC}">
              <c16:uniqueId val="{00000000-FE8C-4954-BA9C-FFF13E0D96D5}"/>
            </c:ext>
          </c:extLst>
        </c:ser>
        <c:dLbls>
          <c:showLegendKey val="0"/>
          <c:showVal val="1"/>
          <c:showCatName val="0"/>
          <c:showSerName val="0"/>
          <c:showPercent val="0"/>
          <c:showBubbleSize val="0"/>
        </c:dLbls>
        <c:gapWidth val="75"/>
        <c:axId val="510702400"/>
        <c:axId val="510700048"/>
      </c:barChart>
      <c:catAx>
        <c:axId val="5107024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10700048"/>
        <c:crosses val="autoZero"/>
        <c:auto val="1"/>
        <c:lblAlgn val="ctr"/>
        <c:lblOffset val="100"/>
        <c:noMultiLvlLbl val="0"/>
      </c:catAx>
      <c:valAx>
        <c:axId val="510700048"/>
        <c:scaling>
          <c:orientation val="minMax"/>
        </c:scaling>
        <c:delete val="1"/>
        <c:axPos val="l"/>
        <c:numFmt formatCode="General" sourceLinked="1"/>
        <c:majorTickMark val="none"/>
        <c:minorTickMark val="none"/>
        <c:tickLblPos val="nextTo"/>
        <c:crossAx val="5107024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'Pyt. 1,2,3'!$P$50</c:f>
              <c:strCache>
                <c:ptCount val="1"/>
                <c:pt idx="0">
                  <c:v>Szczycieński</c:v>
                </c:pt>
              </c:strCache>
            </c:strRef>
          </c:tx>
          <c:spPr>
            <a:solidFill>
              <a:schemeClr val="accent1"/>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'Pyt. 1,2,3'!$Q$49:$U$49</c:f>
              <c:strCache>
                <c:ptCount val="5"/>
                <c:pt idx="0">
                  <c:v>raczej tak</c:v>
                </c:pt>
                <c:pt idx="1">
                  <c:v>zdecydowanie tak</c:v>
                </c:pt>
                <c:pt idx="2">
                  <c:v>trudno powiedzieć</c:v>
                </c:pt>
                <c:pt idx="3">
                  <c:v>raczej nie</c:v>
                </c:pt>
                <c:pt idx="4">
                  <c:v>zdecydowanie nie</c:v>
                </c:pt>
              </c:strCache>
            </c:strRef>
          </c:cat>
          <c:val>
            <c:numRef>
              <c:f>'Pyt. 1,2,3'!$Q$50:$U$50</c:f>
              <c:numCache>
                <c:formatCode>0.0%</c:formatCode>
                <c:ptCount val="5"/>
                <c:pt idx="0">
                  <c:v>0.38372093023255816</c:v>
                </c:pt>
                <c:pt idx="1">
                  <c:v>0.26744186046511625</c:v>
                </c:pt>
                <c:pt idx="2">
                  <c:v>0.12790697674418605</c:v>
                </c:pt>
                <c:pt idx="3">
                  <c:v>0.12790697674418605</c:v>
                </c:pt>
                <c:pt idx="4">
                  <c:v>9.3023255813953487E-2</c:v>
                </c:pt>
              </c:numCache>
            </c:numRef>
          </c:val>
          <c:extLst>
            <c:ext xmlns:c16="http://schemas.microsoft.com/office/drawing/2014/chart" uri="{C3380CC4-5D6E-409C-BE32-E72D297353CC}">
              <c16:uniqueId val="{00000000-8AF5-4842-9CAC-CD4BCCFE6119}"/>
            </c:ext>
          </c:extLst>
        </c:ser>
        <c:ser>
          <c:idx val="1"/>
          <c:order val="1"/>
          <c:tx>
            <c:strRef>
              <c:f>'Pyt. 1,2,3'!$P$51</c:f>
              <c:strCache>
                <c:ptCount val="1"/>
                <c:pt idx="0">
                  <c:v>Nidzicki</c:v>
                </c:pt>
              </c:strCache>
            </c:strRef>
          </c:tx>
          <c:spPr>
            <a:solidFill>
              <a:srgbClr val="C7A2E2"/>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'Pyt. 1,2,3'!$Q$49:$U$49</c:f>
              <c:strCache>
                <c:ptCount val="5"/>
                <c:pt idx="0">
                  <c:v>raczej tak</c:v>
                </c:pt>
                <c:pt idx="1">
                  <c:v>zdecydowanie tak</c:v>
                </c:pt>
                <c:pt idx="2">
                  <c:v>trudno powiedzieć</c:v>
                </c:pt>
                <c:pt idx="3">
                  <c:v>raczej nie</c:v>
                </c:pt>
                <c:pt idx="4">
                  <c:v>zdecydowanie nie</c:v>
                </c:pt>
              </c:strCache>
            </c:strRef>
          </c:cat>
          <c:val>
            <c:numRef>
              <c:f>'Pyt. 1,2,3'!$Q$51:$U$51</c:f>
              <c:numCache>
                <c:formatCode>0.0%</c:formatCode>
                <c:ptCount val="5"/>
                <c:pt idx="0">
                  <c:v>0.53694581280788178</c:v>
                </c:pt>
                <c:pt idx="1">
                  <c:v>0.17733990147783252</c:v>
                </c:pt>
                <c:pt idx="2">
                  <c:v>8.3743842364532015E-2</c:v>
                </c:pt>
                <c:pt idx="3">
                  <c:v>0.15270935960591134</c:v>
                </c:pt>
                <c:pt idx="4">
                  <c:v>4.9261083743842367E-2</c:v>
                </c:pt>
              </c:numCache>
            </c:numRef>
          </c:val>
          <c:extLst>
            <c:ext xmlns:c16="http://schemas.microsoft.com/office/drawing/2014/chart" uri="{C3380CC4-5D6E-409C-BE32-E72D297353CC}">
              <c16:uniqueId val="{00000001-8AF5-4842-9CAC-CD4BCCFE6119}"/>
            </c:ext>
          </c:extLst>
        </c:ser>
        <c:ser>
          <c:idx val="2"/>
          <c:order val="2"/>
          <c:tx>
            <c:strRef>
              <c:f>'Pyt. 1,2,3'!$P$52</c:f>
              <c:strCache>
                <c:ptCount val="1"/>
                <c:pt idx="0">
                  <c:v>Piski</c:v>
                </c:pt>
              </c:strCache>
            </c:strRef>
          </c:tx>
          <c:spPr>
            <a:solidFill>
              <a:schemeClr val="accent3"/>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'Pyt. 1,2,3'!$Q$49:$U$49</c:f>
              <c:strCache>
                <c:ptCount val="5"/>
                <c:pt idx="0">
                  <c:v>raczej tak</c:v>
                </c:pt>
                <c:pt idx="1">
                  <c:v>zdecydowanie tak</c:v>
                </c:pt>
                <c:pt idx="2">
                  <c:v>trudno powiedzieć</c:v>
                </c:pt>
                <c:pt idx="3">
                  <c:v>raczej nie</c:v>
                </c:pt>
                <c:pt idx="4">
                  <c:v>zdecydowanie nie</c:v>
                </c:pt>
              </c:strCache>
            </c:strRef>
          </c:cat>
          <c:val>
            <c:numRef>
              <c:f>'Pyt. 1,2,3'!$Q$52:$U$52</c:f>
              <c:numCache>
                <c:formatCode>0.0%</c:formatCode>
                <c:ptCount val="5"/>
                <c:pt idx="0">
                  <c:v>0.4462809917355372</c:v>
                </c:pt>
                <c:pt idx="1">
                  <c:v>0.15289256198347106</c:v>
                </c:pt>
                <c:pt idx="2">
                  <c:v>9.7107438016528921E-2</c:v>
                </c:pt>
                <c:pt idx="3">
                  <c:v>0.20867768595041322</c:v>
                </c:pt>
                <c:pt idx="4">
                  <c:v>9.5041322314049589E-2</c:v>
                </c:pt>
              </c:numCache>
            </c:numRef>
          </c:val>
          <c:extLst>
            <c:ext xmlns:c16="http://schemas.microsoft.com/office/drawing/2014/chart" uri="{C3380CC4-5D6E-409C-BE32-E72D297353CC}">
              <c16:uniqueId val="{00000002-8AF5-4842-9CAC-CD4BCCFE6119}"/>
            </c:ext>
          </c:extLst>
        </c:ser>
        <c:ser>
          <c:idx val="3"/>
          <c:order val="3"/>
          <c:tx>
            <c:strRef>
              <c:f>'Pyt. 1,2,3'!$P$53</c:f>
              <c:strCache>
                <c:ptCount val="1"/>
                <c:pt idx="0">
                  <c:v>Działdowski</c:v>
                </c:pt>
              </c:strCache>
            </c:strRef>
          </c:tx>
          <c:spPr>
            <a:solidFill>
              <a:srgbClr val="92D050"/>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'Pyt. 1,2,3'!$Q$49:$U$49</c:f>
              <c:strCache>
                <c:ptCount val="5"/>
                <c:pt idx="0">
                  <c:v>raczej tak</c:v>
                </c:pt>
                <c:pt idx="1">
                  <c:v>zdecydowanie tak</c:v>
                </c:pt>
                <c:pt idx="2">
                  <c:v>trudno powiedzieć</c:v>
                </c:pt>
                <c:pt idx="3">
                  <c:v>raczej nie</c:v>
                </c:pt>
                <c:pt idx="4">
                  <c:v>zdecydowanie nie</c:v>
                </c:pt>
              </c:strCache>
            </c:strRef>
          </c:cat>
          <c:val>
            <c:numRef>
              <c:f>'Pyt. 1,2,3'!$Q$53:$U$53</c:f>
              <c:numCache>
                <c:formatCode>0.0%</c:formatCode>
                <c:ptCount val="5"/>
                <c:pt idx="0">
                  <c:v>0.49165596919127086</c:v>
                </c:pt>
                <c:pt idx="1">
                  <c:v>0.19897304236200256</c:v>
                </c:pt>
                <c:pt idx="2">
                  <c:v>9.2426187419768935E-2</c:v>
                </c:pt>
                <c:pt idx="3">
                  <c:v>0.15789473684210525</c:v>
                </c:pt>
                <c:pt idx="4">
                  <c:v>5.9050064184852376E-2</c:v>
                </c:pt>
              </c:numCache>
            </c:numRef>
          </c:val>
          <c:extLst>
            <c:ext xmlns:c16="http://schemas.microsoft.com/office/drawing/2014/chart" uri="{C3380CC4-5D6E-409C-BE32-E72D297353CC}">
              <c16:uniqueId val="{00000003-8AF5-4842-9CAC-CD4BCCFE6119}"/>
            </c:ext>
          </c:extLst>
        </c:ser>
        <c:dLbls>
          <c:showLegendKey val="0"/>
          <c:showVal val="0"/>
          <c:showCatName val="0"/>
          <c:showSerName val="0"/>
          <c:showPercent val="0"/>
          <c:showBubbleSize val="0"/>
        </c:dLbls>
        <c:gapWidth val="219"/>
        <c:axId val="521283176"/>
        <c:axId val="521283568"/>
      </c:barChart>
      <c:lineChart>
        <c:grouping val="standard"/>
        <c:varyColors val="0"/>
        <c:ser>
          <c:idx val="4"/>
          <c:order val="4"/>
          <c:tx>
            <c:strRef>
              <c:f>'Pyt. 1,2,3'!$P$54</c:f>
              <c:strCache>
                <c:ptCount val="1"/>
                <c:pt idx="0">
                  <c:v>Razem</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'Pyt. 1,2,3'!$Q$22:$U$22</c:f>
              <c:strCache>
                <c:ptCount val="5"/>
                <c:pt idx="0">
                  <c:v>raczej tak</c:v>
                </c:pt>
                <c:pt idx="1">
                  <c:v>zdecydowanie tak</c:v>
                </c:pt>
                <c:pt idx="2">
                  <c:v>trudno powiedzieć</c:v>
                </c:pt>
                <c:pt idx="3">
                  <c:v>raczej nie</c:v>
                </c:pt>
                <c:pt idx="4">
                  <c:v>zdecydowanie nie</c:v>
                </c:pt>
              </c:strCache>
            </c:strRef>
          </c:cat>
          <c:val>
            <c:numRef>
              <c:f>'Pyt. 1,2,3'!$Q$54:$U$54</c:f>
              <c:numCache>
                <c:formatCode>0.0%</c:formatCode>
                <c:ptCount val="5"/>
                <c:pt idx="0">
                  <c:v>0.47714101738570508</c:v>
                </c:pt>
                <c:pt idx="1">
                  <c:v>0.1854475209272376</c:v>
                </c:pt>
                <c:pt idx="2">
                  <c:v>9.5299420476497101E-2</c:v>
                </c:pt>
                <c:pt idx="3">
                  <c:v>0.17128139085640695</c:v>
                </c:pt>
                <c:pt idx="4">
                  <c:v>7.0830650354153257E-2</c:v>
                </c:pt>
              </c:numCache>
            </c:numRef>
          </c:val>
          <c:smooth val="0"/>
          <c:extLst>
            <c:ext xmlns:c16="http://schemas.microsoft.com/office/drawing/2014/chart" uri="{C3380CC4-5D6E-409C-BE32-E72D297353CC}">
              <c16:uniqueId val="{00000004-8AF5-4842-9CAC-CD4BCCFE6119}"/>
            </c:ext>
          </c:extLst>
        </c:ser>
        <c:dLbls>
          <c:showLegendKey val="0"/>
          <c:showVal val="0"/>
          <c:showCatName val="0"/>
          <c:showSerName val="0"/>
          <c:showPercent val="0"/>
          <c:showBubbleSize val="0"/>
        </c:dLbls>
        <c:marker val="1"/>
        <c:smooth val="0"/>
        <c:axId val="521288272"/>
        <c:axId val="521285920"/>
      </c:lineChart>
      <c:catAx>
        <c:axId val="5212831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21283568"/>
        <c:crosses val="autoZero"/>
        <c:auto val="1"/>
        <c:lblAlgn val="ctr"/>
        <c:lblOffset val="100"/>
        <c:noMultiLvlLbl val="0"/>
      </c:catAx>
      <c:valAx>
        <c:axId val="52128356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21283176"/>
        <c:crosses val="autoZero"/>
        <c:crossBetween val="between"/>
      </c:valAx>
      <c:valAx>
        <c:axId val="521285920"/>
        <c:scaling>
          <c:orientation val="minMax"/>
        </c:scaling>
        <c:delete val="0"/>
        <c:axPos val="r"/>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21288272"/>
        <c:crosses val="max"/>
        <c:crossBetween val="between"/>
      </c:valAx>
      <c:catAx>
        <c:axId val="521288272"/>
        <c:scaling>
          <c:orientation val="minMax"/>
        </c:scaling>
        <c:delete val="1"/>
        <c:axPos val="b"/>
        <c:numFmt formatCode="General" sourceLinked="1"/>
        <c:majorTickMark val="out"/>
        <c:minorTickMark val="none"/>
        <c:tickLblPos val="nextTo"/>
        <c:crossAx val="521285920"/>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7829480245509554"/>
          <c:y val="1.7334668152955181E-2"/>
          <c:w val="0.49744940923178427"/>
          <c:h val="0.9653306636940896"/>
        </c:manualLayout>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'4.'!$C$23:$BA$23</c:f>
              <c:strCache>
                <c:ptCount val="51"/>
                <c:pt idx="0">
                  <c:v>Jakość specjalistycznych usług medycznych</c:v>
                </c:pt>
                <c:pt idx="1">
                  <c:v>Możliwość znalezienia zatrudnienia</c:v>
                </c:pt>
                <c:pt idx="2">
                  <c:v>Jakość i dostępność usług hospicyjnych</c:v>
                </c:pt>
                <c:pt idx="3">
                  <c:v>Jakość infrastruktury ochrony zdrowia</c:v>
                </c:pt>
                <c:pt idx="4">
                  <c:v>Jakość podstawowej opieki zdrowotnej</c:v>
                </c:pt>
                <c:pt idx="5">
                  <c:v>Dostępność usług służby zdrowia</c:v>
                </c:pt>
                <c:pt idx="6">
                  <c:v>Jakość i dostępność infrastruktury kultury</c:v>
                </c:pt>
                <c:pt idx="7">
                  <c:v>Oferta rozrywkowa i spędzania czasu wolnego</c:v>
                </c:pt>
                <c:pt idx="8">
                  <c:v>Jakość infrastruktury turystycznej</c:v>
                </c:pt>
                <c:pt idx="9">
                  <c:v>Inwestycje w odnawialne źródła energii i termomodernizację</c:v>
                </c:pt>
                <c:pt idx="10">
                  <c:v>Dostępność transportu publicznego</c:v>
                </c:pt>
                <c:pt idx="11">
                  <c:v>Jakość usług opiekuńczych w placówkach specjalistycznych</c:v>
                </c:pt>
                <c:pt idx="12">
                  <c:v>Możliwość rozwoju/prowadzenia działalności gospodarczej</c:v>
                </c:pt>
                <c:pt idx="13">
                  <c:v>Dostępność i jakość szlaków turystycznych</c:v>
                </c:pt>
                <c:pt idx="14">
                  <c:v>Jakość usług ośrodków rehabilitacyjnych</c:v>
                </c:pt>
                <c:pt idx="15">
                  <c:v>Dostępność transportowa, skomunikowanie</c:v>
                </c:pt>
                <c:pt idx="16">
                  <c:v>Jakość oferty i programów kierowanych do dzieci i młodzieży</c:v>
                </c:pt>
                <c:pt idx="17">
                  <c:v>Aktywność mieszkańców w podejmowaniu wspólnych działań</c:v>
                </c:pt>
                <c:pt idx="18">
                  <c:v>Liczba ścieżek rowerowych</c:v>
                </c:pt>
                <c:pt idx="19">
                  <c:v>Promocja obszaru Mazur Południowych</c:v>
                </c:pt>
                <c:pt idx="20">
                  <c:v>Oferta instytucji kultury</c:v>
                </c:pt>
                <c:pt idx="21">
                  <c:v>Dostępność miejsc parkingowych</c:v>
                </c:pt>
                <c:pt idx="22">
                  <c:v>Oferta sportowa i rekreacyjna</c:v>
                </c:pt>
                <c:pt idx="23">
                  <c:v>Jakość usług placówek psychologiczno–pedagogicznych</c:v>
                </c:pt>
                <c:pt idx="24">
                  <c:v>Możliwość wynajmu mieszkania</c:v>
                </c:pt>
                <c:pt idx="25">
                  <c:v>Jakość programów wsparcia oferowanych przez PUP</c:v>
                </c:pt>
                <c:pt idx="26">
                  <c:v>Możliwość zakupu mieszkania</c:v>
                </c:pt>
                <c:pt idx="27">
                  <c:v>Jakość i dostępność kształcenia seniorów</c:v>
                </c:pt>
                <c:pt idx="28">
                  <c:v>Jakość oferty i programów kierowanych do seniorów</c:v>
                </c:pt>
                <c:pt idx="29">
                  <c:v>Aktywność organizacji pozarządowych</c:v>
                </c:pt>
                <c:pt idx="30">
                  <c:v>Dostępność oferty edukacyjnej</c:v>
                </c:pt>
                <c:pt idx="31">
                  <c:v>Jakość i dostępność infrastruktury sportowej i rekreacyjnej</c:v>
                </c:pt>
                <c:pt idx="32">
                  <c:v>Jakość i dostępność kształcenia dzieci i młodzieży</c:v>
                </c:pt>
                <c:pt idx="33">
                  <c:v>Jakość działań związanych z ochroną środowiska</c:v>
                </c:pt>
                <c:pt idx="34">
                  <c:v>Stan techniczny chodników i oświetlenia</c:v>
                </c:pt>
                <c:pt idx="35">
                  <c:v>Dostępność lokali gastronomicznych</c:v>
                </c:pt>
                <c:pt idx="36">
                  <c:v>Jakość funkcjonowania Policji</c:v>
                </c:pt>
                <c:pt idx="37">
                  <c:v>Współpraca powiatu z organizacyjnymi pozarządowymi</c:v>
                </c:pt>
                <c:pt idx="38">
                  <c:v>Dostępność miejsc spędzania wolnego czasu</c:v>
                </c:pt>
                <c:pt idx="39">
                  <c:v>Dostępność wsparcia oferowanego przez PCPR</c:v>
                </c:pt>
                <c:pt idx="40">
                  <c:v>Jakość dróg</c:v>
                </c:pt>
                <c:pt idx="41">
                  <c:v>Możliwość załatwiania spraw urzędowych przez Internet</c:v>
                </c:pt>
                <c:pt idx="42">
                  <c:v>Stan instalacji wodno-kanalizacyjnej</c:v>
                </c:pt>
                <c:pt idx="43">
                  <c:v>Czystość / estetyka przestrzeni publicznych</c:v>
                </c:pt>
                <c:pt idx="44">
                  <c:v>Dostępność szkół, przedszkoli, żłobków</c:v>
                </c:pt>
                <c:pt idx="45">
                  <c:v>Jakość obsługi w Starostwie Powiatowym</c:v>
                </c:pt>
                <c:pt idx="46">
                  <c:v>Poziom bezpieczeństwa</c:v>
                </c:pt>
                <c:pt idx="47">
                  <c:v>Odbiór odpadów komunalnych (śmieci)</c:v>
                </c:pt>
                <c:pt idx="48">
                  <c:v>Dostępność miejsc usługowych i handlu</c:v>
                </c:pt>
                <c:pt idx="49">
                  <c:v>Dostępność Internetu</c:v>
                </c:pt>
                <c:pt idx="50">
                  <c:v>Jakość funkcjonowania Straży Pożarnej</c:v>
                </c:pt>
              </c:strCache>
            </c:strRef>
          </c:cat>
          <c:val>
            <c:numRef>
              <c:f>'4.'!$C$24:$BA$24</c:f>
              <c:numCache>
                <c:formatCode>#,##0.00</c:formatCode>
                <c:ptCount val="51"/>
                <c:pt idx="0">
                  <c:v>2.0502253702511268</c:v>
                </c:pt>
                <c:pt idx="1">
                  <c:v>2.2266580811332903</c:v>
                </c:pt>
                <c:pt idx="2">
                  <c:v>2.2459755312298775</c:v>
                </c:pt>
                <c:pt idx="3">
                  <c:v>2.2749517063747584</c:v>
                </c:pt>
                <c:pt idx="4">
                  <c:v>2.2897617514488089</c:v>
                </c:pt>
                <c:pt idx="5">
                  <c:v>2.2929813264649068</c:v>
                </c:pt>
                <c:pt idx="6">
                  <c:v>2.3412749517063749</c:v>
                </c:pt>
                <c:pt idx="7">
                  <c:v>2.4681262073406312</c:v>
                </c:pt>
                <c:pt idx="8">
                  <c:v>2.4681262073406312</c:v>
                </c:pt>
                <c:pt idx="9">
                  <c:v>2.481648422408242</c:v>
                </c:pt>
                <c:pt idx="10">
                  <c:v>2.4900193174500966</c:v>
                </c:pt>
                <c:pt idx="11">
                  <c:v>2.4945267224726337</c:v>
                </c:pt>
                <c:pt idx="12">
                  <c:v>2.4964584674822925</c:v>
                </c:pt>
                <c:pt idx="13">
                  <c:v>2.558918222794591</c:v>
                </c:pt>
                <c:pt idx="14">
                  <c:v>2.5782356728911782</c:v>
                </c:pt>
                <c:pt idx="15">
                  <c:v>2.6175144880875725</c:v>
                </c:pt>
                <c:pt idx="16">
                  <c:v>2.6175144880875725</c:v>
                </c:pt>
                <c:pt idx="17">
                  <c:v>2.628461043142305</c:v>
                </c:pt>
                <c:pt idx="18">
                  <c:v>2.6980038634900194</c:v>
                </c:pt>
                <c:pt idx="19">
                  <c:v>2.7031551835157761</c:v>
                </c:pt>
                <c:pt idx="20">
                  <c:v>2.7379265936896329</c:v>
                </c:pt>
                <c:pt idx="21">
                  <c:v>2.7520927237604638</c:v>
                </c:pt>
                <c:pt idx="22">
                  <c:v>2.7520927237604638</c:v>
                </c:pt>
                <c:pt idx="23">
                  <c:v>2.7965228589826143</c:v>
                </c:pt>
                <c:pt idx="24">
                  <c:v>2.7997424339987123</c:v>
                </c:pt>
                <c:pt idx="25">
                  <c:v>2.8254990341274953</c:v>
                </c:pt>
                <c:pt idx="26">
                  <c:v>2.8641339343206695</c:v>
                </c:pt>
                <c:pt idx="27">
                  <c:v>2.9465550547327752</c:v>
                </c:pt>
                <c:pt idx="28">
                  <c:v>2.9510624597553123</c:v>
                </c:pt>
                <c:pt idx="29">
                  <c:v>2.9781068898905345</c:v>
                </c:pt>
                <c:pt idx="30">
                  <c:v>2.9916291049581454</c:v>
                </c:pt>
                <c:pt idx="31">
                  <c:v>3.0264005151320026</c:v>
                </c:pt>
                <c:pt idx="32">
                  <c:v>3.0302640051513201</c:v>
                </c:pt>
                <c:pt idx="33">
                  <c:v>3.033483580167418</c:v>
                </c:pt>
                <c:pt idx="34">
                  <c:v>3.0566645202833227</c:v>
                </c:pt>
                <c:pt idx="35">
                  <c:v>3.0669671603348356</c:v>
                </c:pt>
                <c:pt idx="36">
                  <c:v>3.092079845460399</c:v>
                </c:pt>
                <c:pt idx="37">
                  <c:v>3.1558274307791372</c:v>
                </c:pt>
                <c:pt idx="38">
                  <c:v>3.1590470057952351</c:v>
                </c:pt>
                <c:pt idx="39">
                  <c:v>3.1635544108177722</c:v>
                </c:pt>
                <c:pt idx="40">
                  <c:v>3.1706374758531872</c:v>
                </c:pt>
                <c:pt idx="41">
                  <c:v>3.191242755956214</c:v>
                </c:pt>
                <c:pt idx="42">
                  <c:v>3.2034771410173857</c:v>
                </c:pt>
                <c:pt idx="43">
                  <c:v>3.2221506761107532</c:v>
                </c:pt>
                <c:pt idx="44">
                  <c:v>3.2273019961365099</c:v>
                </c:pt>
                <c:pt idx="45">
                  <c:v>3.235028976175145</c:v>
                </c:pt>
                <c:pt idx="46">
                  <c:v>3.3515775917578878</c:v>
                </c:pt>
                <c:pt idx="47">
                  <c:v>3.3535093367675466</c:v>
                </c:pt>
                <c:pt idx="48">
                  <c:v>3.36381197681906</c:v>
                </c:pt>
                <c:pt idx="49">
                  <c:v>3.3927881519639409</c:v>
                </c:pt>
                <c:pt idx="50">
                  <c:v>4.0463618802318093</c:v>
                </c:pt>
              </c:numCache>
            </c:numRef>
          </c:val>
          <c:extLst>
            <c:ext xmlns:c16="http://schemas.microsoft.com/office/drawing/2014/chart" uri="{C3380CC4-5D6E-409C-BE32-E72D297353CC}">
              <c16:uniqueId val="{00000000-499B-485B-A650-7060B5DB4BC5}"/>
            </c:ext>
          </c:extLst>
        </c:ser>
        <c:dLbls>
          <c:dLblPos val="outEnd"/>
          <c:showLegendKey val="0"/>
          <c:showVal val="1"/>
          <c:showCatName val="0"/>
          <c:showSerName val="0"/>
          <c:showPercent val="0"/>
          <c:showBubbleSize val="0"/>
        </c:dLbls>
        <c:gapWidth val="19"/>
        <c:axId val="521284744"/>
        <c:axId val="521289448"/>
      </c:barChart>
      <c:catAx>
        <c:axId val="52128474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pl-PL"/>
          </a:p>
        </c:txPr>
        <c:crossAx val="521289448"/>
        <c:crosses val="autoZero"/>
        <c:auto val="1"/>
        <c:lblAlgn val="ctr"/>
        <c:lblOffset val="100"/>
        <c:noMultiLvlLbl val="0"/>
      </c:catAx>
      <c:valAx>
        <c:axId val="521289448"/>
        <c:scaling>
          <c:orientation val="minMax"/>
        </c:scaling>
        <c:delete val="1"/>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crossAx val="5212847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Arkusz1!$G$11:$G$61</c:f>
              <c:strCache>
                <c:ptCount val="51"/>
                <c:pt idx="0">
                  <c:v>Jakość specjalistycznych usług medycznych</c:v>
                </c:pt>
                <c:pt idx="1">
                  <c:v>Jakość i dostępność infrastruktury kultury</c:v>
                </c:pt>
                <c:pt idx="2">
                  <c:v>Jakość infrastruktury ochrony zdrowia</c:v>
                </c:pt>
                <c:pt idx="3">
                  <c:v>Jakość usług ośrodków rehabilitacyjnych</c:v>
                </c:pt>
                <c:pt idx="4">
                  <c:v>Jakość infrastruktury turystycznej </c:v>
                </c:pt>
                <c:pt idx="5">
                  <c:v>Jakość i dostępność usług hospicyjnych</c:v>
                </c:pt>
                <c:pt idx="6">
                  <c:v>Inwestycje w odnawialne źródła energii i termomodernizację</c:v>
                </c:pt>
                <c:pt idx="7">
                  <c:v>Jakość podstawowej opieki zdrowotnej</c:v>
                </c:pt>
                <c:pt idx="8">
                  <c:v>Jakość usług opiekuńczych w placówkach specjalistycznych</c:v>
                </c:pt>
                <c:pt idx="9">
                  <c:v>Dostępność i jakość szlaków turystycznych</c:v>
                </c:pt>
                <c:pt idx="10">
                  <c:v>Jakość i dostępność kształcenia dzieci i młodzieży</c:v>
                </c:pt>
                <c:pt idx="11">
                  <c:v>Jakość usług placówek psychologiczno–pedagogicznych</c:v>
                </c:pt>
                <c:pt idx="12">
                  <c:v>Jakość i dostępność kształcenia seniorów</c:v>
                </c:pt>
                <c:pt idx="13">
                  <c:v>Jakość i dostępność infrastruktury sportowej i rekreacyjnej</c:v>
                </c:pt>
                <c:pt idx="14">
                  <c:v>Możliwość znalezienia zatrudnienia</c:v>
                </c:pt>
                <c:pt idx="15">
                  <c:v>Dostępność usług służby zdrowia</c:v>
                </c:pt>
                <c:pt idx="16">
                  <c:v>Możliwość rozwoju/prowadzenia działalności gospodarczej</c:v>
                </c:pt>
                <c:pt idx="17">
                  <c:v>Dostępność transportowa, skomunikowanie</c:v>
                </c:pt>
                <c:pt idx="18">
                  <c:v>Dostępność miejsc parkingowych</c:v>
                </c:pt>
                <c:pt idx="19">
                  <c:v>Dostępność transportu publicznego</c:v>
                </c:pt>
                <c:pt idx="20">
                  <c:v>Promocja obszaru Mazur Południowych</c:v>
                </c:pt>
                <c:pt idx="21">
                  <c:v>Oferta rozrywkowa i spędzania czasu wolnego</c:v>
                </c:pt>
                <c:pt idx="22">
                  <c:v>Liczba ścieżek rowerowych</c:v>
                </c:pt>
                <c:pt idx="23">
                  <c:v>Aktywność mieszkańców w podejmowaniu wspólnych działań</c:v>
                </c:pt>
                <c:pt idx="24">
                  <c:v>Jakość oferty i programów kierowanych do dzieci i młodzieży</c:v>
                </c:pt>
                <c:pt idx="25">
                  <c:v>Oferta instytucji kultury</c:v>
                </c:pt>
                <c:pt idx="26">
                  <c:v>Dostępność oferty edukacyjnej</c:v>
                </c:pt>
                <c:pt idx="27">
                  <c:v>Jakość programów wsparcia oferowanych przez PUP</c:v>
                </c:pt>
                <c:pt idx="28">
                  <c:v>Aktywność organizacji pozarządowych</c:v>
                </c:pt>
                <c:pt idx="29">
                  <c:v>Jakość funkcjonowania Policji</c:v>
                </c:pt>
                <c:pt idx="30">
                  <c:v>Jakość działań związanych z ochroną środowiska</c:v>
                </c:pt>
                <c:pt idx="31">
                  <c:v>Oferta sportowa i rekreacyjna</c:v>
                </c:pt>
                <c:pt idx="32">
                  <c:v>Jakość oferty i programów kierowanych do seniorów</c:v>
                </c:pt>
                <c:pt idx="33">
                  <c:v>Jakość dróg</c:v>
                </c:pt>
                <c:pt idx="34">
                  <c:v>Współpraca powiatu z organizacyjnymi pozarządowymi</c:v>
                </c:pt>
                <c:pt idx="35">
                  <c:v>Stan techniczny chodników i oświetlenia</c:v>
                </c:pt>
                <c:pt idx="36">
                  <c:v>Stan instalacji wodno-kanalizacyjnej</c:v>
                </c:pt>
                <c:pt idx="37">
                  <c:v>Dostępność szkół, przedszkoli, żłobków</c:v>
                </c:pt>
                <c:pt idx="38">
                  <c:v>Dostępność lokali gastronomicznych</c:v>
                </c:pt>
                <c:pt idx="39">
                  <c:v>Możliwość wynajmu mieszkania</c:v>
                </c:pt>
                <c:pt idx="40">
                  <c:v>Możliwość załatwiania spraw urzędowych przez Internet</c:v>
                </c:pt>
                <c:pt idx="41">
                  <c:v>Odbiór odpadów komunalnych (śmieci)</c:v>
                </c:pt>
                <c:pt idx="42">
                  <c:v>Możliwość zakupu mieszkania</c:v>
                </c:pt>
                <c:pt idx="43">
                  <c:v>Dostępność wsparcia oferowanego przez PCPR</c:v>
                </c:pt>
                <c:pt idx="44">
                  <c:v>Jakość obsługi w Starostwie Powiatowym</c:v>
                </c:pt>
                <c:pt idx="45">
                  <c:v>Poziom bezpieczeństwa</c:v>
                </c:pt>
                <c:pt idx="46">
                  <c:v>Dostępność miejsc spędzania wolnego czasu</c:v>
                </c:pt>
                <c:pt idx="47">
                  <c:v>Dostępność miejsc usługowych i handlu</c:v>
                </c:pt>
                <c:pt idx="48">
                  <c:v>Dostępność Internetu</c:v>
                </c:pt>
                <c:pt idx="49">
                  <c:v>Czystość / estetyka przestrzeni publicznych</c:v>
                </c:pt>
                <c:pt idx="50">
                  <c:v>Jakość funkcjonowania Straży Pożarnej</c:v>
                </c:pt>
              </c:strCache>
            </c:strRef>
          </c:cat>
          <c:val>
            <c:numRef>
              <c:f>Arkusz1!$H$11:$H$61</c:f>
              <c:numCache>
                <c:formatCode>0.00</c:formatCode>
                <c:ptCount val="51"/>
                <c:pt idx="0">
                  <c:v>1.2325581395348837</c:v>
                </c:pt>
                <c:pt idx="1">
                  <c:v>1.3372093023255813</c:v>
                </c:pt>
                <c:pt idx="2">
                  <c:v>1.3720930232558139</c:v>
                </c:pt>
                <c:pt idx="3">
                  <c:v>1.430232558139535</c:v>
                </c:pt>
                <c:pt idx="4">
                  <c:v>1.4534883720930232</c:v>
                </c:pt>
                <c:pt idx="5">
                  <c:v>1.4534883720930232</c:v>
                </c:pt>
                <c:pt idx="6">
                  <c:v>1.4767441860465116</c:v>
                </c:pt>
                <c:pt idx="7">
                  <c:v>1.5232558139534884</c:v>
                </c:pt>
                <c:pt idx="8">
                  <c:v>1.569767441860465</c:v>
                </c:pt>
                <c:pt idx="9">
                  <c:v>1.6511627906976745</c:v>
                </c:pt>
                <c:pt idx="10">
                  <c:v>1.6976744186046511</c:v>
                </c:pt>
                <c:pt idx="11">
                  <c:v>1.6976744186046511</c:v>
                </c:pt>
                <c:pt idx="12">
                  <c:v>1.7209302325581395</c:v>
                </c:pt>
                <c:pt idx="13">
                  <c:v>1.7790697674418605</c:v>
                </c:pt>
                <c:pt idx="14">
                  <c:v>1.9534883720930232</c:v>
                </c:pt>
                <c:pt idx="15">
                  <c:v>2.2093023255813953</c:v>
                </c:pt>
                <c:pt idx="16">
                  <c:v>2.36046511627907</c:v>
                </c:pt>
                <c:pt idx="17">
                  <c:v>2.4534883720930232</c:v>
                </c:pt>
                <c:pt idx="18">
                  <c:v>2.4534883720930232</c:v>
                </c:pt>
                <c:pt idx="19">
                  <c:v>2.6162790697674421</c:v>
                </c:pt>
                <c:pt idx="20">
                  <c:v>2.6279069767441858</c:v>
                </c:pt>
                <c:pt idx="21">
                  <c:v>2.63953488372093</c:v>
                </c:pt>
                <c:pt idx="22">
                  <c:v>2.6511627906976742</c:v>
                </c:pt>
                <c:pt idx="23">
                  <c:v>2.6627906976744184</c:v>
                </c:pt>
                <c:pt idx="24">
                  <c:v>2.6744186046511627</c:v>
                </c:pt>
                <c:pt idx="25">
                  <c:v>2.7558139534883721</c:v>
                </c:pt>
                <c:pt idx="26">
                  <c:v>2.86046511627907</c:v>
                </c:pt>
                <c:pt idx="27">
                  <c:v>2.86046511627907</c:v>
                </c:pt>
                <c:pt idx="28">
                  <c:v>2.8953488372093021</c:v>
                </c:pt>
                <c:pt idx="29">
                  <c:v>2.9767441860465116</c:v>
                </c:pt>
                <c:pt idx="30">
                  <c:v>3</c:v>
                </c:pt>
                <c:pt idx="31">
                  <c:v>3</c:v>
                </c:pt>
                <c:pt idx="32">
                  <c:v>3.0232558139534884</c:v>
                </c:pt>
                <c:pt idx="33">
                  <c:v>3.0465116279069768</c:v>
                </c:pt>
                <c:pt idx="34">
                  <c:v>3.0697674418604652</c:v>
                </c:pt>
                <c:pt idx="35">
                  <c:v>3.1046511627906979</c:v>
                </c:pt>
                <c:pt idx="36">
                  <c:v>3.13953488372093</c:v>
                </c:pt>
                <c:pt idx="37">
                  <c:v>3.13953488372093</c:v>
                </c:pt>
                <c:pt idx="38">
                  <c:v>3.13953488372093</c:v>
                </c:pt>
                <c:pt idx="39">
                  <c:v>3.13953488372093</c:v>
                </c:pt>
                <c:pt idx="40">
                  <c:v>3.1511627906976742</c:v>
                </c:pt>
                <c:pt idx="41">
                  <c:v>3.1976744186046511</c:v>
                </c:pt>
                <c:pt idx="42">
                  <c:v>3.2209302325581395</c:v>
                </c:pt>
                <c:pt idx="43">
                  <c:v>3.2441860465116279</c:v>
                </c:pt>
                <c:pt idx="44">
                  <c:v>3.2790697674418605</c:v>
                </c:pt>
                <c:pt idx="45">
                  <c:v>3.2906976744186047</c:v>
                </c:pt>
                <c:pt idx="46">
                  <c:v>3.4186046511627906</c:v>
                </c:pt>
                <c:pt idx="47">
                  <c:v>3.4186046511627906</c:v>
                </c:pt>
                <c:pt idx="48">
                  <c:v>3.4302325581395348</c:v>
                </c:pt>
                <c:pt idx="49">
                  <c:v>3.5</c:v>
                </c:pt>
                <c:pt idx="50">
                  <c:v>4.2209302325581399</c:v>
                </c:pt>
              </c:numCache>
            </c:numRef>
          </c:val>
          <c:extLst>
            <c:ext xmlns:c16="http://schemas.microsoft.com/office/drawing/2014/chart" uri="{C3380CC4-5D6E-409C-BE32-E72D297353CC}">
              <c16:uniqueId val="{00000000-627A-44A0-8281-3BE9D98A9408}"/>
            </c:ext>
          </c:extLst>
        </c:ser>
        <c:dLbls>
          <c:showLegendKey val="0"/>
          <c:showVal val="0"/>
          <c:showCatName val="0"/>
          <c:showSerName val="0"/>
          <c:showPercent val="0"/>
          <c:showBubbleSize val="0"/>
        </c:dLbls>
        <c:gapWidth val="29"/>
        <c:axId val="521279648"/>
        <c:axId val="521289056"/>
      </c:barChart>
      <c:catAx>
        <c:axId val="52127964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pl-PL"/>
          </a:p>
        </c:txPr>
        <c:crossAx val="521289056"/>
        <c:crosses val="autoZero"/>
        <c:auto val="1"/>
        <c:lblAlgn val="ctr"/>
        <c:lblOffset val="100"/>
        <c:noMultiLvlLbl val="0"/>
      </c:catAx>
      <c:valAx>
        <c:axId val="521289056"/>
        <c:scaling>
          <c:orientation val="minMax"/>
        </c:scaling>
        <c:delete val="1"/>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crossAx val="52127964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53932809057588005"/>
          <c:y val="1.9894929888520804E-2"/>
          <c:w val="0.43766898177878327"/>
          <c:h val="0.96021014022295836"/>
        </c:manualLayout>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Arkusz1!$AR$86:$AR$136</c:f>
              <c:strCache>
                <c:ptCount val="51"/>
                <c:pt idx="0">
                  <c:v>Dostępność transportu publicznego</c:v>
                </c:pt>
                <c:pt idx="1">
                  <c:v>Jakość specjalistycznych usług medycznych</c:v>
                </c:pt>
                <c:pt idx="2">
                  <c:v>Możliwość znalezienia zatrudnienia</c:v>
                </c:pt>
                <c:pt idx="3">
                  <c:v>Jakość infrastruktury ochrony zdrowia</c:v>
                </c:pt>
                <c:pt idx="4">
                  <c:v>Jakość i dostępność infrastruktury kultury</c:v>
                </c:pt>
                <c:pt idx="5">
                  <c:v>Oferta rozrywkowa i spędzania czasu wolnego</c:v>
                </c:pt>
                <c:pt idx="6">
                  <c:v>Jakość i dostępność usług hospicyjnych</c:v>
                </c:pt>
                <c:pt idx="7">
                  <c:v>Jakość podstawowej opieki zdrowotnej</c:v>
                </c:pt>
                <c:pt idx="8">
                  <c:v>Jakość infrastruktury turystycznej </c:v>
                </c:pt>
                <c:pt idx="9">
                  <c:v>Inwestycje w odnawialne źródła energii i termomodernizację</c:v>
                </c:pt>
                <c:pt idx="10">
                  <c:v>Dostępność usług służby zdrowia</c:v>
                </c:pt>
                <c:pt idx="11">
                  <c:v>Możliwość rozwoju/prowadzenia działalności gospodarczej</c:v>
                </c:pt>
                <c:pt idx="12">
                  <c:v>Dostępność transportowa, skomunikowanie</c:v>
                </c:pt>
                <c:pt idx="13">
                  <c:v>Dostępność i jakość szlaków turystycznych</c:v>
                </c:pt>
                <c:pt idx="14">
                  <c:v>Aktywność mieszkańców w podejmowaniu wspólnych działań</c:v>
                </c:pt>
                <c:pt idx="15">
                  <c:v>Możliwość wynajmu mieszkania</c:v>
                </c:pt>
                <c:pt idx="16">
                  <c:v>Jakość usług opiekuńczych w placówkach specjalistycznych</c:v>
                </c:pt>
                <c:pt idx="17">
                  <c:v>Promocja obszaru Mazur Południowych</c:v>
                </c:pt>
                <c:pt idx="18">
                  <c:v>Jakość oferty i programów kierowanych do dzieci i młodzieży</c:v>
                </c:pt>
                <c:pt idx="19">
                  <c:v>Dostępność miejsc parkingowych</c:v>
                </c:pt>
                <c:pt idx="20">
                  <c:v>Oferta sportowa i rekreacyjna</c:v>
                </c:pt>
                <c:pt idx="21">
                  <c:v>Jakość usług ośrodków rehabilitacyjnych</c:v>
                </c:pt>
                <c:pt idx="22">
                  <c:v>Dostępność miejsc spędzania wolnego czasu</c:v>
                </c:pt>
                <c:pt idx="23">
                  <c:v>Oferta instytucji kultury</c:v>
                </c:pt>
                <c:pt idx="24">
                  <c:v>Jakość i dostępność kształcenia seniorów</c:v>
                </c:pt>
                <c:pt idx="25">
                  <c:v>Możliwość zakupu mieszkania</c:v>
                </c:pt>
                <c:pt idx="26">
                  <c:v>Dostępność lokali gastronomicznych</c:v>
                </c:pt>
                <c:pt idx="27">
                  <c:v>Jakość usług placówek psychologiczno–pedagogicznych</c:v>
                </c:pt>
                <c:pt idx="28">
                  <c:v>Liczba ścieżek rowerowych</c:v>
                </c:pt>
                <c:pt idx="29">
                  <c:v>Jakość oferty i programów kierowanych do seniorów</c:v>
                </c:pt>
                <c:pt idx="30">
                  <c:v>Jakość programów wsparcia oferowanych przez PUP</c:v>
                </c:pt>
                <c:pt idx="31">
                  <c:v>Stan techniczny chodników i oświetlenia</c:v>
                </c:pt>
                <c:pt idx="32">
                  <c:v>Stan instalacji wodno-kanalizacyjnej</c:v>
                </c:pt>
                <c:pt idx="33">
                  <c:v>Czystość / estetyka przestrzeni publicznych</c:v>
                </c:pt>
                <c:pt idx="34">
                  <c:v>Jakość działań związanych z ochroną środowiska</c:v>
                </c:pt>
                <c:pt idx="35">
                  <c:v>Dostępność oferty edukacyjnej</c:v>
                </c:pt>
                <c:pt idx="36">
                  <c:v>Jakość i dostępność infrastruktury sportowej i rekreacyjnej</c:v>
                </c:pt>
                <c:pt idx="37">
                  <c:v>Jakość dróg</c:v>
                </c:pt>
                <c:pt idx="38">
                  <c:v>Odbiór odpadów komunalnych (śmieci)</c:v>
                </c:pt>
                <c:pt idx="39">
                  <c:v>Jakość i dostępność kształcenia dzieci i młodzieży</c:v>
                </c:pt>
                <c:pt idx="40">
                  <c:v>Dostępność miejsc usługowych i handlu</c:v>
                </c:pt>
                <c:pt idx="41">
                  <c:v>Aktywność organizacji pozarządowych</c:v>
                </c:pt>
                <c:pt idx="42">
                  <c:v>Dostępność wsparcia oferowanego przez PCPR</c:v>
                </c:pt>
                <c:pt idx="43">
                  <c:v>Jakość funkcjonowania Policji</c:v>
                </c:pt>
                <c:pt idx="44">
                  <c:v>Dostępność szkół, przedszkoli, żłobków</c:v>
                </c:pt>
                <c:pt idx="45">
                  <c:v>Możliwość załatwiania spraw urzędowych przez Internet</c:v>
                </c:pt>
                <c:pt idx="46">
                  <c:v>Dostępność Internetu</c:v>
                </c:pt>
                <c:pt idx="47">
                  <c:v>Współpraca powiatu z organizacyjnymi pozarządowymi</c:v>
                </c:pt>
                <c:pt idx="48">
                  <c:v>Poziom bezpieczeństwa</c:v>
                </c:pt>
                <c:pt idx="49">
                  <c:v>Jakość obsługi w Starostwie Powiatowym</c:v>
                </c:pt>
                <c:pt idx="50">
                  <c:v>Jakość funkcjonowania Straży Pożarnej</c:v>
                </c:pt>
              </c:strCache>
            </c:strRef>
          </c:cat>
          <c:val>
            <c:numRef>
              <c:f>Arkusz1!$AS$86:$AS$136</c:f>
              <c:numCache>
                <c:formatCode>0.00</c:formatCode>
                <c:ptCount val="51"/>
                <c:pt idx="0">
                  <c:v>2.1625615763546797</c:v>
                </c:pt>
                <c:pt idx="1">
                  <c:v>2.1724137931034484</c:v>
                </c:pt>
                <c:pt idx="2">
                  <c:v>2.3103448275862069</c:v>
                </c:pt>
                <c:pt idx="3">
                  <c:v>2.3842364532019706</c:v>
                </c:pt>
                <c:pt idx="4">
                  <c:v>2.4285714285714284</c:v>
                </c:pt>
                <c:pt idx="5">
                  <c:v>2.4532019704433496</c:v>
                </c:pt>
                <c:pt idx="6">
                  <c:v>2.458128078817734</c:v>
                </c:pt>
                <c:pt idx="7">
                  <c:v>2.4827586206896552</c:v>
                </c:pt>
                <c:pt idx="8">
                  <c:v>2.4926108374384235</c:v>
                </c:pt>
                <c:pt idx="9">
                  <c:v>2.5270935960591134</c:v>
                </c:pt>
                <c:pt idx="10">
                  <c:v>2.541871921182266</c:v>
                </c:pt>
                <c:pt idx="11">
                  <c:v>2.6059113300492611</c:v>
                </c:pt>
                <c:pt idx="12">
                  <c:v>2.6354679802955663</c:v>
                </c:pt>
                <c:pt idx="13">
                  <c:v>2.6650246305418719</c:v>
                </c:pt>
                <c:pt idx="14">
                  <c:v>2.7142857142857144</c:v>
                </c:pt>
                <c:pt idx="15">
                  <c:v>2.729064039408867</c:v>
                </c:pt>
                <c:pt idx="16">
                  <c:v>2.729064039408867</c:v>
                </c:pt>
                <c:pt idx="17">
                  <c:v>2.7438423645320196</c:v>
                </c:pt>
                <c:pt idx="18">
                  <c:v>2.7635467980295565</c:v>
                </c:pt>
                <c:pt idx="19">
                  <c:v>2.8226600985221677</c:v>
                </c:pt>
                <c:pt idx="20">
                  <c:v>2.8275862068965516</c:v>
                </c:pt>
                <c:pt idx="21">
                  <c:v>2.8275862068965516</c:v>
                </c:pt>
                <c:pt idx="22">
                  <c:v>2.8325123152709359</c:v>
                </c:pt>
                <c:pt idx="23">
                  <c:v>2.8374384236453203</c:v>
                </c:pt>
                <c:pt idx="24">
                  <c:v>2.8423645320197046</c:v>
                </c:pt>
                <c:pt idx="25">
                  <c:v>2.8817733990147785</c:v>
                </c:pt>
                <c:pt idx="26">
                  <c:v>2.9704433497536944</c:v>
                </c:pt>
                <c:pt idx="27">
                  <c:v>2.9950738916256157</c:v>
                </c:pt>
                <c:pt idx="28">
                  <c:v>3.0147783251231526</c:v>
                </c:pt>
                <c:pt idx="29">
                  <c:v>3.0295566502463056</c:v>
                </c:pt>
                <c:pt idx="30">
                  <c:v>3.0295566502463056</c:v>
                </c:pt>
                <c:pt idx="31">
                  <c:v>3.1280788177339902</c:v>
                </c:pt>
                <c:pt idx="32">
                  <c:v>3.1379310344827585</c:v>
                </c:pt>
                <c:pt idx="33">
                  <c:v>3.1477832512315271</c:v>
                </c:pt>
                <c:pt idx="34">
                  <c:v>3.1477832512315271</c:v>
                </c:pt>
                <c:pt idx="35">
                  <c:v>3.1576354679802954</c:v>
                </c:pt>
                <c:pt idx="36">
                  <c:v>3.2068965517241379</c:v>
                </c:pt>
                <c:pt idx="37">
                  <c:v>3.2512315270935961</c:v>
                </c:pt>
                <c:pt idx="38">
                  <c:v>3.270935960591133</c:v>
                </c:pt>
                <c:pt idx="39">
                  <c:v>3.2906403940886699</c:v>
                </c:pt>
                <c:pt idx="40">
                  <c:v>3.3103448275862069</c:v>
                </c:pt>
                <c:pt idx="41">
                  <c:v>3.3349753694581281</c:v>
                </c:pt>
                <c:pt idx="42">
                  <c:v>3.3448275862068964</c:v>
                </c:pt>
                <c:pt idx="43">
                  <c:v>3.3596059113300494</c:v>
                </c:pt>
                <c:pt idx="44">
                  <c:v>3.3793103448275863</c:v>
                </c:pt>
                <c:pt idx="45">
                  <c:v>3.4433497536945814</c:v>
                </c:pt>
                <c:pt idx="46">
                  <c:v>3.5172413793103448</c:v>
                </c:pt>
                <c:pt idx="47">
                  <c:v>3.5221674876847291</c:v>
                </c:pt>
                <c:pt idx="48">
                  <c:v>3.5467980295566504</c:v>
                </c:pt>
                <c:pt idx="49">
                  <c:v>3.7733990147783252</c:v>
                </c:pt>
                <c:pt idx="50">
                  <c:v>4.0985221674876851</c:v>
                </c:pt>
              </c:numCache>
            </c:numRef>
          </c:val>
          <c:extLst>
            <c:ext xmlns:c16="http://schemas.microsoft.com/office/drawing/2014/chart" uri="{C3380CC4-5D6E-409C-BE32-E72D297353CC}">
              <c16:uniqueId val="{00000000-B179-4823-B1D5-1EEF473CD75A}"/>
            </c:ext>
          </c:extLst>
        </c:ser>
        <c:dLbls>
          <c:showLegendKey val="0"/>
          <c:showVal val="0"/>
          <c:showCatName val="0"/>
          <c:showSerName val="0"/>
          <c:showPercent val="0"/>
          <c:showBubbleSize val="0"/>
        </c:dLbls>
        <c:gapWidth val="40"/>
        <c:axId val="521286312"/>
        <c:axId val="521284352"/>
      </c:barChart>
      <c:catAx>
        <c:axId val="52128631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pl-PL"/>
          </a:p>
        </c:txPr>
        <c:crossAx val="521284352"/>
        <c:crosses val="autoZero"/>
        <c:auto val="1"/>
        <c:lblAlgn val="ctr"/>
        <c:lblOffset val="100"/>
        <c:noMultiLvlLbl val="0"/>
      </c:catAx>
      <c:valAx>
        <c:axId val="521284352"/>
        <c:scaling>
          <c:orientation val="minMax"/>
        </c:scaling>
        <c:delete val="1"/>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crossAx val="52128631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56408755252743659"/>
          <c:y val="1.5033143379600072E-2"/>
          <c:w val="0.4121646063672092"/>
          <c:h val="0.9699337132407998"/>
        </c:manualLayout>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Arkusz1!$AO$160:$AO$210</c:f>
              <c:strCache>
                <c:ptCount val="51"/>
                <c:pt idx="0">
                  <c:v>Jakość specjalistycznych usług medycznych</c:v>
                </c:pt>
                <c:pt idx="1">
                  <c:v>Możliwość znalezienia zatrudnienia</c:v>
                </c:pt>
                <c:pt idx="2">
                  <c:v>Oferta rozrywkowa i spędzania czasu wolnego</c:v>
                </c:pt>
                <c:pt idx="3">
                  <c:v>Jakość i dostępność usług hospicyjnych</c:v>
                </c:pt>
                <c:pt idx="4">
                  <c:v>Jakość i dostępność infrastruktury kultury</c:v>
                </c:pt>
                <c:pt idx="5">
                  <c:v>Dostępność transportu publicznego</c:v>
                </c:pt>
                <c:pt idx="6">
                  <c:v>Inwestycje w odnawialne źródła energii i termomodernizację</c:v>
                </c:pt>
                <c:pt idx="7">
                  <c:v>Jakość infrastruktury turystycznej </c:v>
                </c:pt>
                <c:pt idx="8">
                  <c:v>Jakość oferty i programów kierowanych do dzieci i młodzieży</c:v>
                </c:pt>
                <c:pt idx="9">
                  <c:v>Możliwość rozwoju/prowadzenia działalności gospodarczej</c:v>
                </c:pt>
                <c:pt idx="10">
                  <c:v>Jakość infrastruktury ochrony zdrowia</c:v>
                </c:pt>
                <c:pt idx="11">
                  <c:v>Dostępność usług służby zdrowia</c:v>
                </c:pt>
                <c:pt idx="12">
                  <c:v>Dostępność transportowa, skomunikowanie</c:v>
                </c:pt>
                <c:pt idx="13">
                  <c:v>Dostępność miejsc parkingowych</c:v>
                </c:pt>
                <c:pt idx="14">
                  <c:v>Oferta instytucji kultury</c:v>
                </c:pt>
                <c:pt idx="15">
                  <c:v>Jakość podstawowej opieki zdrowotnej</c:v>
                </c:pt>
                <c:pt idx="16">
                  <c:v>Oferta sportowa i rekreacyjna</c:v>
                </c:pt>
                <c:pt idx="17">
                  <c:v>Promocja obszaru Mazur Południowych</c:v>
                </c:pt>
                <c:pt idx="18">
                  <c:v>Jakość usług opiekuńczych w placówkach specjalistycznych </c:v>
                </c:pt>
                <c:pt idx="19">
                  <c:v>Dostępność i jakość szlaków turystycznych</c:v>
                </c:pt>
                <c:pt idx="20">
                  <c:v>Liczba ścieżek rowerowych</c:v>
                </c:pt>
                <c:pt idx="21">
                  <c:v>Aktywność mieszkańców w podejmowaniu wspólnych działań</c:v>
                </c:pt>
                <c:pt idx="22">
                  <c:v>Możliwość zakupu mieszkania</c:v>
                </c:pt>
                <c:pt idx="23">
                  <c:v>Możliwość wynajmu mieszkania</c:v>
                </c:pt>
                <c:pt idx="24">
                  <c:v>Jakość usług ośrodków rehabilitacyjnych</c:v>
                </c:pt>
                <c:pt idx="25">
                  <c:v>Dostępność oferty edukacyjnej</c:v>
                </c:pt>
                <c:pt idx="26">
                  <c:v>Jakość oferty i programów kierowanych do seniorów</c:v>
                </c:pt>
                <c:pt idx="27">
                  <c:v>Jakość programów wsparcia oferowanych przez PUP</c:v>
                </c:pt>
                <c:pt idx="28">
                  <c:v>Aktywność organizacji pozarządowych</c:v>
                </c:pt>
                <c:pt idx="29">
                  <c:v>Jakość usług placówek psychologiczno–pedagogicznych</c:v>
                </c:pt>
                <c:pt idx="30">
                  <c:v>Jakość i dostępność infrastruktury sportowej i rekreacyjnej</c:v>
                </c:pt>
                <c:pt idx="31">
                  <c:v>Jakość działań władz powiatowych związanych z ochroną środowiska </c:v>
                </c:pt>
                <c:pt idx="32">
                  <c:v>Jakość i dostępność kształcenia seniorów</c:v>
                </c:pt>
                <c:pt idx="33">
                  <c:v>Dostępność miejsc spędzania wolnego czasu</c:v>
                </c:pt>
                <c:pt idx="34">
                  <c:v>Stan techniczny chodników i oświetlenia</c:v>
                </c:pt>
                <c:pt idx="35">
                  <c:v>Jakość i dostępność kształcenia dzieci i młodzieży</c:v>
                </c:pt>
                <c:pt idx="36">
                  <c:v>Współpraca powiatu z organizacyjnymi pozarządowymi</c:v>
                </c:pt>
                <c:pt idx="37">
                  <c:v>Czystość / estetyka przestrzeni publicznych</c:v>
                </c:pt>
                <c:pt idx="38">
                  <c:v>Jakość dróg</c:v>
                </c:pt>
                <c:pt idx="39">
                  <c:v>Możliwość załatwiania spraw urzędowych przez Internet</c:v>
                </c:pt>
                <c:pt idx="40">
                  <c:v>Odbiór odpadów komunalnych (śmieci)</c:v>
                </c:pt>
                <c:pt idx="41">
                  <c:v>Dostępność wsparcia oferowanego przez PCPR</c:v>
                </c:pt>
                <c:pt idx="42">
                  <c:v>Jakość funkcjonowania Policji</c:v>
                </c:pt>
                <c:pt idx="43">
                  <c:v>Dostępność szkół, przedszkoli, żłobków</c:v>
                </c:pt>
                <c:pt idx="44">
                  <c:v>Jakość obsługi w Starostwie Powiatowym</c:v>
                </c:pt>
                <c:pt idx="45">
                  <c:v>Dostępność lokali gastronomicznych</c:v>
                </c:pt>
                <c:pt idx="46">
                  <c:v>Stan instalacji wodno-kanalizacyjnej</c:v>
                </c:pt>
                <c:pt idx="47">
                  <c:v>Dostępność miejsc usługowych i handlu</c:v>
                </c:pt>
                <c:pt idx="48">
                  <c:v>Poziom bezpieczeństwa</c:v>
                </c:pt>
                <c:pt idx="49">
                  <c:v>Dostępność Internetu</c:v>
                </c:pt>
                <c:pt idx="50">
                  <c:v>Jakość funkcjonowania Straży Pożarnej</c:v>
                </c:pt>
              </c:strCache>
            </c:strRef>
          </c:cat>
          <c:val>
            <c:numRef>
              <c:f>Arkusz1!$AP$160:$AP$210</c:f>
              <c:numCache>
                <c:formatCode>0.00</c:formatCode>
                <c:ptCount val="51"/>
                <c:pt idx="0">
                  <c:v>2.0578512396694215</c:v>
                </c:pt>
                <c:pt idx="1">
                  <c:v>2.1053719008264462</c:v>
                </c:pt>
                <c:pt idx="2">
                  <c:v>2.1322314049586777</c:v>
                </c:pt>
                <c:pt idx="3">
                  <c:v>2.1735537190082646</c:v>
                </c:pt>
                <c:pt idx="4">
                  <c:v>2.200413223140496</c:v>
                </c:pt>
                <c:pt idx="5">
                  <c:v>2.2314049586776861</c:v>
                </c:pt>
                <c:pt idx="6">
                  <c:v>2.3057851239669422</c:v>
                </c:pt>
                <c:pt idx="7">
                  <c:v>2.3161157024793386</c:v>
                </c:pt>
                <c:pt idx="8">
                  <c:v>2.3409090909090908</c:v>
                </c:pt>
                <c:pt idx="9">
                  <c:v>2.3471074380165291</c:v>
                </c:pt>
                <c:pt idx="10">
                  <c:v>2.3553719008264462</c:v>
                </c:pt>
                <c:pt idx="11">
                  <c:v>2.3615702479338845</c:v>
                </c:pt>
                <c:pt idx="12">
                  <c:v>2.3760330578512399</c:v>
                </c:pt>
                <c:pt idx="13">
                  <c:v>2.3780991735537191</c:v>
                </c:pt>
                <c:pt idx="14">
                  <c:v>2.3863636363636362</c:v>
                </c:pt>
                <c:pt idx="15">
                  <c:v>2.3987603305785123</c:v>
                </c:pt>
                <c:pt idx="16">
                  <c:v>2.4008264462809916</c:v>
                </c:pt>
                <c:pt idx="17">
                  <c:v>2.4090909090909092</c:v>
                </c:pt>
                <c:pt idx="18">
                  <c:v>2.4214876033057853</c:v>
                </c:pt>
                <c:pt idx="19">
                  <c:v>2.4628099173553717</c:v>
                </c:pt>
                <c:pt idx="20">
                  <c:v>2.4731404958677685</c:v>
                </c:pt>
                <c:pt idx="21">
                  <c:v>2.4855371900826446</c:v>
                </c:pt>
                <c:pt idx="22">
                  <c:v>2.5433884297520661</c:v>
                </c:pt>
                <c:pt idx="23">
                  <c:v>2.5516528925619837</c:v>
                </c:pt>
                <c:pt idx="24">
                  <c:v>2.5702479338842976</c:v>
                </c:pt>
                <c:pt idx="25">
                  <c:v>2.6735537190082646</c:v>
                </c:pt>
                <c:pt idx="26">
                  <c:v>2.6818181818181817</c:v>
                </c:pt>
                <c:pt idx="27">
                  <c:v>2.6818181818181817</c:v>
                </c:pt>
                <c:pt idx="28">
                  <c:v>2.6838842975206614</c:v>
                </c:pt>
                <c:pt idx="29">
                  <c:v>2.6942148760330578</c:v>
                </c:pt>
                <c:pt idx="30">
                  <c:v>2.7148760330578514</c:v>
                </c:pt>
                <c:pt idx="31">
                  <c:v>2.7851239669421486</c:v>
                </c:pt>
                <c:pt idx="32">
                  <c:v>2.7892561983471076</c:v>
                </c:pt>
                <c:pt idx="33">
                  <c:v>2.8388429752066116</c:v>
                </c:pt>
                <c:pt idx="34">
                  <c:v>2.8450413223140494</c:v>
                </c:pt>
                <c:pt idx="35">
                  <c:v>2.8471074380165291</c:v>
                </c:pt>
                <c:pt idx="36">
                  <c:v>2.8595041322314048</c:v>
                </c:pt>
                <c:pt idx="37">
                  <c:v>2.8780991735537191</c:v>
                </c:pt>
                <c:pt idx="38">
                  <c:v>2.9710743801652892</c:v>
                </c:pt>
                <c:pt idx="39">
                  <c:v>2.9710743801652892</c:v>
                </c:pt>
                <c:pt idx="40">
                  <c:v>3.0082644628099175</c:v>
                </c:pt>
                <c:pt idx="41">
                  <c:v>3.0103305785123968</c:v>
                </c:pt>
                <c:pt idx="42">
                  <c:v>3.0268595041322315</c:v>
                </c:pt>
                <c:pt idx="43">
                  <c:v>3.03099173553719</c:v>
                </c:pt>
                <c:pt idx="44">
                  <c:v>3.0702479338842976</c:v>
                </c:pt>
                <c:pt idx="45">
                  <c:v>3.1404958677685952</c:v>
                </c:pt>
                <c:pt idx="46">
                  <c:v>3.1549586776859506</c:v>
                </c:pt>
                <c:pt idx="47">
                  <c:v>3.2561983471074378</c:v>
                </c:pt>
                <c:pt idx="48">
                  <c:v>3.303719008264463</c:v>
                </c:pt>
                <c:pt idx="49">
                  <c:v>3.3595041322314048</c:v>
                </c:pt>
                <c:pt idx="50">
                  <c:v>4.0041322314049586</c:v>
                </c:pt>
              </c:numCache>
            </c:numRef>
          </c:val>
          <c:extLst>
            <c:ext xmlns:c16="http://schemas.microsoft.com/office/drawing/2014/chart" uri="{C3380CC4-5D6E-409C-BE32-E72D297353CC}">
              <c16:uniqueId val="{00000000-149E-416D-9054-FEBFCD795797}"/>
            </c:ext>
          </c:extLst>
        </c:ser>
        <c:dLbls>
          <c:dLblPos val="outEnd"/>
          <c:showLegendKey val="0"/>
          <c:showVal val="1"/>
          <c:showCatName val="0"/>
          <c:showSerName val="0"/>
          <c:showPercent val="0"/>
          <c:showBubbleSize val="0"/>
        </c:dLbls>
        <c:gapWidth val="15"/>
        <c:axId val="521286704"/>
        <c:axId val="521291408"/>
      </c:barChart>
      <c:catAx>
        <c:axId val="52128670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pl-PL"/>
          </a:p>
        </c:txPr>
        <c:crossAx val="521291408"/>
        <c:crosses val="autoZero"/>
        <c:auto val="1"/>
        <c:lblAlgn val="ctr"/>
        <c:lblOffset val="100"/>
        <c:noMultiLvlLbl val="0"/>
      </c:catAx>
      <c:valAx>
        <c:axId val="521291408"/>
        <c:scaling>
          <c:orientation val="minMax"/>
        </c:scaling>
        <c:delete val="1"/>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crossAx val="52128670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Arkusz1!$AO$231:$AO$281</c:f>
              <c:strCache>
                <c:ptCount val="51"/>
                <c:pt idx="0">
                  <c:v>Jakość specjalistycznych usług medycznych</c:v>
                </c:pt>
                <c:pt idx="1">
                  <c:v>Dostępność usług służby zdrowia</c:v>
                </c:pt>
                <c:pt idx="2">
                  <c:v>Jakość podstawowej opieki zdrowotnej</c:v>
                </c:pt>
                <c:pt idx="3">
                  <c:v>Jakość infrastruktury ochrony zdrowia</c:v>
                </c:pt>
                <c:pt idx="4">
                  <c:v>Możliwość znalezienia zatrudnienia</c:v>
                </c:pt>
                <c:pt idx="5">
                  <c:v>Jakość i dostępność usług hospicyjnych</c:v>
                </c:pt>
                <c:pt idx="6">
                  <c:v>Jakość i dostępność infrastruktury kultury</c:v>
                </c:pt>
                <c:pt idx="7">
                  <c:v>Możliwość rozwoju/prowadzenia działalności gospodarczej</c:v>
                </c:pt>
                <c:pt idx="8">
                  <c:v>Jakość usług opiekuńczych w placówkach specjalistycznych</c:v>
                </c:pt>
                <c:pt idx="9">
                  <c:v>Jakość usług ośrodków rehabilitacyjnych</c:v>
                </c:pt>
                <c:pt idx="10">
                  <c:v>Oferta rozrywkowa i spędzania czasu wolnego</c:v>
                </c:pt>
                <c:pt idx="11">
                  <c:v>Jakość infrastruktury turystycznej </c:v>
                </c:pt>
                <c:pt idx="12">
                  <c:v>Inwestycje w odnawialne źródła energii i termomodernizację</c:v>
                </c:pt>
                <c:pt idx="13">
                  <c:v>Dostępność i jakość szlaków turystycznych</c:v>
                </c:pt>
                <c:pt idx="14">
                  <c:v>Aktywność mieszkańców w podejmowaniu wspólnych działań</c:v>
                </c:pt>
                <c:pt idx="15">
                  <c:v>Dostępność transportu publicznego</c:v>
                </c:pt>
                <c:pt idx="16">
                  <c:v>Jakość oferty i programów kierowanych do dzieci i młodzieży</c:v>
                </c:pt>
                <c:pt idx="17">
                  <c:v>Liczba ścieżek rowerowych</c:v>
                </c:pt>
                <c:pt idx="18">
                  <c:v>Dostępność transportowa, skomunikowanie</c:v>
                </c:pt>
                <c:pt idx="19">
                  <c:v>Jakość programów wsparcia oferowanych przez PUP</c:v>
                </c:pt>
                <c:pt idx="20">
                  <c:v>Promocja obszaru Mazur Południowych</c:v>
                </c:pt>
                <c:pt idx="21">
                  <c:v>Oferta sportowa i rekreacyjna</c:v>
                </c:pt>
                <c:pt idx="22">
                  <c:v>Oferta instytucji kultury</c:v>
                </c:pt>
                <c:pt idx="23">
                  <c:v>Jakość usług placówek psychologiczno–pedagogicznych</c:v>
                </c:pt>
                <c:pt idx="24">
                  <c:v>Możliwość wynajmu mieszkania</c:v>
                </c:pt>
                <c:pt idx="25">
                  <c:v>Dostępność miejsc parkingowych</c:v>
                </c:pt>
                <c:pt idx="26">
                  <c:v>Możliwość zakupu mieszkania</c:v>
                </c:pt>
                <c:pt idx="27">
                  <c:v>Dostępność lokali gastronomicznych</c:v>
                </c:pt>
                <c:pt idx="28">
                  <c:v>Jakość funkcjonowania Policji</c:v>
                </c:pt>
                <c:pt idx="29">
                  <c:v>Aktywność organizacji pozarządowych</c:v>
                </c:pt>
                <c:pt idx="30">
                  <c:v>Jakość oferty i programów kierowanych do seniorów</c:v>
                </c:pt>
                <c:pt idx="31">
                  <c:v>Dostępność oferty edukacyjnej</c:v>
                </c:pt>
                <c:pt idx="32">
                  <c:v>Jakość działań związanych z ochroną środowiska </c:v>
                </c:pt>
                <c:pt idx="33">
                  <c:v>Stan techniczny chodników i oświetlenia</c:v>
                </c:pt>
                <c:pt idx="34">
                  <c:v>Jakość obsługi w Starostwie Powiatowym</c:v>
                </c:pt>
                <c:pt idx="35">
                  <c:v>Dostępność wsparcia oferowanego przez PCPR</c:v>
                </c:pt>
                <c:pt idx="36">
                  <c:v>Jakość i dostępność kształcenia seniorów</c:v>
                </c:pt>
                <c:pt idx="37">
                  <c:v>Jakość i dostępność kształcenia dzieci i młodzieży</c:v>
                </c:pt>
                <c:pt idx="38">
                  <c:v>Współpraca powiatu z organizacyjnymi pozarządowymi</c:v>
                </c:pt>
                <c:pt idx="39">
                  <c:v>Stan instalacji wodno-kanalizacyjnej</c:v>
                </c:pt>
                <c:pt idx="40">
                  <c:v>Możliwość załatwiania spraw urzędowych przez Internet</c:v>
                </c:pt>
                <c:pt idx="41">
                  <c:v>Jakość dróg</c:v>
                </c:pt>
                <c:pt idx="42">
                  <c:v>Jakość i dostępność infrastruktury sportowej i rekreacyjne</c:v>
                </c:pt>
                <c:pt idx="43">
                  <c:v>Dostępność szkół, przedszkoli, żłobków</c:v>
                </c:pt>
                <c:pt idx="44">
                  <c:v>Poziom bezpieczeństwa</c:v>
                </c:pt>
                <c:pt idx="45">
                  <c:v>Dostępność Internetu</c:v>
                </c:pt>
                <c:pt idx="46">
                  <c:v>Dostępność miejsc spędzania wolnego czasu</c:v>
                </c:pt>
                <c:pt idx="47">
                  <c:v>Czystość / estetyka przestrzeni publicznych</c:v>
                </c:pt>
                <c:pt idx="48">
                  <c:v>Dostępność miejsc usługowych i handlu</c:v>
                </c:pt>
                <c:pt idx="49">
                  <c:v>Odbiór odpadów komunalnych (śmieci)</c:v>
                </c:pt>
                <c:pt idx="50">
                  <c:v>Jakość funkcjonowania Straży Pożarnej</c:v>
                </c:pt>
              </c:strCache>
            </c:strRef>
          </c:cat>
          <c:val>
            <c:numRef>
              <c:f>Arkusz1!$AP$231:$AP$281</c:f>
              <c:numCache>
                <c:formatCode>0.00</c:formatCode>
                <c:ptCount val="51"/>
                <c:pt idx="0">
                  <c:v>2.1039794608472402</c:v>
                </c:pt>
                <c:pt idx="1">
                  <c:v>2.1951219512195124</c:v>
                </c:pt>
                <c:pt idx="2">
                  <c:v>2.256739409499358</c:v>
                </c:pt>
                <c:pt idx="3">
                  <c:v>2.2965340179717586</c:v>
                </c:pt>
                <c:pt idx="4">
                  <c:v>2.3106546854942231</c:v>
                </c:pt>
                <c:pt idx="5">
                  <c:v>2.3234916559691912</c:v>
                </c:pt>
                <c:pt idx="6">
                  <c:v>2.5173299101412066</c:v>
                </c:pt>
                <c:pt idx="7">
                  <c:v>2.5763799743260591</c:v>
                </c:pt>
                <c:pt idx="8">
                  <c:v>2.5815147625160462</c:v>
                </c:pt>
                <c:pt idx="9">
                  <c:v>2.6469833119383823</c:v>
                </c:pt>
                <c:pt idx="10">
                  <c:v>2.6623876765083438</c:v>
                </c:pt>
                <c:pt idx="11">
                  <c:v>2.6688061617458279</c:v>
                </c:pt>
                <c:pt idx="12">
                  <c:v>2.6906290115532734</c:v>
                </c:pt>
                <c:pt idx="13">
                  <c:v>2.6919127086007704</c:v>
                </c:pt>
                <c:pt idx="14">
                  <c:v>2.6931964056482669</c:v>
                </c:pt>
                <c:pt idx="15">
                  <c:v>2.7227214377406934</c:v>
                </c:pt>
                <c:pt idx="16">
                  <c:v>2.7458279845956355</c:v>
                </c:pt>
                <c:pt idx="17">
                  <c:v>2.761232349165597</c:v>
                </c:pt>
                <c:pt idx="18">
                  <c:v>2.7830551989730425</c:v>
                </c:pt>
                <c:pt idx="19">
                  <c:v>2.8587933247753532</c:v>
                </c:pt>
                <c:pt idx="20">
                  <c:v>2.8844672657252888</c:v>
                </c:pt>
                <c:pt idx="21">
                  <c:v>2.9242618741976893</c:v>
                </c:pt>
                <c:pt idx="22">
                  <c:v>2.9306803594351734</c:v>
                </c:pt>
                <c:pt idx="23">
                  <c:v>2.9319640564826699</c:v>
                </c:pt>
                <c:pt idx="24">
                  <c:v>2.9358151476251604</c:v>
                </c:pt>
                <c:pt idx="25">
                  <c:v>3.001283697047497</c:v>
                </c:pt>
                <c:pt idx="26">
                  <c:v>3.0205391527599486</c:v>
                </c:pt>
                <c:pt idx="27">
                  <c:v>3.0410783055198971</c:v>
                </c:pt>
                <c:pt idx="28">
                  <c:v>3.0783055198973042</c:v>
                </c:pt>
                <c:pt idx="29">
                  <c:v>3.0795892169448011</c:v>
                </c:pt>
                <c:pt idx="30">
                  <c:v>3.0872913992297817</c:v>
                </c:pt>
                <c:pt idx="31">
                  <c:v>3.1617458279845958</c:v>
                </c:pt>
                <c:pt idx="32">
                  <c:v>3.1630295250320923</c:v>
                </c:pt>
                <c:pt idx="33">
                  <c:v>3.1668806161745828</c:v>
                </c:pt>
                <c:pt idx="34">
                  <c:v>3.1951219512195124</c:v>
                </c:pt>
                <c:pt idx="35">
                  <c:v>3.2041078305519899</c:v>
                </c:pt>
                <c:pt idx="36">
                  <c:v>3.2066752246469834</c:v>
                </c:pt>
                <c:pt idx="37">
                  <c:v>3.225930680359435</c:v>
                </c:pt>
                <c:pt idx="38">
                  <c:v>3.256739409499358</c:v>
                </c:pt>
                <c:pt idx="39">
                  <c:v>3.2593068035943515</c:v>
                </c:pt>
                <c:pt idx="40">
                  <c:v>3.269576379974326</c:v>
                </c:pt>
                <c:pt idx="41">
                  <c:v>3.2875481386392811</c:v>
                </c:pt>
                <c:pt idx="42">
                  <c:v>3.3119383825417201</c:v>
                </c:pt>
                <c:pt idx="43">
                  <c:v>3.3222079589216946</c:v>
                </c:pt>
                <c:pt idx="44">
                  <c:v>3.3401797175866497</c:v>
                </c:pt>
                <c:pt idx="45">
                  <c:v>3.3774069319640563</c:v>
                </c:pt>
                <c:pt idx="46">
                  <c:v>3.4172015404364569</c:v>
                </c:pt>
                <c:pt idx="47">
                  <c:v>3.4249037227214378</c:v>
                </c:pt>
                <c:pt idx="48">
                  <c:v>3.4415917843388959</c:v>
                </c:pt>
                <c:pt idx="49">
                  <c:v>3.6071887034659822</c:v>
                </c:pt>
                <c:pt idx="50">
                  <c:v>4.0410783055198971</c:v>
                </c:pt>
              </c:numCache>
            </c:numRef>
          </c:val>
          <c:extLst>
            <c:ext xmlns:c16="http://schemas.microsoft.com/office/drawing/2014/chart" uri="{C3380CC4-5D6E-409C-BE32-E72D297353CC}">
              <c16:uniqueId val="{00000000-B674-4482-B2CB-554A974DBFFD}"/>
            </c:ext>
          </c:extLst>
        </c:ser>
        <c:dLbls>
          <c:showLegendKey val="0"/>
          <c:showVal val="0"/>
          <c:showCatName val="0"/>
          <c:showSerName val="0"/>
          <c:showPercent val="0"/>
          <c:showBubbleSize val="0"/>
        </c:dLbls>
        <c:gapWidth val="23"/>
        <c:axId val="521291800"/>
        <c:axId val="521295328"/>
      </c:barChart>
      <c:catAx>
        <c:axId val="52129180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pl-PL"/>
          </a:p>
        </c:txPr>
        <c:crossAx val="521295328"/>
        <c:crosses val="autoZero"/>
        <c:auto val="1"/>
        <c:lblAlgn val="ctr"/>
        <c:lblOffset val="100"/>
        <c:noMultiLvlLbl val="0"/>
      </c:catAx>
      <c:valAx>
        <c:axId val="521295328"/>
        <c:scaling>
          <c:orientation val="minMax"/>
        </c:scaling>
        <c:delete val="1"/>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crossAx val="52129180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59380680039638134"/>
          <c:y val="2.2208762366242682E-2"/>
          <c:w val="0.38203330502861321"/>
          <c:h val="0.95558247526751461"/>
        </c:manualLayout>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'Pytanie nr 5'!$C$1370:$AB$1370</c:f>
              <c:strCache>
                <c:ptCount val="26"/>
                <c:pt idx="0">
                  <c:v>Środowisko naturalne, krajobraz (dużo zieleni i terenów zielonych, jeziora)</c:v>
                </c:pt>
                <c:pt idx="1">
                  <c:v>Cisza i spokój</c:v>
                </c:pt>
                <c:pt idx="2">
                  <c:v>Atrakcyjna lokalizacja, położenie</c:v>
                </c:pt>
                <c:pt idx="3">
                  <c:v>Czyste i zdrowe powietrze</c:v>
                </c:pt>
                <c:pt idx="4">
                  <c:v>Teren atrakcyjny turystycznie, zabytki, historia</c:v>
                </c:pt>
                <c:pt idx="5">
                  <c:v>Dobre skomunikowanie</c:v>
                </c:pt>
                <c:pt idx="6">
                  <c:v>Tereny rekreacyjne i obiekty sportowe</c:v>
                </c:pt>
                <c:pt idx="7">
                  <c:v>Niewielka miejscowość, mała liczba mieszkańców</c:v>
                </c:pt>
                <c:pt idx="8">
                  <c:v>Bezpieczeństwo</c:v>
                </c:pt>
                <c:pt idx="9">
                  <c:v>Czystość</c:v>
                </c:pt>
                <c:pt idx="10">
                  <c:v>Dostępność miejsc usługowych i handlu</c:v>
                </c:pt>
                <c:pt idx="11">
                  <c:v>Coraz lepsza jakość dróg</c:v>
                </c:pt>
                <c:pt idx="12">
                  <c:v>Rozwój, pozyskane środki unijne na rozwój</c:v>
                </c:pt>
                <c:pt idx="13">
                  <c:v>Łatwy dostęp do placówek edukacyjnych, kulturalnych oraz urzędów</c:v>
                </c:pt>
                <c:pt idx="14">
                  <c:v>Mieszkańcy</c:v>
                </c:pt>
                <c:pt idx="15">
                  <c:v>Rodzina, dom</c:v>
                </c:pt>
                <c:pt idx="16">
                  <c:v>Oferta instytucji kultury</c:v>
                </c:pt>
                <c:pt idx="17">
                  <c:v>Rynek pracy</c:v>
                </c:pt>
                <c:pt idx="18">
                  <c:v>Ścieżki rowerowe</c:v>
                </c:pt>
                <c:pt idx="19">
                  <c:v>Dobra organizacja i zarządzanie jst</c:v>
                </c:pt>
                <c:pt idx="20">
                  <c:v>Brak dużego przemysłu</c:v>
                </c:pt>
                <c:pt idx="21">
                  <c:v>Brak korków</c:v>
                </c:pt>
                <c:pt idx="22">
                  <c:v>Wsparcie dla seniorów, atrakcje dla seniorów</c:v>
                </c:pt>
                <c:pt idx="23">
                  <c:v>Szpital, służba zdrowia</c:v>
                </c:pt>
                <c:pt idx="24">
                  <c:v>Atrakcyjny obszar inwestycyjny</c:v>
                </c:pt>
                <c:pt idx="25">
                  <c:v>Inne</c:v>
                </c:pt>
              </c:strCache>
            </c:strRef>
          </c:cat>
          <c:val>
            <c:numRef>
              <c:f>'Pytanie nr 5'!$C$1371:$AB$1371</c:f>
              <c:numCache>
                <c:formatCode>0.0%</c:formatCode>
                <c:ptCount val="26"/>
                <c:pt idx="0">
                  <c:v>0.39</c:v>
                </c:pt>
                <c:pt idx="1">
                  <c:v>9.6000000000000002E-2</c:v>
                </c:pt>
                <c:pt idx="2">
                  <c:v>9.1999999999999998E-2</c:v>
                </c:pt>
                <c:pt idx="3">
                  <c:v>8.1000000000000003E-2</c:v>
                </c:pt>
                <c:pt idx="4">
                  <c:v>7.0999999999999994E-2</c:v>
                </c:pt>
                <c:pt idx="5">
                  <c:v>4.7E-2</c:v>
                </c:pt>
                <c:pt idx="6">
                  <c:v>2.5000000000000001E-2</c:v>
                </c:pt>
                <c:pt idx="7">
                  <c:v>2.3E-2</c:v>
                </c:pt>
                <c:pt idx="8">
                  <c:v>2.1999999999999999E-2</c:v>
                </c:pt>
                <c:pt idx="9">
                  <c:v>2.1000000000000001E-2</c:v>
                </c:pt>
                <c:pt idx="10">
                  <c:v>1.6E-2</c:v>
                </c:pt>
                <c:pt idx="11">
                  <c:v>1.6E-2</c:v>
                </c:pt>
                <c:pt idx="12">
                  <c:v>1.4999999999999999E-2</c:v>
                </c:pt>
                <c:pt idx="13">
                  <c:v>1.2E-2</c:v>
                </c:pt>
                <c:pt idx="14">
                  <c:v>1.2999999999999999E-2</c:v>
                </c:pt>
                <c:pt idx="15">
                  <c:v>0.01</c:v>
                </c:pt>
                <c:pt idx="16">
                  <c:v>8.9999999999999993E-3</c:v>
                </c:pt>
                <c:pt idx="17">
                  <c:v>8.0000000000000002E-3</c:v>
                </c:pt>
                <c:pt idx="18">
                  <c:v>6.0000000000000001E-3</c:v>
                </c:pt>
                <c:pt idx="19">
                  <c:v>6.0000000000000001E-3</c:v>
                </c:pt>
                <c:pt idx="20">
                  <c:v>4.0000000000000001E-3</c:v>
                </c:pt>
                <c:pt idx="21">
                  <c:v>3.0000000000000001E-3</c:v>
                </c:pt>
                <c:pt idx="22">
                  <c:v>3.0000000000000001E-3</c:v>
                </c:pt>
                <c:pt idx="23">
                  <c:v>3.0000000000000001E-3</c:v>
                </c:pt>
                <c:pt idx="24">
                  <c:v>1E-3</c:v>
                </c:pt>
                <c:pt idx="25">
                  <c:v>7.0000000000000001E-3</c:v>
                </c:pt>
              </c:numCache>
            </c:numRef>
          </c:val>
          <c:extLst>
            <c:ext xmlns:c16="http://schemas.microsoft.com/office/drawing/2014/chart" uri="{C3380CC4-5D6E-409C-BE32-E72D297353CC}">
              <c16:uniqueId val="{00000000-9902-4C13-BBFD-115FFC9D7D74}"/>
            </c:ext>
          </c:extLst>
        </c:ser>
        <c:dLbls>
          <c:showLegendKey val="0"/>
          <c:showVal val="0"/>
          <c:showCatName val="0"/>
          <c:showSerName val="0"/>
          <c:showPercent val="0"/>
          <c:showBubbleSize val="0"/>
        </c:dLbls>
        <c:gapWidth val="16"/>
        <c:axId val="521292584"/>
        <c:axId val="521292192"/>
      </c:barChart>
      <c:catAx>
        <c:axId val="521292584"/>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pl-PL"/>
          </a:p>
        </c:txPr>
        <c:crossAx val="521292192"/>
        <c:crosses val="autoZero"/>
        <c:auto val="1"/>
        <c:lblAlgn val="ctr"/>
        <c:lblOffset val="100"/>
        <c:noMultiLvlLbl val="0"/>
      </c:catAx>
      <c:valAx>
        <c:axId val="521292192"/>
        <c:scaling>
          <c:orientation val="minMax"/>
        </c:scaling>
        <c:delete val="0"/>
        <c:axPos val="t"/>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one"/>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212925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'Pytanie nr 6'!$D$1448:$AE$1448</c:f>
              <c:strCache>
                <c:ptCount val="28"/>
                <c:pt idx="0">
                  <c:v>Brak miejsc pracy, brak inwestorów, bezrobocie, niskie wynagrodzenie</c:v>
                </c:pt>
                <c:pt idx="1">
                  <c:v>Niewykorzystany potencjał turystyczny, brak promocji</c:v>
                </c:pt>
                <c:pt idx="2">
                  <c:v>Niewystarczająca liczba miejsc rozrywki, spędzania wolnego czasu</c:v>
                </c:pt>
                <c:pt idx="3">
                  <c:v>Stan infrastruktury drogowej</c:v>
                </c:pt>
                <c:pt idx="4">
                  <c:v>Opieka medyczna, służba zdrowia - brak dostępu do specjalistów</c:v>
                </c:pt>
                <c:pt idx="5">
                  <c:v>Niedostateczna liczba połączeń komunikacyjnych, brak połączeń komunikacyjnych</c:v>
                </c:pt>
                <c:pt idx="6">
                  <c:v>Władze - niekompetencja, stagnacja, brak pomysłów, brak wsparcia mieszkańców, brak rozwoju</c:v>
                </c:pt>
                <c:pt idx="7">
                  <c:v>Bardzo mało ścieżek rowerowych</c:v>
                </c:pt>
                <c:pt idx="8">
                  <c:v>Newystarczajaca liczba wydarzeń kulturalnych, sportowych</c:v>
                </c:pt>
                <c:pt idx="9">
                  <c:v>Słaba oferta edukacyjna</c:v>
                </c:pt>
                <c:pt idx="10">
                  <c:v>Brak odpowiedniej infrastruktury sportowej</c:v>
                </c:pt>
                <c:pt idx="11">
                  <c:v>Czystość, zaniedbana okolica, dbałość o zieleń, ochrona środowiska</c:v>
                </c:pt>
                <c:pt idx="12">
                  <c:v>Brak zajęć dla dzieci i młodzieży</c:v>
                </c:pt>
                <c:pt idx="13">
                  <c:v>Brak kanalizacji, wodociągu, gazociągu, zła jakość wody</c:v>
                </c:pt>
                <c:pt idx="14">
                  <c:v>Bezpieczeństwo</c:v>
                </c:pt>
                <c:pt idx="15">
                  <c:v>Mieszkańcy</c:v>
                </c:pt>
                <c:pt idx="16">
                  <c:v>Zła jakość powietrza (w okresie zimowym)</c:v>
                </c:pt>
                <c:pt idx="17">
                  <c:v>Błędne decyzje i inwestycje, marnotrawienie środków publicznych</c:v>
                </c:pt>
                <c:pt idx="18">
                  <c:v>Brak mieszkań, brak miejsc do zamieszkania, brak warunków zabudowy</c:v>
                </c:pt>
                <c:pt idx="19">
                  <c:v>Stan techniczny chodnków, brak oświetlenia</c:v>
                </c:pt>
                <c:pt idx="20">
                  <c:v>Bieda, wysokie ceny</c:v>
                </c:pt>
                <c:pt idx="21">
                  <c:v>Internet</c:v>
                </c:pt>
                <c:pt idx="22">
                  <c:v>Brak żłobka</c:v>
                </c:pt>
                <c:pt idx="23">
                  <c:v>Położenie</c:v>
                </c:pt>
                <c:pt idx="24">
                  <c:v>Brak parkingów, niewystarczająca liczba miejsc parkingowych</c:v>
                </c:pt>
                <c:pt idx="25">
                  <c:v>Brak przedszkoli, brak miejsc w przedszkolach</c:v>
                </c:pt>
                <c:pt idx="26">
                  <c:v>Brak dostosowania budynków instutytucji do potrzeb osób niepełnosprawnych</c:v>
                </c:pt>
                <c:pt idx="27">
                  <c:v>Inne</c:v>
                </c:pt>
              </c:strCache>
            </c:strRef>
          </c:cat>
          <c:val>
            <c:numRef>
              <c:f>'Pytanie nr 6'!$D$1449:$AE$1449</c:f>
              <c:numCache>
                <c:formatCode>0.0%</c:formatCode>
                <c:ptCount val="28"/>
                <c:pt idx="0">
                  <c:v>0.24299999999999999</c:v>
                </c:pt>
                <c:pt idx="1">
                  <c:v>9.0999999999999998E-2</c:v>
                </c:pt>
                <c:pt idx="2">
                  <c:v>8.5999999999999993E-2</c:v>
                </c:pt>
                <c:pt idx="3">
                  <c:v>8.4000000000000005E-2</c:v>
                </c:pt>
                <c:pt idx="4">
                  <c:v>0.08</c:v>
                </c:pt>
                <c:pt idx="5">
                  <c:v>6.2E-2</c:v>
                </c:pt>
                <c:pt idx="6">
                  <c:v>6.0999999999999999E-2</c:v>
                </c:pt>
                <c:pt idx="7">
                  <c:v>0.04</c:v>
                </c:pt>
                <c:pt idx="8">
                  <c:v>3.5999999999999997E-2</c:v>
                </c:pt>
                <c:pt idx="9">
                  <c:v>2.5999999999999999E-2</c:v>
                </c:pt>
                <c:pt idx="10">
                  <c:v>2.5000000000000001E-2</c:v>
                </c:pt>
                <c:pt idx="11">
                  <c:v>2.5000000000000001E-2</c:v>
                </c:pt>
                <c:pt idx="12">
                  <c:v>2.4E-2</c:v>
                </c:pt>
                <c:pt idx="13">
                  <c:v>0.01</c:v>
                </c:pt>
                <c:pt idx="14">
                  <c:v>0.01</c:v>
                </c:pt>
                <c:pt idx="15">
                  <c:v>0.01</c:v>
                </c:pt>
                <c:pt idx="16">
                  <c:v>8.9999999999999993E-3</c:v>
                </c:pt>
                <c:pt idx="17">
                  <c:v>8.9999999999999993E-3</c:v>
                </c:pt>
                <c:pt idx="18">
                  <c:v>8.9999999999999993E-3</c:v>
                </c:pt>
                <c:pt idx="19">
                  <c:v>8.9999999999999993E-3</c:v>
                </c:pt>
                <c:pt idx="20">
                  <c:v>7.0000000000000001E-3</c:v>
                </c:pt>
                <c:pt idx="21">
                  <c:v>5.0000000000000001E-3</c:v>
                </c:pt>
                <c:pt idx="22">
                  <c:v>5.0000000000000001E-3</c:v>
                </c:pt>
                <c:pt idx="23">
                  <c:v>4.0000000000000001E-3</c:v>
                </c:pt>
                <c:pt idx="24">
                  <c:v>3.0000000000000001E-3</c:v>
                </c:pt>
                <c:pt idx="25">
                  <c:v>2E-3</c:v>
                </c:pt>
                <c:pt idx="26">
                  <c:v>2E-3</c:v>
                </c:pt>
                <c:pt idx="27">
                  <c:v>2.3E-2</c:v>
                </c:pt>
              </c:numCache>
            </c:numRef>
          </c:val>
          <c:extLst>
            <c:ext xmlns:c16="http://schemas.microsoft.com/office/drawing/2014/chart" uri="{C3380CC4-5D6E-409C-BE32-E72D297353CC}">
              <c16:uniqueId val="{00000000-E0D2-43A3-B437-A8D5743E74E9}"/>
            </c:ext>
          </c:extLst>
        </c:ser>
        <c:dLbls>
          <c:showLegendKey val="0"/>
          <c:showVal val="0"/>
          <c:showCatName val="0"/>
          <c:showSerName val="0"/>
          <c:showPercent val="0"/>
          <c:showBubbleSize val="0"/>
        </c:dLbls>
        <c:gapWidth val="12"/>
        <c:axId val="521292976"/>
        <c:axId val="521293368"/>
      </c:barChart>
      <c:catAx>
        <c:axId val="521292976"/>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pl-PL"/>
          </a:p>
        </c:txPr>
        <c:crossAx val="521293368"/>
        <c:crosses val="autoZero"/>
        <c:auto val="1"/>
        <c:lblAlgn val="ctr"/>
        <c:lblOffset val="100"/>
        <c:noMultiLvlLbl val="0"/>
      </c:catAx>
      <c:valAx>
        <c:axId val="521293368"/>
        <c:scaling>
          <c:orientation val="minMax"/>
        </c:scaling>
        <c:delete val="0"/>
        <c:axPos val="t"/>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one"/>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212929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55299467381677447"/>
          <c:y val="2.0541549953314659E-2"/>
          <c:w val="0.42440645612672839"/>
          <c:h val="0.95891690009337072"/>
        </c:manualLayout>
      </c:layout>
      <c:barChart>
        <c:barDir val="bar"/>
        <c:grouping val="clustered"/>
        <c:varyColors val="0"/>
        <c:ser>
          <c:idx val="0"/>
          <c:order val="0"/>
          <c:tx>
            <c:strRef>
              <c:f>'[ankieta_mazury_mieszkancy_2020-09-09 07_31_18.xlsx]Arkusz1'!$D$14</c:f>
              <c:strCache>
                <c:ptCount val="1"/>
                <c:pt idx="0">
                  <c:v>Kolumna2</c:v>
                </c:pt>
              </c:strCache>
            </c:strRef>
          </c:tx>
          <c:spPr>
            <a:solidFill>
              <a:schemeClr val="accent1"/>
            </a:solidFill>
            <a:ln>
              <a:noFill/>
            </a:ln>
            <a:effectLst/>
          </c:spPr>
          <c:invertIfNegative val="0"/>
          <c:cat>
            <c:strRef>
              <c:f>'[ankieta_mazury_mieszkancy_2020-09-09 07_31_18.xlsx]Arkusz1'!$C$15:$C$47</c:f>
              <c:strCache>
                <c:ptCount val="33"/>
                <c:pt idx="0">
                  <c:v>Inne</c:v>
                </c:pt>
                <c:pt idx="1">
                  <c:v>Aktywizacja ludności</c:v>
                </c:pt>
                <c:pt idx="2">
                  <c:v>Współpraca między powiatem a gminami, wspólne działanie</c:v>
                </c:pt>
                <c:pt idx="3">
                  <c:v>Dostosowania infrastruktury do potrzeb osób niepełnosprawnych</c:v>
                </c:pt>
                <c:pt idx="4">
                  <c:v>Działania dla seniorów </c:v>
                </c:pt>
                <c:pt idx="5">
                  <c:v>Rozwój, inwestycje</c:v>
                </c:pt>
                <c:pt idx="6">
                  <c:v>Tereny zielone i mała architektura</c:v>
                </c:pt>
                <c:pt idx="7">
                  <c:v>Poprawa jakości obsługi w Urzędach i innych placówkac</c:v>
                </c:pt>
                <c:pt idx="8">
                  <c:v>Budowa parkingów, zwiększenie liczby miejsc prakingowych</c:v>
                </c:pt>
                <c:pt idx="9">
                  <c:v>Inwestycje w zakresie OZE, fotowoltaiki</c:v>
                </c:pt>
                <c:pt idx="10">
                  <c:v>Dostęp do internetu</c:v>
                </c:pt>
                <c:pt idx="11">
                  <c:v>Dostępność przedszkoli</c:v>
                </c:pt>
                <c:pt idx="12">
                  <c:v>Dostępność żłobków</c:v>
                </c:pt>
                <c:pt idx="13">
                  <c:v>Place zabaw</c:v>
                </c:pt>
                <c:pt idx="14">
                  <c:v>Poprawa jakości powietrza w okresie zimowym</c:v>
                </c:pt>
                <c:pt idx="15">
                  <c:v>Poprawa bezpieczeństwa</c:v>
                </c:pt>
                <c:pt idx="16">
                  <c:v>Rozbudowa sieci kanalizacyjnej, wodnej, gazowej</c:v>
                </c:pt>
                <c:pt idx="17">
                  <c:v>Basen</c:v>
                </c:pt>
                <c:pt idx="18">
                  <c:v>Zajęcia dla dzieci i młodzieży</c:v>
                </c:pt>
                <c:pt idx="19">
                  <c:v>Promocja regionu</c:v>
                </c:pt>
                <c:pt idx="20">
                  <c:v>Nowe mieszkania, tańszcze mieszkania, więcej działek pod budowę</c:v>
                </c:pt>
                <c:pt idx="21">
                  <c:v>Edukacja - poprawa oferty edukacyjnej</c:v>
                </c:pt>
                <c:pt idx="22">
                  <c:v>Obiekty sportowe</c:v>
                </c:pt>
                <c:pt idx="23">
                  <c:v>Czystość i ekologia</c:v>
                </c:pt>
                <c:pt idx="24">
                  <c:v>Nowe wydarzenie kulturalne i sportowe</c:v>
                </c:pt>
                <c:pt idx="25">
                  <c:v>Komunikacja i transport publiczny</c:v>
                </c:pt>
                <c:pt idx="26">
                  <c:v>Baza turystyczna (noclegowa, gastronimiczna, informacja turystyczna)</c:v>
                </c:pt>
                <c:pt idx="27">
                  <c:v>Budowa ścieżek rowerowych</c:v>
                </c:pt>
                <c:pt idx="28">
                  <c:v>Tereny rekreacyjne i miejsca spędzania wolnego czasu</c:v>
                </c:pt>
                <c:pt idx="29">
                  <c:v>Atrakcje turystyczne, oferta turystyczna</c:v>
                </c:pt>
                <c:pt idx="30">
                  <c:v>Poprawa jakości służby zdrowia </c:v>
                </c:pt>
                <c:pt idx="31">
                  <c:v>Poprawa rynku pracy</c:v>
                </c:pt>
                <c:pt idx="32">
                  <c:v>Poprawa stanu dróg i oświetlenia, remont chodników, budowa obwodnicy</c:v>
                </c:pt>
              </c:strCache>
            </c:strRef>
          </c:cat>
          <c:val>
            <c:numRef>
              <c:f>'[ankieta_mazury_mieszkancy_2020-09-09 07_31_18.xlsx]Arkusz1'!$D$15:$D$47</c:f>
              <c:numCache>
                <c:formatCode>0.0%</c:formatCode>
                <c:ptCount val="33"/>
                <c:pt idx="0">
                  <c:v>1.7000000000000001E-2</c:v>
                </c:pt>
                <c:pt idx="1">
                  <c:v>2E-3</c:v>
                </c:pt>
                <c:pt idx="2">
                  <c:v>2E-3</c:v>
                </c:pt>
                <c:pt idx="3">
                  <c:v>4.0000000000000001E-3</c:v>
                </c:pt>
                <c:pt idx="4">
                  <c:v>4.0000000000000001E-3</c:v>
                </c:pt>
                <c:pt idx="5">
                  <c:v>4.0000000000000001E-3</c:v>
                </c:pt>
                <c:pt idx="6">
                  <c:v>5.0000000000000001E-3</c:v>
                </c:pt>
                <c:pt idx="7">
                  <c:v>5.0000000000000001E-3</c:v>
                </c:pt>
                <c:pt idx="8">
                  <c:v>6.0000000000000001E-3</c:v>
                </c:pt>
                <c:pt idx="9">
                  <c:v>6.0000000000000001E-3</c:v>
                </c:pt>
                <c:pt idx="10">
                  <c:v>7.0000000000000001E-3</c:v>
                </c:pt>
                <c:pt idx="11">
                  <c:v>7.0000000000000001E-3</c:v>
                </c:pt>
                <c:pt idx="12">
                  <c:v>8.0000000000000002E-3</c:v>
                </c:pt>
                <c:pt idx="13">
                  <c:v>8.9999999999999993E-3</c:v>
                </c:pt>
                <c:pt idx="14">
                  <c:v>8.9999999999999993E-3</c:v>
                </c:pt>
                <c:pt idx="15">
                  <c:v>0.01</c:v>
                </c:pt>
                <c:pt idx="16">
                  <c:v>1.0999999999999999E-2</c:v>
                </c:pt>
                <c:pt idx="17">
                  <c:v>1.4999999999999999E-2</c:v>
                </c:pt>
                <c:pt idx="18">
                  <c:v>1.4999999999999999E-2</c:v>
                </c:pt>
                <c:pt idx="19">
                  <c:v>1.4999999999999999E-2</c:v>
                </c:pt>
                <c:pt idx="20">
                  <c:v>1.6E-2</c:v>
                </c:pt>
                <c:pt idx="21">
                  <c:v>2.5999999999999999E-2</c:v>
                </c:pt>
                <c:pt idx="22">
                  <c:v>2.7E-2</c:v>
                </c:pt>
                <c:pt idx="23">
                  <c:v>0.03</c:v>
                </c:pt>
                <c:pt idx="24">
                  <c:v>3.2000000000000001E-2</c:v>
                </c:pt>
                <c:pt idx="25">
                  <c:v>5.5E-2</c:v>
                </c:pt>
                <c:pt idx="26">
                  <c:v>6.7000000000000004E-2</c:v>
                </c:pt>
                <c:pt idx="27">
                  <c:v>7.1000000000000008E-2</c:v>
                </c:pt>
                <c:pt idx="28">
                  <c:v>7.6999999999999999E-2</c:v>
                </c:pt>
                <c:pt idx="29">
                  <c:v>7.6999999999999999E-2</c:v>
                </c:pt>
                <c:pt idx="30">
                  <c:v>8.4000000000000005E-2</c:v>
                </c:pt>
                <c:pt idx="31">
                  <c:v>0.13800000000000001</c:v>
                </c:pt>
                <c:pt idx="32">
                  <c:v>0.13900000000000001</c:v>
                </c:pt>
              </c:numCache>
            </c:numRef>
          </c:val>
          <c:extLst>
            <c:ext xmlns:c16="http://schemas.microsoft.com/office/drawing/2014/chart" uri="{C3380CC4-5D6E-409C-BE32-E72D297353CC}">
              <c16:uniqueId val="{00000000-0588-4D6D-8B70-49B530C4F92E}"/>
            </c:ext>
          </c:extLst>
        </c:ser>
        <c:dLbls>
          <c:showLegendKey val="0"/>
          <c:showVal val="0"/>
          <c:showCatName val="0"/>
          <c:showSerName val="0"/>
          <c:showPercent val="0"/>
          <c:showBubbleSize val="0"/>
        </c:dLbls>
        <c:gapWidth val="24"/>
        <c:axId val="521296112"/>
        <c:axId val="521293760"/>
      </c:barChart>
      <c:catAx>
        <c:axId val="52129611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pl-PL"/>
          </a:p>
        </c:txPr>
        <c:crossAx val="521293760"/>
        <c:crosses val="autoZero"/>
        <c:auto val="1"/>
        <c:lblAlgn val="ctr"/>
        <c:lblOffset val="100"/>
        <c:noMultiLvlLbl val="0"/>
      </c:catAx>
      <c:valAx>
        <c:axId val="521293760"/>
        <c:scaling>
          <c:orientation val="minMax"/>
        </c:scaling>
        <c:delete val="1"/>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crossAx val="5212961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'8.'!$O$29</c:f>
              <c:strCache>
                <c:ptCount val="1"/>
                <c:pt idx="0">
                  <c:v>Razem</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'8.'!$N$30:$N$35</c:f>
              <c:strCache>
                <c:ptCount val="6"/>
                <c:pt idx="0">
                  <c:v>Możliwość znalezienia „dobrej” pracy</c:v>
                </c:pt>
                <c:pt idx="1">
                  <c:v>Wysokość zarobków</c:v>
                </c:pt>
                <c:pt idx="2">
                  <c:v>Możliwość znalezienia zatrudnienia</c:v>
                </c:pt>
                <c:pt idx="3">
                  <c:v>Możliwość przekwalifikowania się</c:v>
                </c:pt>
                <c:pt idx="4">
                  <c:v>Możliwość znalezienia pracowników</c:v>
                </c:pt>
                <c:pt idx="5">
                  <c:v>Możliwość założenia własnej działalności gospodarczej</c:v>
                </c:pt>
              </c:strCache>
            </c:strRef>
          </c:cat>
          <c:val>
            <c:numRef>
              <c:f>'8.'!$O$30:$O$35</c:f>
              <c:numCache>
                <c:formatCode>#,##0.00</c:formatCode>
                <c:ptCount val="6"/>
                <c:pt idx="0">
                  <c:v>1.8905344494526723</c:v>
                </c:pt>
                <c:pt idx="1">
                  <c:v>1.9304571796522858</c:v>
                </c:pt>
                <c:pt idx="2">
                  <c:v>2.2665808113329042</c:v>
                </c:pt>
                <c:pt idx="3">
                  <c:v>2.3741146168705729</c:v>
                </c:pt>
                <c:pt idx="4">
                  <c:v>2.5396007726980039</c:v>
                </c:pt>
                <c:pt idx="5">
                  <c:v>2.8570508692852545</c:v>
                </c:pt>
              </c:numCache>
            </c:numRef>
          </c:val>
          <c:extLst>
            <c:ext xmlns:c16="http://schemas.microsoft.com/office/drawing/2014/chart" uri="{C3380CC4-5D6E-409C-BE32-E72D297353CC}">
              <c16:uniqueId val="{00000000-24AC-473A-AF48-A1D81906DCA7}"/>
            </c:ext>
          </c:extLst>
        </c:ser>
        <c:ser>
          <c:idx val="1"/>
          <c:order val="1"/>
          <c:tx>
            <c:strRef>
              <c:f>'8.'!$P$29</c:f>
              <c:strCache>
                <c:ptCount val="1"/>
                <c:pt idx="0">
                  <c:v>Powiat Szczycieński</c:v>
                </c:pt>
              </c:strCache>
            </c:strRef>
          </c:tx>
          <c:spPr>
            <a:solidFill>
              <a:srgbClr val="92D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'8.'!$N$30:$N$35</c:f>
              <c:strCache>
                <c:ptCount val="6"/>
                <c:pt idx="0">
                  <c:v>Możliwość znalezienia „dobrej” pracy</c:v>
                </c:pt>
                <c:pt idx="1">
                  <c:v>Wysokość zarobków</c:v>
                </c:pt>
                <c:pt idx="2">
                  <c:v>Możliwość znalezienia zatrudnienia</c:v>
                </c:pt>
                <c:pt idx="3">
                  <c:v>Możliwość przekwalifikowania się</c:v>
                </c:pt>
                <c:pt idx="4">
                  <c:v>Możliwość znalezienia pracowników</c:v>
                </c:pt>
                <c:pt idx="5">
                  <c:v>Możliwość założenia własnej działalności gospodarczej</c:v>
                </c:pt>
              </c:strCache>
            </c:strRef>
          </c:cat>
          <c:val>
            <c:numRef>
              <c:f>'8.'!$P$30:$P$35</c:f>
              <c:numCache>
                <c:formatCode>#,##0.00</c:formatCode>
                <c:ptCount val="6"/>
                <c:pt idx="0">
                  <c:v>1.8720930232558139</c:v>
                </c:pt>
                <c:pt idx="1">
                  <c:v>1.7441860465116279</c:v>
                </c:pt>
                <c:pt idx="2">
                  <c:v>2.0348837209302326</c:v>
                </c:pt>
                <c:pt idx="3">
                  <c:v>2.3720930232558142</c:v>
                </c:pt>
                <c:pt idx="4">
                  <c:v>2.36046511627907</c:v>
                </c:pt>
                <c:pt idx="5">
                  <c:v>2.8255813953488373</c:v>
                </c:pt>
              </c:numCache>
            </c:numRef>
          </c:val>
          <c:extLst>
            <c:ext xmlns:c16="http://schemas.microsoft.com/office/drawing/2014/chart" uri="{C3380CC4-5D6E-409C-BE32-E72D297353CC}">
              <c16:uniqueId val="{00000001-24AC-473A-AF48-A1D81906DCA7}"/>
            </c:ext>
          </c:extLst>
        </c:ser>
        <c:ser>
          <c:idx val="2"/>
          <c:order val="2"/>
          <c:tx>
            <c:strRef>
              <c:f>'8.'!$Q$29</c:f>
              <c:strCache>
                <c:ptCount val="1"/>
                <c:pt idx="0">
                  <c:v>Powiat Nidzicki</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'8.'!$N$30:$N$35</c:f>
              <c:strCache>
                <c:ptCount val="6"/>
                <c:pt idx="0">
                  <c:v>Możliwość znalezienia „dobrej” pracy</c:v>
                </c:pt>
                <c:pt idx="1">
                  <c:v>Wysokość zarobków</c:v>
                </c:pt>
                <c:pt idx="2">
                  <c:v>Możliwość znalezienia zatrudnienia</c:v>
                </c:pt>
                <c:pt idx="3">
                  <c:v>Możliwość przekwalifikowania się</c:v>
                </c:pt>
                <c:pt idx="4">
                  <c:v>Możliwość znalezienia pracowników</c:v>
                </c:pt>
                <c:pt idx="5">
                  <c:v>Możliwość założenia własnej działalności gospodarczej</c:v>
                </c:pt>
              </c:strCache>
            </c:strRef>
          </c:cat>
          <c:val>
            <c:numRef>
              <c:f>'8.'!$Q$30:$Q$35</c:f>
              <c:numCache>
                <c:formatCode>#,##0.00</c:formatCode>
                <c:ptCount val="6"/>
                <c:pt idx="0">
                  <c:v>1.896551724137931</c:v>
                </c:pt>
                <c:pt idx="1">
                  <c:v>1.9605911330049262</c:v>
                </c:pt>
                <c:pt idx="2">
                  <c:v>2.3694581280788176</c:v>
                </c:pt>
                <c:pt idx="3">
                  <c:v>2.4088669950738915</c:v>
                </c:pt>
                <c:pt idx="4">
                  <c:v>2.4532019704433496</c:v>
                </c:pt>
                <c:pt idx="5">
                  <c:v>2.9507389162561575</c:v>
                </c:pt>
              </c:numCache>
            </c:numRef>
          </c:val>
          <c:extLst>
            <c:ext xmlns:c16="http://schemas.microsoft.com/office/drawing/2014/chart" uri="{C3380CC4-5D6E-409C-BE32-E72D297353CC}">
              <c16:uniqueId val="{00000002-24AC-473A-AF48-A1D81906DCA7}"/>
            </c:ext>
          </c:extLst>
        </c:ser>
        <c:ser>
          <c:idx val="3"/>
          <c:order val="3"/>
          <c:tx>
            <c:strRef>
              <c:f>'8.'!$R$29</c:f>
              <c:strCache>
                <c:ptCount val="1"/>
                <c:pt idx="0">
                  <c:v>Powiat Piski</c:v>
                </c:pt>
              </c:strCache>
            </c:strRef>
          </c:tx>
          <c:spPr>
            <a:solidFill>
              <a:srgbClr val="C7A2E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'8.'!$N$30:$N$35</c:f>
              <c:strCache>
                <c:ptCount val="6"/>
                <c:pt idx="0">
                  <c:v>Możliwość znalezienia „dobrej” pracy</c:v>
                </c:pt>
                <c:pt idx="1">
                  <c:v>Wysokość zarobków</c:v>
                </c:pt>
                <c:pt idx="2">
                  <c:v>Możliwość znalezienia zatrudnienia</c:v>
                </c:pt>
                <c:pt idx="3">
                  <c:v>Możliwość przekwalifikowania się</c:v>
                </c:pt>
                <c:pt idx="4">
                  <c:v>Możliwość znalezienia pracowników</c:v>
                </c:pt>
                <c:pt idx="5">
                  <c:v>Możliwość założenia własnej działalności gospodarczej</c:v>
                </c:pt>
              </c:strCache>
            </c:strRef>
          </c:cat>
          <c:val>
            <c:numRef>
              <c:f>'8.'!$R$30:$R$35</c:f>
              <c:numCache>
                <c:formatCode>#,##0.00</c:formatCode>
                <c:ptCount val="6"/>
                <c:pt idx="0">
                  <c:v>1.9008264462809918</c:v>
                </c:pt>
                <c:pt idx="1">
                  <c:v>1.8987603305785123</c:v>
                </c:pt>
                <c:pt idx="2">
                  <c:v>2.1384297520661155</c:v>
                </c:pt>
                <c:pt idx="3">
                  <c:v>2.2231404958677685</c:v>
                </c:pt>
                <c:pt idx="4">
                  <c:v>2.46900826446281</c:v>
                </c:pt>
                <c:pt idx="5">
                  <c:v>2.8367768595041323</c:v>
                </c:pt>
              </c:numCache>
            </c:numRef>
          </c:val>
          <c:extLst>
            <c:ext xmlns:c16="http://schemas.microsoft.com/office/drawing/2014/chart" uri="{C3380CC4-5D6E-409C-BE32-E72D297353CC}">
              <c16:uniqueId val="{00000003-24AC-473A-AF48-A1D81906DCA7}"/>
            </c:ext>
          </c:extLst>
        </c:ser>
        <c:ser>
          <c:idx val="4"/>
          <c:order val="4"/>
          <c:tx>
            <c:strRef>
              <c:f>'8.'!$S$29</c:f>
              <c:strCache>
                <c:ptCount val="1"/>
                <c:pt idx="0">
                  <c:v>Powiat Działdowski</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'8.'!$N$30:$N$35</c:f>
              <c:strCache>
                <c:ptCount val="6"/>
                <c:pt idx="0">
                  <c:v>Możliwość znalezienia „dobrej” pracy</c:v>
                </c:pt>
                <c:pt idx="1">
                  <c:v>Wysokość zarobków</c:v>
                </c:pt>
                <c:pt idx="2">
                  <c:v>Możliwość znalezienia zatrudnienia</c:v>
                </c:pt>
                <c:pt idx="3">
                  <c:v>Możliwość przekwalifikowania się</c:v>
                </c:pt>
                <c:pt idx="4">
                  <c:v>Możliwość znalezienia pracowników</c:v>
                </c:pt>
                <c:pt idx="5">
                  <c:v>Możliwość założenia własnej działalności gospodarczej</c:v>
                </c:pt>
              </c:strCache>
            </c:strRef>
          </c:cat>
          <c:val>
            <c:numRef>
              <c:f>'8.'!$S$30:$S$35</c:f>
              <c:numCache>
                <c:formatCode>#,##0.00</c:formatCode>
                <c:ptCount val="6"/>
                <c:pt idx="0">
                  <c:v>1.8844672657252888</c:v>
                </c:pt>
                <c:pt idx="1">
                  <c:v>1.9627727856225932</c:v>
                </c:pt>
                <c:pt idx="2">
                  <c:v>2.3453145057766367</c:v>
                </c:pt>
                <c:pt idx="3">
                  <c:v>2.4595635430038509</c:v>
                </c:pt>
                <c:pt idx="4">
                  <c:v>2.6264441591784338</c:v>
                </c:pt>
                <c:pt idx="5">
                  <c:v>2.8510911424903722</c:v>
                </c:pt>
              </c:numCache>
            </c:numRef>
          </c:val>
          <c:extLst>
            <c:ext xmlns:c16="http://schemas.microsoft.com/office/drawing/2014/chart" uri="{C3380CC4-5D6E-409C-BE32-E72D297353CC}">
              <c16:uniqueId val="{00000004-24AC-473A-AF48-A1D81906DCA7}"/>
            </c:ext>
          </c:extLst>
        </c:ser>
        <c:dLbls>
          <c:dLblPos val="inEnd"/>
          <c:showLegendKey val="0"/>
          <c:showVal val="1"/>
          <c:showCatName val="0"/>
          <c:showSerName val="0"/>
          <c:showPercent val="0"/>
          <c:showBubbleSize val="0"/>
        </c:dLbls>
        <c:gapWidth val="182"/>
        <c:axId val="521290624"/>
        <c:axId val="521296504"/>
      </c:barChart>
      <c:catAx>
        <c:axId val="52129062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21296504"/>
        <c:crosses val="autoZero"/>
        <c:auto val="1"/>
        <c:lblAlgn val="ctr"/>
        <c:lblOffset val="100"/>
        <c:noMultiLvlLbl val="0"/>
      </c:catAx>
      <c:valAx>
        <c:axId val="521296504"/>
        <c:scaling>
          <c:orientation val="minMax"/>
        </c:scaling>
        <c:delete val="1"/>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crossAx val="5212906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TABLICA!$B$34</c:f>
              <c:strCache>
                <c:ptCount val="1"/>
                <c:pt idx="0">
                  <c:v>Powiat działdowski</c:v>
                </c:pt>
              </c:strCache>
            </c:strRef>
          </c:tx>
          <c:spPr>
            <a:ln w="28575" cap="rnd">
              <a:solidFill>
                <a:schemeClr val="accent1"/>
              </a:solidFill>
              <a:round/>
            </a:ln>
            <a:effectLst/>
          </c:spPr>
          <c:marker>
            <c:symbol val="none"/>
          </c:marker>
          <c:cat>
            <c:strRef>
              <c:f>TABLICA!$C$33:$L$33</c:f>
              <c:strCache>
                <c:ptCount val="10"/>
                <c:pt idx="0">
                  <c:v>2010</c:v>
                </c:pt>
                <c:pt idx="1">
                  <c:v>2011</c:v>
                </c:pt>
                <c:pt idx="2">
                  <c:v>2012</c:v>
                </c:pt>
                <c:pt idx="3">
                  <c:v>2013</c:v>
                </c:pt>
                <c:pt idx="4">
                  <c:v>2014</c:v>
                </c:pt>
                <c:pt idx="5">
                  <c:v>2015</c:v>
                </c:pt>
                <c:pt idx="6">
                  <c:v>2016</c:v>
                </c:pt>
                <c:pt idx="7">
                  <c:v>2017</c:v>
                </c:pt>
                <c:pt idx="8">
                  <c:v>2018</c:v>
                </c:pt>
                <c:pt idx="9">
                  <c:v>2019</c:v>
                </c:pt>
              </c:strCache>
            </c:strRef>
          </c:cat>
          <c:val>
            <c:numRef>
              <c:f>TABLICA!$C$34:$L$34</c:f>
              <c:numCache>
                <c:formatCode>#,##0</c:formatCode>
                <c:ptCount val="10"/>
                <c:pt idx="0">
                  <c:v>66868</c:v>
                </c:pt>
                <c:pt idx="1">
                  <c:v>66736</c:v>
                </c:pt>
                <c:pt idx="2">
                  <c:v>66712</c:v>
                </c:pt>
                <c:pt idx="3">
                  <c:v>66485</c:v>
                </c:pt>
                <c:pt idx="4">
                  <c:v>66286</c:v>
                </c:pt>
                <c:pt idx="5">
                  <c:v>66113</c:v>
                </c:pt>
                <c:pt idx="6">
                  <c:v>66011</c:v>
                </c:pt>
                <c:pt idx="7">
                  <c:v>65772</c:v>
                </c:pt>
                <c:pt idx="8">
                  <c:v>65442</c:v>
                </c:pt>
                <c:pt idx="9">
                  <c:v>65139</c:v>
                </c:pt>
              </c:numCache>
            </c:numRef>
          </c:val>
          <c:smooth val="0"/>
          <c:extLst>
            <c:ext xmlns:c16="http://schemas.microsoft.com/office/drawing/2014/chart" uri="{C3380CC4-5D6E-409C-BE32-E72D297353CC}">
              <c16:uniqueId val="{00000000-D686-4C0A-8368-66C199305F67}"/>
            </c:ext>
          </c:extLst>
        </c:ser>
        <c:ser>
          <c:idx val="1"/>
          <c:order val="1"/>
          <c:tx>
            <c:strRef>
              <c:f>TABLICA!$B$35</c:f>
              <c:strCache>
                <c:ptCount val="1"/>
                <c:pt idx="0">
                  <c:v>Powiat nidzicki</c:v>
                </c:pt>
              </c:strCache>
            </c:strRef>
          </c:tx>
          <c:spPr>
            <a:ln w="28575" cap="rnd">
              <a:solidFill>
                <a:schemeClr val="accent2"/>
              </a:solidFill>
              <a:round/>
            </a:ln>
            <a:effectLst/>
          </c:spPr>
          <c:marker>
            <c:symbol val="none"/>
          </c:marker>
          <c:cat>
            <c:strRef>
              <c:f>TABLICA!$C$33:$L$33</c:f>
              <c:strCache>
                <c:ptCount val="10"/>
                <c:pt idx="0">
                  <c:v>2010</c:v>
                </c:pt>
                <c:pt idx="1">
                  <c:v>2011</c:v>
                </c:pt>
                <c:pt idx="2">
                  <c:v>2012</c:v>
                </c:pt>
                <c:pt idx="3">
                  <c:v>2013</c:v>
                </c:pt>
                <c:pt idx="4">
                  <c:v>2014</c:v>
                </c:pt>
                <c:pt idx="5">
                  <c:v>2015</c:v>
                </c:pt>
                <c:pt idx="6">
                  <c:v>2016</c:v>
                </c:pt>
                <c:pt idx="7">
                  <c:v>2017</c:v>
                </c:pt>
                <c:pt idx="8">
                  <c:v>2018</c:v>
                </c:pt>
                <c:pt idx="9">
                  <c:v>2019</c:v>
                </c:pt>
              </c:strCache>
            </c:strRef>
          </c:cat>
          <c:val>
            <c:numRef>
              <c:f>TABLICA!$C$35:$L$35</c:f>
              <c:numCache>
                <c:formatCode>#,##0</c:formatCode>
                <c:ptCount val="10"/>
                <c:pt idx="0">
                  <c:v>34404</c:v>
                </c:pt>
                <c:pt idx="1">
                  <c:v>34271</c:v>
                </c:pt>
                <c:pt idx="2">
                  <c:v>34133</c:v>
                </c:pt>
                <c:pt idx="3">
                  <c:v>33903</c:v>
                </c:pt>
                <c:pt idx="4">
                  <c:v>33859</c:v>
                </c:pt>
                <c:pt idx="5">
                  <c:v>33658</c:v>
                </c:pt>
                <c:pt idx="6">
                  <c:v>33432</c:v>
                </c:pt>
                <c:pt idx="7">
                  <c:v>33239</c:v>
                </c:pt>
                <c:pt idx="8">
                  <c:v>33068</c:v>
                </c:pt>
                <c:pt idx="9">
                  <c:v>32857</c:v>
                </c:pt>
              </c:numCache>
            </c:numRef>
          </c:val>
          <c:smooth val="0"/>
          <c:extLst>
            <c:ext xmlns:c16="http://schemas.microsoft.com/office/drawing/2014/chart" uri="{C3380CC4-5D6E-409C-BE32-E72D297353CC}">
              <c16:uniqueId val="{00000001-D686-4C0A-8368-66C199305F67}"/>
            </c:ext>
          </c:extLst>
        </c:ser>
        <c:ser>
          <c:idx val="2"/>
          <c:order val="2"/>
          <c:tx>
            <c:strRef>
              <c:f>TABLICA!$B$36</c:f>
              <c:strCache>
                <c:ptCount val="1"/>
                <c:pt idx="0">
                  <c:v>Powiat piski</c:v>
                </c:pt>
              </c:strCache>
            </c:strRef>
          </c:tx>
          <c:spPr>
            <a:ln w="28575" cap="rnd">
              <a:solidFill>
                <a:schemeClr val="accent6"/>
              </a:solidFill>
              <a:round/>
            </a:ln>
            <a:effectLst/>
          </c:spPr>
          <c:marker>
            <c:symbol val="none"/>
          </c:marker>
          <c:cat>
            <c:strRef>
              <c:f>TABLICA!$C$33:$L$33</c:f>
              <c:strCache>
                <c:ptCount val="10"/>
                <c:pt idx="0">
                  <c:v>2010</c:v>
                </c:pt>
                <c:pt idx="1">
                  <c:v>2011</c:v>
                </c:pt>
                <c:pt idx="2">
                  <c:v>2012</c:v>
                </c:pt>
                <c:pt idx="3">
                  <c:v>2013</c:v>
                </c:pt>
                <c:pt idx="4">
                  <c:v>2014</c:v>
                </c:pt>
                <c:pt idx="5">
                  <c:v>2015</c:v>
                </c:pt>
                <c:pt idx="6">
                  <c:v>2016</c:v>
                </c:pt>
                <c:pt idx="7">
                  <c:v>2017</c:v>
                </c:pt>
                <c:pt idx="8">
                  <c:v>2018</c:v>
                </c:pt>
                <c:pt idx="9">
                  <c:v>2019</c:v>
                </c:pt>
              </c:strCache>
            </c:strRef>
          </c:cat>
          <c:val>
            <c:numRef>
              <c:f>TABLICA!$C$36:$L$36</c:f>
              <c:numCache>
                <c:formatCode>#,##0</c:formatCode>
                <c:ptCount val="10"/>
                <c:pt idx="0">
                  <c:v>58550</c:v>
                </c:pt>
                <c:pt idx="1">
                  <c:v>58354</c:v>
                </c:pt>
                <c:pt idx="2">
                  <c:v>58087</c:v>
                </c:pt>
                <c:pt idx="3">
                  <c:v>57819</c:v>
                </c:pt>
                <c:pt idx="4">
                  <c:v>57771</c:v>
                </c:pt>
                <c:pt idx="5">
                  <c:v>57570</c:v>
                </c:pt>
                <c:pt idx="6">
                  <c:v>57295</c:v>
                </c:pt>
                <c:pt idx="7">
                  <c:v>56933</c:v>
                </c:pt>
                <c:pt idx="8">
                  <c:v>56570</c:v>
                </c:pt>
                <c:pt idx="9">
                  <c:v>56135</c:v>
                </c:pt>
              </c:numCache>
            </c:numRef>
          </c:val>
          <c:smooth val="0"/>
          <c:extLst>
            <c:ext xmlns:c16="http://schemas.microsoft.com/office/drawing/2014/chart" uri="{C3380CC4-5D6E-409C-BE32-E72D297353CC}">
              <c16:uniqueId val="{00000002-D686-4C0A-8368-66C199305F67}"/>
            </c:ext>
          </c:extLst>
        </c:ser>
        <c:ser>
          <c:idx val="3"/>
          <c:order val="3"/>
          <c:tx>
            <c:strRef>
              <c:f>TABLICA!$B$37</c:f>
              <c:strCache>
                <c:ptCount val="1"/>
                <c:pt idx="0">
                  <c:v>Powiat szczycieński</c:v>
                </c:pt>
              </c:strCache>
            </c:strRef>
          </c:tx>
          <c:spPr>
            <a:ln w="28575" cap="rnd">
              <a:solidFill>
                <a:schemeClr val="accent4"/>
              </a:solidFill>
              <a:round/>
            </a:ln>
            <a:effectLst/>
          </c:spPr>
          <c:marker>
            <c:symbol val="none"/>
          </c:marker>
          <c:cat>
            <c:strRef>
              <c:f>TABLICA!$C$33:$L$33</c:f>
              <c:strCache>
                <c:ptCount val="10"/>
                <c:pt idx="0">
                  <c:v>2010</c:v>
                </c:pt>
                <c:pt idx="1">
                  <c:v>2011</c:v>
                </c:pt>
                <c:pt idx="2">
                  <c:v>2012</c:v>
                </c:pt>
                <c:pt idx="3">
                  <c:v>2013</c:v>
                </c:pt>
                <c:pt idx="4">
                  <c:v>2014</c:v>
                </c:pt>
                <c:pt idx="5">
                  <c:v>2015</c:v>
                </c:pt>
                <c:pt idx="6">
                  <c:v>2016</c:v>
                </c:pt>
                <c:pt idx="7">
                  <c:v>2017</c:v>
                </c:pt>
                <c:pt idx="8">
                  <c:v>2018</c:v>
                </c:pt>
                <c:pt idx="9">
                  <c:v>2019</c:v>
                </c:pt>
              </c:strCache>
            </c:strRef>
          </c:cat>
          <c:val>
            <c:numRef>
              <c:f>TABLICA!$C$37:$L$37</c:f>
              <c:numCache>
                <c:formatCode>#,##0</c:formatCode>
                <c:ptCount val="10"/>
                <c:pt idx="0">
                  <c:v>71410</c:v>
                </c:pt>
                <c:pt idx="1">
                  <c:v>71439</c:v>
                </c:pt>
                <c:pt idx="2">
                  <c:v>71309</c:v>
                </c:pt>
                <c:pt idx="3">
                  <c:v>71027</c:v>
                </c:pt>
                <c:pt idx="4">
                  <c:v>70891</c:v>
                </c:pt>
                <c:pt idx="5">
                  <c:v>70570</c:v>
                </c:pt>
                <c:pt idx="6">
                  <c:v>70466</c:v>
                </c:pt>
                <c:pt idx="7">
                  <c:v>70153</c:v>
                </c:pt>
                <c:pt idx="8">
                  <c:v>69885</c:v>
                </c:pt>
                <c:pt idx="9">
                  <c:v>69376</c:v>
                </c:pt>
              </c:numCache>
            </c:numRef>
          </c:val>
          <c:smooth val="0"/>
          <c:extLst>
            <c:ext xmlns:c16="http://schemas.microsoft.com/office/drawing/2014/chart" uri="{C3380CC4-5D6E-409C-BE32-E72D297353CC}">
              <c16:uniqueId val="{00000003-D686-4C0A-8368-66C199305F67}"/>
            </c:ext>
          </c:extLst>
        </c:ser>
        <c:ser>
          <c:idx val="4"/>
          <c:order val="4"/>
          <c:tx>
            <c:strRef>
              <c:f>TABLICA!$B$38</c:f>
              <c:strCache>
                <c:ptCount val="1"/>
                <c:pt idx="0">
                  <c:v>Południowe Mazury</c:v>
                </c:pt>
              </c:strCache>
            </c:strRef>
          </c:tx>
          <c:spPr>
            <a:ln w="28575" cap="rnd">
              <a:solidFill>
                <a:schemeClr val="tx1">
                  <a:lumMod val="75000"/>
                  <a:lumOff val="25000"/>
                </a:schemeClr>
              </a:solidFill>
              <a:round/>
            </a:ln>
            <a:effectLst/>
          </c:spPr>
          <c:marker>
            <c:symbol val="none"/>
          </c:marker>
          <c:cat>
            <c:strRef>
              <c:f>TABLICA!$C$33:$L$33</c:f>
              <c:strCache>
                <c:ptCount val="10"/>
                <c:pt idx="0">
                  <c:v>2010</c:v>
                </c:pt>
                <c:pt idx="1">
                  <c:v>2011</c:v>
                </c:pt>
                <c:pt idx="2">
                  <c:v>2012</c:v>
                </c:pt>
                <c:pt idx="3">
                  <c:v>2013</c:v>
                </c:pt>
                <c:pt idx="4">
                  <c:v>2014</c:v>
                </c:pt>
                <c:pt idx="5">
                  <c:v>2015</c:v>
                </c:pt>
                <c:pt idx="6">
                  <c:v>2016</c:v>
                </c:pt>
                <c:pt idx="7">
                  <c:v>2017</c:v>
                </c:pt>
                <c:pt idx="8">
                  <c:v>2018</c:v>
                </c:pt>
                <c:pt idx="9">
                  <c:v>2019</c:v>
                </c:pt>
              </c:strCache>
            </c:strRef>
          </c:cat>
          <c:val>
            <c:numRef>
              <c:f>TABLICA!$C$38:$L$38</c:f>
              <c:numCache>
                <c:formatCode>#,##0</c:formatCode>
                <c:ptCount val="10"/>
                <c:pt idx="0">
                  <c:v>231232</c:v>
                </c:pt>
                <c:pt idx="1">
                  <c:v>230800</c:v>
                </c:pt>
                <c:pt idx="2">
                  <c:v>230241</c:v>
                </c:pt>
                <c:pt idx="3">
                  <c:v>229234</c:v>
                </c:pt>
                <c:pt idx="4">
                  <c:v>228807</c:v>
                </c:pt>
                <c:pt idx="5">
                  <c:v>227911</c:v>
                </c:pt>
                <c:pt idx="6">
                  <c:v>227204</c:v>
                </c:pt>
                <c:pt idx="7">
                  <c:v>226097</c:v>
                </c:pt>
                <c:pt idx="8">
                  <c:v>224965</c:v>
                </c:pt>
                <c:pt idx="9">
                  <c:v>223507</c:v>
                </c:pt>
              </c:numCache>
            </c:numRef>
          </c:val>
          <c:smooth val="0"/>
          <c:extLst>
            <c:ext xmlns:c16="http://schemas.microsoft.com/office/drawing/2014/chart" uri="{C3380CC4-5D6E-409C-BE32-E72D297353CC}">
              <c16:uniqueId val="{00000004-D686-4C0A-8368-66C199305F67}"/>
            </c:ext>
          </c:extLst>
        </c:ser>
        <c:dLbls>
          <c:showLegendKey val="0"/>
          <c:showVal val="0"/>
          <c:showCatName val="0"/>
          <c:showSerName val="0"/>
          <c:showPercent val="0"/>
          <c:showBubbleSize val="0"/>
        </c:dLbls>
        <c:smooth val="0"/>
        <c:axId val="510701224"/>
        <c:axId val="510702008"/>
      </c:lineChart>
      <c:catAx>
        <c:axId val="5107012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10702008"/>
        <c:crosses val="autoZero"/>
        <c:auto val="1"/>
        <c:lblAlgn val="ctr"/>
        <c:lblOffset val="100"/>
        <c:noMultiLvlLbl val="0"/>
      </c:catAx>
      <c:valAx>
        <c:axId val="51070200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107012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2"/>
          <c:order val="2"/>
          <c:tx>
            <c:strRef>
              <c:f>'9.'!$C$25</c:f>
              <c:strCache>
                <c:ptCount val="1"/>
                <c:pt idx="0">
                  <c:v>Razem</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'9.'!$D$22:$F$22</c:f>
              <c:strCache>
                <c:ptCount val="3"/>
                <c:pt idx="0">
                  <c:v>Nie obawiam się</c:v>
                </c:pt>
                <c:pt idx="1">
                  <c:v>Trochę się tego obawiam</c:v>
                </c:pt>
                <c:pt idx="2">
                  <c:v>Bardzo się tego obawiam</c:v>
                </c:pt>
              </c:strCache>
            </c:strRef>
          </c:cat>
          <c:val>
            <c:numRef>
              <c:f>'9.'!$D$25:$F$25</c:f>
              <c:numCache>
                <c:formatCode>0.0%</c:formatCode>
                <c:ptCount val="3"/>
                <c:pt idx="0">
                  <c:v>0.34578235672891178</c:v>
                </c:pt>
                <c:pt idx="1">
                  <c:v>0.45717965228589824</c:v>
                </c:pt>
                <c:pt idx="2">
                  <c:v>0.19703799098518995</c:v>
                </c:pt>
              </c:numCache>
            </c:numRef>
          </c:val>
          <c:extLst>
            <c:ext xmlns:c16="http://schemas.microsoft.com/office/drawing/2014/chart" uri="{C3380CC4-5D6E-409C-BE32-E72D297353CC}">
              <c16:uniqueId val="{00000000-2960-4D5C-BCB8-6E331A26951E}"/>
            </c:ext>
          </c:extLst>
        </c:ser>
        <c:dLbls>
          <c:showLegendKey val="0"/>
          <c:showVal val="0"/>
          <c:showCatName val="0"/>
          <c:showSerName val="0"/>
          <c:showPercent val="0"/>
          <c:showBubbleSize val="0"/>
        </c:dLbls>
        <c:gapWidth val="219"/>
        <c:axId val="521294152"/>
        <c:axId val="521294544"/>
      </c:barChart>
      <c:lineChart>
        <c:grouping val="standard"/>
        <c:varyColors val="0"/>
        <c:ser>
          <c:idx val="0"/>
          <c:order val="0"/>
          <c:tx>
            <c:strRef>
              <c:f>'9.'!$C$23</c:f>
              <c:strCache>
                <c:ptCount val="1"/>
                <c:pt idx="0">
                  <c:v>Powiat Nidzicki</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'9.'!$D$22:$F$22</c:f>
              <c:strCache>
                <c:ptCount val="3"/>
                <c:pt idx="0">
                  <c:v>Nie obawiam się</c:v>
                </c:pt>
                <c:pt idx="1">
                  <c:v>Trochę się tego obawiam</c:v>
                </c:pt>
                <c:pt idx="2">
                  <c:v>Bardzo się tego obawiam</c:v>
                </c:pt>
              </c:strCache>
            </c:strRef>
          </c:cat>
          <c:val>
            <c:numRef>
              <c:f>'9.'!$D$23:$F$23</c:f>
              <c:numCache>
                <c:formatCode>0.0%</c:formatCode>
                <c:ptCount val="3"/>
                <c:pt idx="0">
                  <c:v>0.34975369458128081</c:v>
                </c:pt>
                <c:pt idx="1">
                  <c:v>0.51724137931034486</c:v>
                </c:pt>
                <c:pt idx="2">
                  <c:v>0.13300492610837439</c:v>
                </c:pt>
              </c:numCache>
            </c:numRef>
          </c:val>
          <c:smooth val="0"/>
          <c:extLst>
            <c:ext xmlns:c16="http://schemas.microsoft.com/office/drawing/2014/chart" uri="{C3380CC4-5D6E-409C-BE32-E72D297353CC}">
              <c16:uniqueId val="{00000001-2960-4D5C-BCB8-6E331A26951E}"/>
            </c:ext>
          </c:extLst>
        </c:ser>
        <c:ser>
          <c:idx val="1"/>
          <c:order val="1"/>
          <c:tx>
            <c:strRef>
              <c:f>'9.'!$C$24</c:f>
              <c:strCache>
                <c:ptCount val="1"/>
                <c:pt idx="0">
                  <c:v>Powiat Szczycieński</c:v>
                </c:pt>
              </c:strCache>
            </c:strRef>
          </c:tx>
          <c:spPr>
            <a:ln w="28575" cap="rnd">
              <a:solidFill>
                <a:srgbClr val="92D050"/>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'9.'!$D$22:$F$22</c:f>
              <c:strCache>
                <c:ptCount val="3"/>
                <c:pt idx="0">
                  <c:v>Nie obawiam się</c:v>
                </c:pt>
                <c:pt idx="1">
                  <c:v>Trochę się tego obawiam</c:v>
                </c:pt>
                <c:pt idx="2">
                  <c:v>Bardzo się tego obawiam</c:v>
                </c:pt>
              </c:strCache>
            </c:strRef>
          </c:cat>
          <c:val>
            <c:numRef>
              <c:f>'9.'!$D$24:$F$24</c:f>
              <c:numCache>
                <c:formatCode>0.0%</c:formatCode>
                <c:ptCount val="3"/>
                <c:pt idx="0">
                  <c:v>0.34883720930232559</c:v>
                </c:pt>
                <c:pt idx="1">
                  <c:v>0.47674418604651164</c:v>
                </c:pt>
                <c:pt idx="2">
                  <c:v>0.1744186046511628</c:v>
                </c:pt>
              </c:numCache>
            </c:numRef>
          </c:val>
          <c:smooth val="0"/>
          <c:extLst>
            <c:ext xmlns:c16="http://schemas.microsoft.com/office/drawing/2014/chart" uri="{C3380CC4-5D6E-409C-BE32-E72D297353CC}">
              <c16:uniqueId val="{00000002-2960-4D5C-BCB8-6E331A26951E}"/>
            </c:ext>
          </c:extLst>
        </c:ser>
        <c:ser>
          <c:idx val="3"/>
          <c:order val="3"/>
          <c:tx>
            <c:strRef>
              <c:f>'9.'!$C$26</c:f>
              <c:strCache>
                <c:ptCount val="1"/>
                <c:pt idx="0">
                  <c:v>Powiat Działdowski</c:v>
                </c:pt>
              </c:strCache>
            </c:strRef>
          </c:tx>
          <c:spPr>
            <a:ln w="28575" cap="rnd">
              <a:solidFill>
                <a:srgbClr val="7030A0"/>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'9.'!$D$22:$F$22</c:f>
              <c:strCache>
                <c:ptCount val="3"/>
                <c:pt idx="0">
                  <c:v>Nie obawiam się</c:v>
                </c:pt>
                <c:pt idx="1">
                  <c:v>Trochę się tego obawiam</c:v>
                </c:pt>
                <c:pt idx="2">
                  <c:v>Bardzo się tego obawiam</c:v>
                </c:pt>
              </c:strCache>
            </c:strRef>
          </c:cat>
          <c:val>
            <c:numRef>
              <c:f>'9.'!$D$26:$F$26</c:f>
              <c:numCache>
                <c:formatCode>0.0%</c:formatCode>
                <c:ptCount val="3"/>
                <c:pt idx="0">
                  <c:v>0.32991014120667522</c:v>
                </c:pt>
                <c:pt idx="1">
                  <c:v>0.46598202824133506</c:v>
                </c:pt>
                <c:pt idx="2">
                  <c:v>0.20410783055198972</c:v>
                </c:pt>
              </c:numCache>
            </c:numRef>
          </c:val>
          <c:smooth val="0"/>
          <c:extLst>
            <c:ext xmlns:c16="http://schemas.microsoft.com/office/drawing/2014/chart" uri="{C3380CC4-5D6E-409C-BE32-E72D297353CC}">
              <c16:uniqueId val="{00000003-2960-4D5C-BCB8-6E331A26951E}"/>
            </c:ext>
          </c:extLst>
        </c:ser>
        <c:ser>
          <c:idx val="4"/>
          <c:order val="4"/>
          <c:tx>
            <c:strRef>
              <c:f>'9.'!$C$27</c:f>
              <c:strCache>
                <c:ptCount val="1"/>
                <c:pt idx="0">
                  <c:v>Powiat Piski</c:v>
                </c:pt>
              </c:strCache>
            </c:strRef>
          </c:tx>
          <c:spPr>
            <a:ln w="28575" cap="rnd">
              <a:solidFill>
                <a:schemeClr val="accent5"/>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'9.'!$D$22:$F$22</c:f>
              <c:strCache>
                <c:ptCount val="3"/>
                <c:pt idx="0">
                  <c:v>Nie obawiam się</c:v>
                </c:pt>
                <c:pt idx="1">
                  <c:v>Trochę się tego obawiam</c:v>
                </c:pt>
                <c:pt idx="2">
                  <c:v>Bardzo się tego obawiam</c:v>
                </c:pt>
              </c:strCache>
            </c:strRef>
          </c:cat>
          <c:val>
            <c:numRef>
              <c:f>'9.'!$D$27:$F$27</c:f>
              <c:numCache>
                <c:formatCode>0.0%</c:formatCode>
                <c:ptCount val="3"/>
                <c:pt idx="0">
                  <c:v>0.36983471074380164</c:v>
                </c:pt>
                <c:pt idx="1">
                  <c:v>0.41528925619834711</c:v>
                </c:pt>
                <c:pt idx="2">
                  <c:v>0.21487603305785125</c:v>
                </c:pt>
              </c:numCache>
            </c:numRef>
          </c:val>
          <c:smooth val="0"/>
          <c:extLst>
            <c:ext xmlns:c16="http://schemas.microsoft.com/office/drawing/2014/chart" uri="{C3380CC4-5D6E-409C-BE32-E72D297353CC}">
              <c16:uniqueId val="{00000004-2960-4D5C-BCB8-6E331A26951E}"/>
            </c:ext>
          </c:extLst>
        </c:ser>
        <c:dLbls>
          <c:showLegendKey val="0"/>
          <c:showVal val="0"/>
          <c:showCatName val="0"/>
          <c:showSerName val="0"/>
          <c:showPercent val="0"/>
          <c:showBubbleSize val="0"/>
        </c:dLbls>
        <c:marker val="1"/>
        <c:smooth val="0"/>
        <c:axId val="521273768"/>
        <c:axId val="521275728"/>
      </c:lineChart>
      <c:catAx>
        <c:axId val="5212941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21294544"/>
        <c:crosses val="autoZero"/>
        <c:auto val="1"/>
        <c:lblAlgn val="ctr"/>
        <c:lblOffset val="100"/>
        <c:noMultiLvlLbl val="0"/>
      </c:catAx>
      <c:valAx>
        <c:axId val="52129454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21294152"/>
        <c:crosses val="autoZero"/>
        <c:crossBetween val="between"/>
      </c:valAx>
      <c:valAx>
        <c:axId val="521275728"/>
        <c:scaling>
          <c:orientation val="minMax"/>
        </c:scaling>
        <c:delete val="0"/>
        <c:axPos val="r"/>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21273768"/>
        <c:crosses val="max"/>
        <c:crossBetween val="between"/>
      </c:valAx>
      <c:catAx>
        <c:axId val="521273768"/>
        <c:scaling>
          <c:orientation val="minMax"/>
        </c:scaling>
        <c:delete val="1"/>
        <c:axPos val="b"/>
        <c:numFmt formatCode="General" sourceLinked="1"/>
        <c:majorTickMark val="out"/>
        <c:minorTickMark val="none"/>
        <c:tickLblPos val="nextTo"/>
        <c:crossAx val="521275728"/>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'10'!$F$27</c:f>
              <c:strCache>
                <c:ptCount val="1"/>
                <c:pt idx="0">
                  <c:v>Razem</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'10'!$E$28:$E$35</c:f>
              <c:strCache>
                <c:ptCount val="8"/>
                <c:pt idx="0">
                  <c:v>Zrobił(a)bym coś innego, co?</c:v>
                </c:pt>
                <c:pt idx="1">
                  <c:v>Założył(a)bym własną firmę</c:v>
                </c:pt>
                <c:pt idx="2">
                  <c:v>Zapisał(a)bym się na kursy dokształcające, rozwijał(a) dotychczasowe umiejętności</c:v>
                </c:pt>
                <c:pt idx="3">
                  <c:v>Zarejestrował(a)bym się jako osoba bezrobotna</c:v>
                </c:pt>
                <c:pt idx="4">
                  <c:v>Szukał(a)bym pracy za granicą</c:v>
                </c:pt>
                <c:pt idx="5">
                  <c:v>Zmienił(a)bym zawód, zdobywał(a)bym nowe umiejętności</c:v>
                </c:pt>
                <c:pt idx="6">
                  <c:v>Wziąłbym / wzięłabym taką pracę jaka jest, nie ważne w jakim zawodzie, nawet poniżej moich kwalifikacji</c:v>
                </c:pt>
                <c:pt idx="7">
                  <c:v>Wyjechał(a)bym z miejscowości, w której mieszkam obecnie</c:v>
                </c:pt>
              </c:strCache>
            </c:strRef>
          </c:cat>
          <c:val>
            <c:numRef>
              <c:f>'10'!$F$28:$F$35</c:f>
              <c:numCache>
                <c:formatCode>0.0%</c:formatCode>
                <c:ptCount val="8"/>
                <c:pt idx="0">
                  <c:v>4.8293625241468123E-2</c:v>
                </c:pt>
                <c:pt idx="1">
                  <c:v>6.6323245331616223E-2</c:v>
                </c:pt>
                <c:pt idx="2">
                  <c:v>7.6625885383129422E-2</c:v>
                </c:pt>
                <c:pt idx="3">
                  <c:v>8.6928525434642634E-2</c:v>
                </c:pt>
                <c:pt idx="4">
                  <c:v>0.13779781068898905</c:v>
                </c:pt>
                <c:pt idx="5">
                  <c:v>0.14488087572440439</c:v>
                </c:pt>
                <c:pt idx="6">
                  <c:v>0.14616870573084353</c:v>
                </c:pt>
                <c:pt idx="7">
                  <c:v>0.29298132646490666</c:v>
                </c:pt>
              </c:numCache>
            </c:numRef>
          </c:val>
          <c:extLst>
            <c:ext xmlns:c16="http://schemas.microsoft.com/office/drawing/2014/chart" uri="{C3380CC4-5D6E-409C-BE32-E72D297353CC}">
              <c16:uniqueId val="{00000000-018E-434E-B85C-D7878A5F37A7}"/>
            </c:ext>
          </c:extLst>
        </c:ser>
        <c:ser>
          <c:idx val="1"/>
          <c:order val="1"/>
          <c:tx>
            <c:strRef>
              <c:f>'10'!$G$27</c:f>
              <c:strCache>
                <c:ptCount val="1"/>
                <c:pt idx="0">
                  <c:v>Powiat Szczycieński</c:v>
                </c:pt>
              </c:strCache>
            </c:strRef>
          </c:tx>
          <c:spPr>
            <a:solidFill>
              <a:srgbClr val="92D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'10'!$E$28:$E$35</c:f>
              <c:strCache>
                <c:ptCount val="8"/>
                <c:pt idx="0">
                  <c:v>Zrobił(a)bym coś innego, co?</c:v>
                </c:pt>
                <c:pt idx="1">
                  <c:v>Założył(a)bym własną firmę</c:v>
                </c:pt>
                <c:pt idx="2">
                  <c:v>Zapisał(a)bym się na kursy dokształcające, rozwijał(a) dotychczasowe umiejętności</c:v>
                </c:pt>
                <c:pt idx="3">
                  <c:v>Zarejestrował(a)bym się jako osoba bezrobotna</c:v>
                </c:pt>
                <c:pt idx="4">
                  <c:v>Szukał(a)bym pracy za granicą</c:v>
                </c:pt>
                <c:pt idx="5">
                  <c:v>Zmienił(a)bym zawód, zdobywał(a)bym nowe umiejętności</c:v>
                </c:pt>
                <c:pt idx="6">
                  <c:v>Wziąłbym / wzięłabym taką pracę jaka jest, nie ważne w jakim zawodzie, nawet poniżej moich kwalifikacji</c:v>
                </c:pt>
                <c:pt idx="7">
                  <c:v>Wyjechał(a)bym z miejscowości, w której mieszkam obecnie</c:v>
                </c:pt>
              </c:strCache>
            </c:strRef>
          </c:cat>
          <c:val>
            <c:numRef>
              <c:f>'10'!$G$28:$G$35</c:f>
              <c:numCache>
                <c:formatCode>0.0%</c:formatCode>
                <c:ptCount val="8"/>
                <c:pt idx="0">
                  <c:v>8.1395348837209308E-2</c:v>
                </c:pt>
                <c:pt idx="1">
                  <c:v>5.8139534883720929E-2</c:v>
                </c:pt>
                <c:pt idx="2">
                  <c:v>3.4883720930232558E-2</c:v>
                </c:pt>
                <c:pt idx="3">
                  <c:v>8.1395348837209308E-2</c:v>
                </c:pt>
                <c:pt idx="4">
                  <c:v>0.13953488372093023</c:v>
                </c:pt>
                <c:pt idx="5">
                  <c:v>0.22093023255813954</c:v>
                </c:pt>
                <c:pt idx="6">
                  <c:v>0.10465116279069768</c:v>
                </c:pt>
                <c:pt idx="7">
                  <c:v>0.27906976744186046</c:v>
                </c:pt>
              </c:numCache>
            </c:numRef>
          </c:val>
          <c:extLst>
            <c:ext xmlns:c16="http://schemas.microsoft.com/office/drawing/2014/chart" uri="{C3380CC4-5D6E-409C-BE32-E72D297353CC}">
              <c16:uniqueId val="{00000001-018E-434E-B85C-D7878A5F37A7}"/>
            </c:ext>
          </c:extLst>
        </c:ser>
        <c:ser>
          <c:idx val="2"/>
          <c:order val="2"/>
          <c:tx>
            <c:strRef>
              <c:f>'10'!$H$27</c:f>
              <c:strCache>
                <c:ptCount val="1"/>
                <c:pt idx="0">
                  <c:v>Powiat Nidzicki</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'10'!$E$28:$E$35</c:f>
              <c:strCache>
                <c:ptCount val="8"/>
                <c:pt idx="0">
                  <c:v>Zrobił(a)bym coś innego, co?</c:v>
                </c:pt>
                <c:pt idx="1">
                  <c:v>Założył(a)bym własną firmę</c:v>
                </c:pt>
                <c:pt idx="2">
                  <c:v>Zapisał(a)bym się na kursy dokształcające, rozwijał(a) dotychczasowe umiejętności</c:v>
                </c:pt>
                <c:pt idx="3">
                  <c:v>Zarejestrował(a)bym się jako osoba bezrobotna</c:v>
                </c:pt>
                <c:pt idx="4">
                  <c:v>Szukał(a)bym pracy za granicą</c:v>
                </c:pt>
                <c:pt idx="5">
                  <c:v>Zmienił(a)bym zawód, zdobywał(a)bym nowe umiejętności</c:v>
                </c:pt>
                <c:pt idx="6">
                  <c:v>Wziąłbym / wzięłabym taką pracę jaka jest, nie ważne w jakim zawodzie, nawet poniżej moich kwalifikacji</c:v>
                </c:pt>
                <c:pt idx="7">
                  <c:v>Wyjechał(a)bym z miejscowości, w której mieszkam obecnie</c:v>
                </c:pt>
              </c:strCache>
            </c:strRef>
          </c:cat>
          <c:val>
            <c:numRef>
              <c:f>'10'!$H$28:$H$35</c:f>
              <c:numCache>
                <c:formatCode>0.0%</c:formatCode>
                <c:ptCount val="8"/>
                <c:pt idx="0">
                  <c:v>4.9261083743842367E-2</c:v>
                </c:pt>
                <c:pt idx="1">
                  <c:v>7.8817733990147784E-2</c:v>
                </c:pt>
                <c:pt idx="2">
                  <c:v>8.8669950738916259E-2</c:v>
                </c:pt>
                <c:pt idx="3">
                  <c:v>9.3596059113300489E-2</c:v>
                </c:pt>
                <c:pt idx="4">
                  <c:v>9.3596059113300489E-2</c:v>
                </c:pt>
                <c:pt idx="5">
                  <c:v>0.19704433497536947</c:v>
                </c:pt>
                <c:pt idx="6">
                  <c:v>0.14285714285714285</c:v>
                </c:pt>
                <c:pt idx="7">
                  <c:v>0.25615763546798032</c:v>
                </c:pt>
              </c:numCache>
            </c:numRef>
          </c:val>
          <c:extLst>
            <c:ext xmlns:c16="http://schemas.microsoft.com/office/drawing/2014/chart" uri="{C3380CC4-5D6E-409C-BE32-E72D297353CC}">
              <c16:uniqueId val="{00000002-018E-434E-B85C-D7878A5F37A7}"/>
            </c:ext>
          </c:extLst>
        </c:ser>
        <c:ser>
          <c:idx val="3"/>
          <c:order val="3"/>
          <c:tx>
            <c:strRef>
              <c:f>'10'!$I$27</c:f>
              <c:strCache>
                <c:ptCount val="1"/>
                <c:pt idx="0">
                  <c:v>Powiat Piski</c:v>
                </c:pt>
              </c:strCache>
            </c:strRef>
          </c:tx>
          <c:spPr>
            <a:solidFill>
              <a:srgbClr val="C7A2E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'10'!$E$28:$E$35</c:f>
              <c:strCache>
                <c:ptCount val="8"/>
                <c:pt idx="0">
                  <c:v>Zrobił(a)bym coś innego, co?</c:v>
                </c:pt>
                <c:pt idx="1">
                  <c:v>Założył(a)bym własną firmę</c:v>
                </c:pt>
                <c:pt idx="2">
                  <c:v>Zapisał(a)bym się na kursy dokształcające, rozwijał(a) dotychczasowe umiejętności</c:v>
                </c:pt>
                <c:pt idx="3">
                  <c:v>Zarejestrował(a)bym się jako osoba bezrobotna</c:v>
                </c:pt>
                <c:pt idx="4">
                  <c:v>Szukał(a)bym pracy za granicą</c:v>
                </c:pt>
                <c:pt idx="5">
                  <c:v>Zmienił(a)bym zawód, zdobywał(a)bym nowe umiejętności</c:v>
                </c:pt>
                <c:pt idx="6">
                  <c:v>Wziąłbym / wzięłabym taką pracę jaka jest, nie ważne w jakim zawodzie, nawet poniżej moich kwalifikacji</c:v>
                </c:pt>
                <c:pt idx="7">
                  <c:v>Wyjechał(a)bym z miejscowości, w której mieszkam obecnie</c:v>
                </c:pt>
              </c:strCache>
            </c:strRef>
          </c:cat>
          <c:val>
            <c:numRef>
              <c:f>'10'!$I$28:$I$35</c:f>
              <c:numCache>
                <c:formatCode>0.0%</c:formatCode>
                <c:ptCount val="8"/>
                <c:pt idx="0">
                  <c:v>3.71900826446281E-2</c:v>
                </c:pt>
                <c:pt idx="1">
                  <c:v>5.7851239669421489E-2</c:v>
                </c:pt>
                <c:pt idx="2">
                  <c:v>6.8181818181818177E-2</c:v>
                </c:pt>
                <c:pt idx="3">
                  <c:v>7.0247933884297523E-2</c:v>
                </c:pt>
                <c:pt idx="4">
                  <c:v>0.17148760330578514</c:v>
                </c:pt>
                <c:pt idx="5">
                  <c:v>0.12190082644628099</c:v>
                </c:pt>
                <c:pt idx="6">
                  <c:v>0.11776859504132231</c:v>
                </c:pt>
                <c:pt idx="7">
                  <c:v>0.35537190082644626</c:v>
                </c:pt>
              </c:numCache>
            </c:numRef>
          </c:val>
          <c:extLst>
            <c:ext xmlns:c16="http://schemas.microsoft.com/office/drawing/2014/chart" uri="{C3380CC4-5D6E-409C-BE32-E72D297353CC}">
              <c16:uniqueId val="{00000003-018E-434E-B85C-D7878A5F37A7}"/>
            </c:ext>
          </c:extLst>
        </c:ser>
        <c:ser>
          <c:idx val="4"/>
          <c:order val="4"/>
          <c:tx>
            <c:strRef>
              <c:f>'10'!$J$27</c:f>
              <c:strCache>
                <c:ptCount val="1"/>
                <c:pt idx="0">
                  <c:v>Powiat Działdowski</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'10'!$E$28:$E$35</c:f>
              <c:strCache>
                <c:ptCount val="8"/>
                <c:pt idx="0">
                  <c:v>Zrobił(a)bym coś innego, co?</c:v>
                </c:pt>
                <c:pt idx="1">
                  <c:v>Założył(a)bym własną firmę</c:v>
                </c:pt>
                <c:pt idx="2">
                  <c:v>Zapisał(a)bym się na kursy dokształcające, rozwijał(a) dotychczasowe umiejętności</c:v>
                </c:pt>
                <c:pt idx="3">
                  <c:v>Zarejestrował(a)bym się jako osoba bezrobotna</c:v>
                </c:pt>
                <c:pt idx="4">
                  <c:v>Szukał(a)bym pracy za granicą</c:v>
                </c:pt>
                <c:pt idx="5">
                  <c:v>Zmienił(a)bym zawód, zdobywał(a)bym nowe umiejętności</c:v>
                </c:pt>
                <c:pt idx="6">
                  <c:v>Wziąłbym / wzięłabym taką pracę jaka jest, nie ważne w jakim zawodzie, nawet poniżej moich kwalifikacji</c:v>
                </c:pt>
                <c:pt idx="7">
                  <c:v>Wyjechał(a)bym z miejscowości, w której mieszkam obecnie</c:v>
                </c:pt>
              </c:strCache>
            </c:strRef>
          </c:cat>
          <c:val>
            <c:numRef>
              <c:f>'10'!$J$28:$J$35</c:f>
              <c:numCache>
                <c:formatCode>0.0%</c:formatCode>
                <c:ptCount val="8"/>
                <c:pt idx="0">
                  <c:v>5.1347881899871634E-2</c:v>
                </c:pt>
                <c:pt idx="1">
                  <c:v>6.9319640564826701E-2</c:v>
                </c:pt>
                <c:pt idx="2">
                  <c:v>8.3440308087291401E-2</c:v>
                </c:pt>
                <c:pt idx="3">
                  <c:v>9.6277278562259302E-2</c:v>
                </c:pt>
                <c:pt idx="4">
                  <c:v>0.12836970474967907</c:v>
                </c:pt>
                <c:pt idx="5">
                  <c:v>0.13735558408215662</c:v>
                </c:pt>
                <c:pt idx="6">
                  <c:v>0.16816431322207959</c:v>
                </c:pt>
                <c:pt idx="7">
                  <c:v>0.26572528883183566</c:v>
                </c:pt>
              </c:numCache>
            </c:numRef>
          </c:val>
          <c:extLst>
            <c:ext xmlns:c16="http://schemas.microsoft.com/office/drawing/2014/chart" uri="{C3380CC4-5D6E-409C-BE32-E72D297353CC}">
              <c16:uniqueId val="{00000004-018E-434E-B85C-D7878A5F37A7}"/>
            </c:ext>
          </c:extLst>
        </c:ser>
        <c:dLbls>
          <c:showLegendKey val="0"/>
          <c:showVal val="0"/>
          <c:showCatName val="0"/>
          <c:showSerName val="0"/>
          <c:showPercent val="0"/>
          <c:showBubbleSize val="0"/>
        </c:dLbls>
        <c:gapWidth val="68"/>
        <c:axId val="521274160"/>
        <c:axId val="521273376"/>
      </c:barChart>
      <c:catAx>
        <c:axId val="52127416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21273376"/>
        <c:crosses val="autoZero"/>
        <c:auto val="1"/>
        <c:lblAlgn val="ctr"/>
        <c:lblOffset val="100"/>
        <c:noMultiLvlLbl val="0"/>
      </c:catAx>
      <c:valAx>
        <c:axId val="521273376"/>
        <c:scaling>
          <c:orientation val="minMax"/>
        </c:scaling>
        <c:delete val="1"/>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crossAx val="5212741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urodzenia!$A$3</c:f>
              <c:strCache>
                <c:ptCount val="1"/>
                <c:pt idx="0">
                  <c:v>Polska</c:v>
                </c:pt>
              </c:strCache>
            </c:strRef>
          </c:tx>
          <c:spPr>
            <a:ln w="28575" cap="rnd">
              <a:solidFill>
                <a:schemeClr val="tx2">
                  <a:lumMod val="75000"/>
                </a:schemeClr>
              </a:solidFill>
              <a:round/>
            </a:ln>
            <a:effectLst/>
          </c:spPr>
          <c:marker>
            <c:symbol val="none"/>
          </c:marker>
          <c:cat>
            <c:strRef>
              <c:f>urodzenia!$B$2:$K$2</c:f>
              <c:strCache>
                <c:ptCount val="10"/>
                <c:pt idx="0">
                  <c:v>2010</c:v>
                </c:pt>
                <c:pt idx="1">
                  <c:v>2011</c:v>
                </c:pt>
                <c:pt idx="2">
                  <c:v>2012</c:v>
                </c:pt>
                <c:pt idx="3">
                  <c:v>2013</c:v>
                </c:pt>
                <c:pt idx="4">
                  <c:v>2014</c:v>
                </c:pt>
                <c:pt idx="5">
                  <c:v>2015</c:v>
                </c:pt>
                <c:pt idx="6">
                  <c:v>2016</c:v>
                </c:pt>
                <c:pt idx="7">
                  <c:v>2017</c:v>
                </c:pt>
                <c:pt idx="8">
                  <c:v>2018</c:v>
                </c:pt>
                <c:pt idx="9">
                  <c:v>2019</c:v>
                </c:pt>
              </c:strCache>
            </c:strRef>
          </c:cat>
          <c:val>
            <c:numRef>
              <c:f>urodzenia!$B$3:$K$3</c:f>
              <c:numCache>
                <c:formatCode>#,##0.00</c:formatCode>
                <c:ptCount val="10"/>
                <c:pt idx="0">
                  <c:v>10.73</c:v>
                </c:pt>
                <c:pt idx="1">
                  <c:v>10.08</c:v>
                </c:pt>
                <c:pt idx="2">
                  <c:v>10.02</c:v>
                </c:pt>
                <c:pt idx="3">
                  <c:v>9.6</c:v>
                </c:pt>
                <c:pt idx="4">
                  <c:v>9.75</c:v>
                </c:pt>
                <c:pt idx="5">
                  <c:v>9.6</c:v>
                </c:pt>
                <c:pt idx="6">
                  <c:v>9.9499999999999993</c:v>
                </c:pt>
                <c:pt idx="7">
                  <c:v>10.46</c:v>
                </c:pt>
                <c:pt idx="8">
                  <c:v>10.11</c:v>
                </c:pt>
                <c:pt idx="9">
                  <c:v>9.77</c:v>
                </c:pt>
              </c:numCache>
            </c:numRef>
          </c:val>
          <c:smooth val="0"/>
          <c:extLst>
            <c:ext xmlns:c16="http://schemas.microsoft.com/office/drawing/2014/chart" uri="{C3380CC4-5D6E-409C-BE32-E72D297353CC}">
              <c16:uniqueId val="{00000000-36A9-4DF3-8959-D16D58A4A924}"/>
            </c:ext>
          </c:extLst>
        </c:ser>
        <c:ser>
          <c:idx val="1"/>
          <c:order val="1"/>
          <c:tx>
            <c:strRef>
              <c:f>urodzenia!$A$4</c:f>
              <c:strCache>
                <c:ptCount val="1"/>
                <c:pt idx="0">
                  <c:v>Województwo warmińsko-mazurskie</c:v>
                </c:pt>
              </c:strCache>
            </c:strRef>
          </c:tx>
          <c:spPr>
            <a:ln w="28575" cap="rnd">
              <a:solidFill>
                <a:schemeClr val="accent3"/>
              </a:solidFill>
              <a:round/>
            </a:ln>
            <a:effectLst/>
          </c:spPr>
          <c:marker>
            <c:symbol val="none"/>
          </c:marker>
          <c:cat>
            <c:strRef>
              <c:f>urodzenia!$B$2:$K$2</c:f>
              <c:strCache>
                <c:ptCount val="10"/>
                <c:pt idx="0">
                  <c:v>2010</c:v>
                </c:pt>
                <c:pt idx="1">
                  <c:v>2011</c:v>
                </c:pt>
                <c:pt idx="2">
                  <c:v>2012</c:v>
                </c:pt>
                <c:pt idx="3">
                  <c:v>2013</c:v>
                </c:pt>
                <c:pt idx="4">
                  <c:v>2014</c:v>
                </c:pt>
                <c:pt idx="5">
                  <c:v>2015</c:v>
                </c:pt>
                <c:pt idx="6">
                  <c:v>2016</c:v>
                </c:pt>
                <c:pt idx="7">
                  <c:v>2017</c:v>
                </c:pt>
                <c:pt idx="8">
                  <c:v>2018</c:v>
                </c:pt>
                <c:pt idx="9">
                  <c:v>2019</c:v>
                </c:pt>
              </c:strCache>
            </c:strRef>
          </c:cat>
          <c:val>
            <c:numRef>
              <c:f>urodzenia!$B$4:$K$4</c:f>
              <c:numCache>
                <c:formatCode>#,##0.00</c:formatCode>
                <c:ptCount val="10"/>
                <c:pt idx="0">
                  <c:v>10.85</c:v>
                </c:pt>
                <c:pt idx="1">
                  <c:v>10.15</c:v>
                </c:pt>
                <c:pt idx="2">
                  <c:v>9.8699999999999992</c:v>
                </c:pt>
                <c:pt idx="3">
                  <c:v>9.41</c:v>
                </c:pt>
                <c:pt idx="4">
                  <c:v>9.66</c:v>
                </c:pt>
                <c:pt idx="5">
                  <c:v>9.1</c:v>
                </c:pt>
                <c:pt idx="6">
                  <c:v>9.35</c:v>
                </c:pt>
                <c:pt idx="7">
                  <c:v>10.130000000000001</c:v>
                </c:pt>
                <c:pt idx="8">
                  <c:v>9.56</c:v>
                </c:pt>
                <c:pt idx="9">
                  <c:v>9.0500000000000007</c:v>
                </c:pt>
              </c:numCache>
            </c:numRef>
          </c:val>
          <c:smooth val="0"/>
          <c:extLst>
            <c:ext xmlns:c16="http://schemas.microsoft.com/office/drawing/2014/chart" uri="{C3380CC4-5D6E-409C-BE32-E72D297353CC}">
              <c16:uniqueId val="{00000001-36A9-4DF3-8959-D16D58A4A924}"/>
            </c:ext>
          </c:extLst>
        </c:ser>
        <c:ser>
          <c:idx val="2"/>
          <c:order val="2"/>
          <c:tx>
            <c:strRef>
              <c:f>urodzenia!$A$5</c:f>
              <c:strCache>
                <c:ptCount val="1"/>
                <c:pt idx="0">
                  <c:v>Powiat działdowski</c:v>
                </c:pt>
              </c:strCache>
            </c:strRef>
          </c:tx>
          <c:spPr>
            <a:ln w="28575" cap="rnd">
              <a:solidFill>
                <a:schemeClr val="accent2"/>
              </a:solidFill>
              <a:round/>
            </a:ln>
            <a:effectLst/>
          </c:spPr>
          <c:marker>
            <c:symbol val="none"/>
          </c:marker>
          <c:cat>
            <c:strRef>
              <c:f>urodzenia!$B$2:$K$2</c:f>
              <c:strCache>
                <c:ptCount val="10"/>
                <c:pt idx="0">
                  <c:v>2010</c:v>
                </c:pt>
                <c:pt idx="1">
                  <c:v>2011</c:v>
                </c:pt>
                <c:pt idx="2">
                  <c:v>2012</c:v>
                </c:pt>
                <c:pt idx="3">
                  <c:v>2013</c:v>
                </c:pt>
                <c:pt idx="4">
                  <c:v>2014</c:v>
                </c:pt>
                <c:pt idx="5">
                  <c:v>2015</c:v>
                </c:pt>
                <c:pt idx="6">
                  <c:v>2016</c:v>
                </c:pt>
                <c:pt idx="7">
                  <c:v>2017</c:v>
                </c:pt>
                <c:pt idx="8">
                  <c:v>2018</c:v>
                </c:pt>
                <c:pt idx="9">
                  <c:v>2019</c:v>
                </c:pt>
              </c:strCache>
            </c:strRef>
          </c:cat>
          <c:val>
            <c:numRef>
              <c:f>urodzenia!$B$5:$K$5</c:f>
              <c:numCache>
                <c:formatCode>#,##0.00</c:formatCode>
                <c:ptCount val="10"/>
                <c:pt idx="0">
                  <c:v>11.61</c:v>
                </c:pt>
                <c:pt idx="1">
                  <c:v>10.86</c:v>
                </c:pt>
                <c:pt idx="2">
                  <c:v>11.27</c:v>
                </c:pt>
                <c:pt idx="3">
                  <c:v>10.87</c:v>
                </c:pt>
                <c:pt idx="4">
                  <c:v>9.99</c:v>
                </c:pt>
                <c:pt idx="5">
                  <c:v>9.82</c:v>
                </c:pt>
                <c:pt idx="6">
                  <c:v>9.67</c:v>
                </c:pt>
                <c:pt idx="7">
                  <c:v>10.63</c:v>
                </c:pt>
                <c:pt idx="8">
                  <c:v>9.7100000000000009</c:v>
                </c:pt>
                <c:pt idx="9">
                  <c:v>9.1300000000000008</c:v>
                </c:pt>
              </c:numCache>
            </c:numRef>
          </c:val>
          <c:smooth val="0"/>
          <c:extLst>
            <c:ext xmlns:c16="http://schemas.microsoft.com/office/drawing/2014/chart" uri="{C3380CC4-5D6E-409C-BE32-E72D297353CC}">
              <c16:uniqueId val="{00000002-36A9-4DF3-8959-D16D58A4A924}"/>
            </c:ext>
          </c:extLst>
        </c:ser>
        <c:ser>
          <c:idx val="3"/>
          <c:order val="3"/>
          <c:tx>
            <c:strRef>
              <c:f>urodzenia!$A$6</c:f>
              <c:strCache>
                <c:ptCount val="1"/>
                <c:pt idx="0">
                  <c:v>Powiat nidzicki</c:v>
                </c:pt>
              </c:strCache>
            </c:strRef>
          </c:tx>
          <c:spPr>
            <a:ln w="28575" cap="rnd">
              <a:solidFill>
                <a:schemeClr val="accent4"/>
              </a:solidFill>
              <a:round/>
            </a:ln>
            <a:effectLst/>
          </c:spPr>
          <c:marker>
            <c:symbol val="none"/>
          </c:marker>
          <c:cat>
            <c:strRef>
              <c:f>urodzenia!$B$2:$K$2</c:f>
              <c:strCache>
                <c:ptCount val="10"/>
                <c:pt idx="0">
                  <c:v>2010</c:v>
                </c:pt>
                <c:pt idx="1">
                  <c:v>2011</c:v>
                </c:pt>
                <c:pt idx="2">
                  <c:v>2012</c:v>
                </c:pt>
                <c:pt idx="3">
                  <c:v>2013</c:v>
                </c:pt>
                <c:pt idx="4">
                  <c:v>2014</c:v>
                </c:pt>
                <c:pt idx="5">
                  <c:v>2015</c:v>
                </c:pt>
                <c:pt idx="6">
                  <c:v>2016</c:v>
                </c:pt>
                <c:pt idx="7">
                  <c:v>2017</c:v>
                </c:pt>
                <c:pt idx="8">
                  <c:v>2018</c:v>
                </c:pt>
                <c:pt idx="9">
                  <c:v>2019</c:v>
                </c:pt>
              </c:strCache>
            </c:strRef>
          </c:cat>
          <c:val>
            <c:numRef>
              <c:f>urodzenia!$B$6:$K$6</c:f>
              <c:numCache>
                <c:formatCode>#,##0.00</c:formatCode>
                <c:ptCount val="10"/>
                <c:pt idx="0">
                  <c:v>10.11</c:v>
                </c:pt>
                <c:pt idx="1">
                  <c:v>10.220000000000001</c:v>
                </c:pt>
                <c:pt idx="2">
                  <c:v>10.79</c:v>
                </c:pt>
                <c:pt idx="3">
                  <c:v>9.4</c:v>
                </c:pt>
                <c:pt idx="4">
                  <c:v>10.56</c:v>
                </c:pt>
                <c:pt idx="5">
                  <c:v>8.83</c:v>
                </c:pt>
                <c:pt idx="6">
                  <c:v>9.77</c:v>
                </c:pt>
                <c:pt idx="7">
                  <c:v>10.82</c:v>
                </c:pt>
                <c:pt idx="8">
                  <c:v>9.9600000000000009</c:v>
                </c:pt>
                <c:pt idx="9">
                  <c:v>8.74</c:v>
                </c:pt>
              </c:numCache>
            </c:numRef>
          </c:val>
          <c:smooth val="0"/>
          <c:extLst>
            <c:ext xmlns:c16="http://schemas.microsoft.com/office/drawing/2014/chart" uri="{C3380CC4-5D6E-409C-BE32-E72D297353CC}">
              <c16:uniqueId val="{00000003-36A9-4DF3-8959-D16D58A4A924}"/>
            </c:ext>
          </c:extLst>
        </c:ser>
        <c:ser>
          <c:idx val="4"/>
          <c:order val="4"/>
          <c:tx>
            <c:strRef>
              <c:f>urodzenia!$A$7</c:f>
              <c:strCache>
                <c:ptCount val="1"/>
                <c:pt idx="0">
                  <c:v>Powiat piski</c:v>
                </c:pt>
              </c:strCache>
            </c:strRef>
          </c:tx>
          <c:spPr>
            <a:ln w="28575" cap="rnd">
              <a:solidFill>
                <a:schemeClr val="accent5"/>
              </a:solidFill>
              <a:round/>
            </a:ln>
            <a:effectLst/>
          </c:spPr>
          <c:marker>
            <c:symbol val="none"/>
          </c:marker>
          <c:cat>
            <c:strRef>
              <c:f>urodzenia!$B$2:$K$2</c:f>
              <c:strCache>
                <c:ptCount val="10"/>
                <c:pt idx="0">
                  <c:v>2010</c:v>
                </c:pt>
                <c:pt idx="1">
                  <c:v>2011</c:v>
                </c:pt>
                <c:pt idx="2">
                  <c:v>2012</c:v>
                </c:pt>
                <c:pt idx="3">
                  <c:v>2013</c:v>
                </c:pt>
                <c:pt idx="4">
                  <c:v>2014</c:v>
                </c:pt>
                <c:pt idx="5">
                  <c:v>2015</c:v>
                </c:pt>
                <c:pt idx="6">
                  <c:v>2016</c:v>
                </c:pt>
                <c:pt idx="7">
                  <c:v>2017</c:v>
                </c:pt>
                <c:pt idx="8">
                  <c:v>2018</c:v>
                </c:pt>
                <c:pt idx="9">
                  <c:v>2019</c:v>
                </c:pt>
              </c:strCache>
            </c:strRef>
          </c:cat>
          <c:val>
            <c:numRef>
              <c:f>urodzenia!$B$7:$K$7</c:f>
              <c:numCache>
                <c:formatCode>#,##0.00</c:formatCode>
                <c:ptCount val="10"/>
                <c:pt idx="0">
                  <c:v>10.39</c:v>
                </c:pt>
                <c:pt idx="1">
                  <c:v>9.92</c:v>
                </c:pt>
                <c:pt idx="2">
                  <c:v>9.16</c:v>
                </c:pt>
                <c:pt idx="3">
                  <c:v>8.86</c:v>
                </c:pt>
                <c:pt idx="4">
                  <c:v>9.5</c:v>
                </c:pt>
                <c:pt idx="5">
                  <c:v>9.32</c:v>
                </c:pt>
                <c:pt idx="6">
                  <c:v>8.74</c:v>
                </c:pt>
                <c:pt idx="7">
                  <c:v>9.35</c:v>
                </c:pt>
                <c:pt idx="8">
                  <c:v>9.5399999999999991</c:v>
                </c:pt>
                <c:pt idx="9">
                  <c:v>9.09</c:v>
                </c:pt>
              </c:numCache>
            </c:numRef>
          </c:val>
          <c:smooth val="0"/>
          <c:extLst>
            <c:ext xmlns:c16="http://schemas.microsoft.com/office/drawing/2014/chart" uri="{C3380CC4-5D6E-409C-BE32-E72D297353CC}">
              <c16:uniqueId val="{00000004-36A9-4DF3-8959-D16D58A4A924}"/>
            </c:ext>
          </c:extLst>
        </c:ser>
        <c:ser>
          <c:idx val="5"/>
          <c:order val="5"/>
          <c:tx>
            <c:strRef>
              <c:f>urodzenia!$A$8</c:f>
              <c:strCache>
                <c:ptCount val="1"/>
                <c:pt idx="0">
                  <c:v>Powiat szczycieński</c:v>
                </c:pt>
              </c:strCache>
            </c:strRef>
          </c:tx>
          <c:spPr>
            <a:ln w="28575" cap="rnd">
              <a:solidFill>
                <a:schemeClr val="accent6"/>
              </a:solidFill>
              <a:round/>
            </a:ln>
            <a:effectLst/>
          </c:spPr>
          <c:marker>
            <c:symbol val="none"/>
          </c:marker>
          <c:cat>
            <c:strRef>
              <c:f>urodzenia!$B$2:$K$2</c:f>
              <c:strCache>
                <c:ptCount val="10"/>
                <c:pt idx="0">
                  <c:v>2010</c:v>
                </c:pt>
                <c:pt idx="1">
                  <c:v>2011</c:v>
                </c:pt>
                <c:pt idx="2">
                  <c:v>2012</c:v>
                </c:pt>
                <c:pt idx="3">
                  <c:v>2013</c:v>
                </c:pt>
                <c:pt idx="4">
                  <c:v>2014</c:v>
                </c:pt>
                <c:pt idx="5">
                  <c:v>2015</c:v>
                </c:pt>
                <c:pt idx="6">
                  <c:v>2016</c:v>
                </c:pt>
                <c:pt idx="7">
                  <c:v>2017</c:v>
                </c:pt>
                <c:pt idx="8">
                  <c:v>2018</c:v>
                </c:pt>
                <c:pt idx="9">
                  <c:v>2019</c:v>
                </c:pt>
              </c:strCache>
            </c:strRef>
          </c:cat>
          <c:val>
            <c:numRef>
              <c:f>urodzenia!$B$8:$K$8</c:f>
              <c:numCache>
                <c:formatCode>#,##0.00</c:formatCode>
                <c:ptCount val="10"/>
                <c:pt idx="0">
                  <c:v>11.48</c:v>
                </c:pt>
                <c:pt idx="1">
                  <c:v>10.82</c:v>
                </c:pt>
                <c:pt idx="2">
                  <c:v>9.74</c:v>
                </c:pt>
                <c:pt idx="3">
                  <c:v>9.31</c:v>
                </c:pt>
                <c:pt idx="4">
                  <c:v>9.66</c:v>
                </c:pt>
                <c:pt idx="5">
                  <c:v>8.4</c:v>
                </c:pt>
                <c:pt idx="6">
                  <c:v>9.67</c:v>
                </c:pt>
                <c:pt idx="7">
                  <c:v>9.8699999999999992</c:v>
                </c:pt>
                <c:pt idx="8">
                  <c:v>9.89</c:v>
                </c:pt>
                <c:pt idx="9">
                  <c:v>9.44</c:v>
                </c:pt>
              </c:numCache>
            </c:numRef>
          </c:val>
          <c:smooth val="0"/>
          <c:extLst>
            <c:ext xmlns:c16="http://schemas.microsoft.com/office/drawing/2014/chart" uri="{C3380CC4-5D6E-409C-BE32-E72D297353CC}">
              <c16:uniqueId val="{00000005-36A9-4DF3-8959-D16D58A4A924}"/>
            </c:ext>
          </c:extLst>
        </c:ser>
        <c:dLbls>
          <c:showLegendKey val="0"/>
          <c:showVal val="0"/>
          <c:showCatName val="0"/>
          <c:showSerName val="0"/>
          <c:showPercent val="0"/>
          <c:showBubbleSize val="0"/>
        </c:dLbls>
        <c:smooth val="0"/>
        <c:axId val="513438864"/>
        <c:axId val="513437296"/>
      </c:lineChart>
      <c:catAx>
        <c:axId val="5134388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13437296"/>
        <c:crosses val="autoZero"/>
        <c:auto val="1"/>
        <c:lblAlgn val="ctr"/>
        <c:lblOffset val="100"/>
        <c:noMultiLvlLbl val="0"/>
      </c:catAx>
      <c:valAx>
        <c:axId val="513437296"/>
        <c:scaling>
          <c:orientation val="minMax"/>
          <c:min val="8"/>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134388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zgony!$A$3</c:f>
              <c:strCache>
                <c:ptCount val="1"/>
                <c:pt idx="0">
                  <c:v>Polska</c:v>
                </c:pt>
              </c:strCache>
            </c:strRef>
          </c:tx>
          <c:spPr>
            <a:ln w="28575" cap="rnd">
              <a:solidFill>
                <a:schemeClr val="tx2">
                  <a:lumMod val="75000"/>
                </a:schemeClr>
              </a:solidFill>
              <a:round/>
            </a:ln>
            <a:effectLst/>
          </c:spPr>
          <c:marker>
            <c:symbol val="none"/>
          </c:marker>
          <c:cat>
            <c:strRef>
              <c:f>zgony!$B$2:$K$2</c:f>
              <c:strCache>
                <c:ptCount val="10"/>
                <c:pt idx="0">
                  <c:v>2010</c:v>
                </c:pt>
                <c:pt idx="1">
                  <c:v>2011</c:v>
                </c:pt>
                <c:pt idx="2">
                  <c:v>2012</c:v>
                </c:pt>
                <c:pt idx="3">
                  <c:v>2013</c:v>
                </c:pt>
                <c:pt idx="4">
                  <c:v>2014</c:v>
                </c:pt>
                <c:pt idx="5">
                  <c:v>2015</c:v>
                </c:pt>
                <c:pt idx="6">
                  <c:v>2016</c:v>
                </c:pt>
                <c:pt idx="7">
                  <c:v>2017</c:v>
                </c:pt>
                <c:pt idx="8">
                  <c:v>2018</c:v>
                </c:pt>
                <c:pt idx="9">
                  <c:v>2019</c:v>
                </c:pt>
              </c:strCache>
            </c:strRef>
          </c:cat>
          <c:val>
            <c:numRef>
              <c:f>zgony!$B$3:$K$3</c:f>
              <c:numCache>
                <c:formatCode>#,##0.00</c:formatCode>
                <c:ptCount val="10"/>
                <c:pt idx="0">
                  <c:v>9.83</c:v>
                </c:pt>
                <c:pt idx="1">
                  <c:v>9.75</c:v>
                </c:pt>
                <c:pt idx="2">
                  <c:v>9.99</c:v>
                </c:pt>
                <c:pt idx="3">
                  <c:v>10.06</c:v>
                </c:pt>
                <c:pt idx="4">
                  <c:v>9.7799999999999994</c:v>
                </c:pt>
                <c:pt idx="5">
                  <c:v>10.27</c:v>
                </c:pt>
                <c:pt idx="6">
                  <c:v>10.1</c:v>
                </c:pt>
                <c:pt idx="7">
                  <c:v>10.48</c:v>
                </c:pt>
                <c:pt idx="8">
                  <c:v>10.78</c:v>
                </c:pt>
                <c:pt idx="9">
                  <c:v>10.67</c:v>
                </c:pt>
              </c:numCache>
            </c:numRef>
          </c:val>
          <c:smooth val="0"/>
          <c:extLst>
            <c:ext xmlns:c16="http://schemas.microsoft.com/office/drawing/2014/chart" uri="{C3380CC4-5D6E-409C-BE32-E72D297353CC}">
              <c16:uniqueId val="{00000000-BF6F-43C2-951A-1AD64B0DDCC0}"/>
            </c:ext>
          </c:extLst>
        </c:ser>
        <c:ser>
          <c:idx val="1"/>
          <c:order val="1"/>
          <c:tx>
            <c:strRef>
              <c:f>zgony!$A$4</c:f>
              <c:strCache>
                <c:ptCount val="1"/>
                <c:pt idx="0">
                  <c:v>Województwo warmińsko-mazurskie</c:v>
                </c:pt>
              </c:strCache>
            </c:strRef>
          </c:tx>
          <c:spPr>
            <a:ln w="28575" cap="rnd">
              <a:solidFill>
                <a:schemeClr val="accent3"/>
              </a:solidFill>
              <a:round/>
            </a:ln>
            <a:effectLst/>
          </c:spPr>
          <c:marker>
            <c:symbol val="none"/>
          </c:marker>
          <c:cat>
            <c:strRef>
              <c:f>zgony!$B$2:$K$2</c:f>
              <c:strCache>
                <c:ptCount val="10"/>
                <c:pt idx="0">
                  <c:v>2010</c:v>
                </c:pt>
                <c:pt idx="1">
                  <c:v>2011</c:v>
                </c:pt>
                <c:pt idx="2">
                  <c:v>2012</c:v>
                </c:pt>
                <c:pt idx="3">
                  <c:v>2013</c:v>
                </c:pt>
                <c:pt idx="4">
                  <c:v>2014</c:v>
                </c:pt>
                <c:pt idx="5">
                  <c:v>2015</c:v>
                </c:pt>
                <c:pt idx="6">
                  <c:v>2016</c:v>
                </c:pt>
                <c:pt idx="7">
                  <c:v>2017</c:v>
                </c:pt>
                <c:pt idx="8">
                  <c:v>2018</c:v>
                </c:pt>
                <c:pt idx="9">
                  <c:v>2019</c:v>
                </c:pt>
              </c:strCache>
            </c:strRef>
          </c:cat>
          <c:val>
            <c:numRef>
              <c:f>zgony!$B$4:$K$4</c:f>
              <c:numCache>
                <c:formatCode>#,##0.00</c:formatCode>
                <c:ptCount val="10"/>
                <c:pt idx="0">
                  <c:v>8.9</c:v>
                </c:pt>
                <c:pt idx="1">
                  <c:v>8.91</c:v>
                </c:pt>
                <c:pt idx="2">
                  <c:v>9.24</c:v>
                </c:pt>
                <c:pt idx="3">
                  <c:v>9.61</c:v>
                </c:pt>
                <c:pt idx="4">
                  <c:v>9.06</c:v>
                </c:pt>
                <c:pt idx="5">
                  <c:v>9.61</c:v>
                </c:pt>
                <c:pt idx="6">
                  <c:v>9.7899999999999991</c:v>
                </c:pt>
                <c:pt idx="7">
                  <c:v>10.050000000000001</c:v>
                </c:pt>
                <c:pt idx="8">
                  <c:v>10.46</c:v>
                </c:pt>
                <c:pt idx="9">
                  <c:v>10.44</c:v>
                </c:pt>
              </c:numCache>
            </c:numRef>
          </c:val>
          <c:smooth val="0"/>
          <c:extLst>
            <c:ext xmlns:c16="http://schemas.microsoft.com/office/drawing/2014/chart" uri="{C3380CC4-5D6E-409C-BE32-E72D297353CC}">
              <c16:uniqueId val="{00000001-BF6F-43C2-951A-1AD64B0DDCC0}"/>
            </c:ext>
          </c:extLst>
        </c:ser>
        <c:ser>
          <c:idx val="2"/>
          <c:order val="2"/>
          <c:tx>
            <c:strRef>
              <c:f>zgony!$A$5</c:f>
              <c:strCache>
                <c:ptCount val="1"/>
                <c:pt idx="0">
                  <c:v>Powiat działdowski</c:v>
                </c:pt>
              </c:strCache>
            </c:strRef>
          </c:tx>
          <c:spPr>
            <a:ln w="28575" cap="rnd">
              <a:solidFill>
                <a:schemeClr val="accent2"/>
              </a:solidFill>
              <a:round/>
            </a:ln>
            <a:effectLst/>
          </c:spPr>
          <c:marker>
            <c:symbol val="none"/>
          </c:marker>
          <c:cat>
            <c:strRef>
              <c:f>zgony!$B$2:$K$2</c:f>
              <c:strCache>
                <c:ptCount val="10"/>
                <c:pt idx="0">
                  <c:v>2010</c:v>
                </c:pt>
                <c:pt idx="1">
                  <c:v>2011</c:v>
                </c:pt>
                <c:pt idx="2">
                  <c:v>2012</c:v>
                </c:pt>
                <c:pt idx="3">
                  <c:v>2013</c:v>
                </c:pt>
                <c:pt idx="4">
                  <c:v>2014</c:v>
                </c:pt>
                <c:pt idx="5">
                  <c:v>2015</c:v>
                </c:pt>
                <c:pt idx="6">
                  <c:v>2016</c:v>
                </c:pt>
                <c:pt idx="7">
                  <c:v>2017</c:v>
                </c:pt>
                <c:pt idx="8">
                  <c:v>2018</c:v>
                </c:pt>
                <c:pt idx="9">
                  <c:v>2019</c:v>
                </c:pt>
              </c:strCache>
            </c:strRef>
          </c:cat>
          <c:val>
            <c:numRef>
              <c:f>zgony!$B$5:$K$5</c:f>
              <c:numCache>
                <c:formatCode>#,##0.00</c:formatCode>
                <c:ptCount val="10"/>
                <c:pt idx="0">
                  <c:v>8.83</c:v>
                </c:pt>
                <c:pt idx="1">
                  <c:v>9.34</c:v>
                </c:pt>
                <c:pt idx="2">
                  <c:v>9.5</c:v>
                </c:pt>
                <c:pt idx="3">
                  <c:v>9.77</c:v>
                </c:pt>
                <c:pt idx="4">
                  <c:v>9.19</c:v>
                </c:pt>
                <c:pt idx="5">
                  <c:v>9.6300000000000008</c:v>
                </c:pt>
                <c:pt idx="6">
                  <c:v>9.94</c:v>
                </c:pt>
                <c:pt idx="7">
                  <c:v>10.3</c:v>
                </c:pt>
                <c:pt idx="8">
                  <c:v>11.56</c:v>
                </c:pt>
                <c:pt idx="9">
                  <c:v>10.4</c:v>
                </c:pt>
              </c:numCache>
            </c:numRef>
          </c:val>
          <c:smooth val="0"/>
          <c:extLst>
            <c:ext xmlns:c16="http://schemas.microsoft.com/office/drawing/2014/chart" uri="{C3380CC4-5D6E-409C-BE32-E72D297353CC}">
              <c16:uniqueId val="{00000002-BF6F-43C2-951A-1AD64B0DDCC0}"/>
            </c:ext>
          </c:extLst>
        </c:ser>
        <c:ser>
          <c:idx val="3"/>
          <c:order val="3"/>
          <c:tx>
            <c:strRef>
              <c:f>zgony!$A$6</c:f>
              <c:strCache>
                <c:ptCount val="1"/>
                <c:pt idx="0">
                  <c:v>Powiat nidzicki</c:v>
                </c:pt>
              </c:strCache>
            </c:strRef>
          </c:tx>
          <c:spPr>
            <a:ln w="28575" cap="rnd">
              <a:solidFill>
                <a:schemeClr val="accent4"/>
              </a:solidFill>
              <a:round/>
            </a:ln>
            <a:effectLst/>
          </c:spPr>
          <c:marker>
            <c:symbol val="none"/>
          </c:marker>
          <c:cat>
            <c:strRef>
              <c:f>zgony!$B$2:$K$2</c:f>
              <c:strCache>
                <c:ptCount val="10"/>
                <c:pt idx="0">
                  <c:v>2010</c:v>
                </c:pt>
                <c:pt idx="1">
                  <c:v>2011</c:v>
                </c:pt>
                <c:pt idx="2">
                  <c:v>2012</c:v>
                </c:pt>
                <c:pt idx="3">
                  <c:v>2013</c:v>
                </c:pt>
                <c:pt idx="4">
                  <c:v>2014</c:v>
                </c:pt>
                <c:pt idx="5">
                  <c:v>2015</c:v>
                </c:pt>
                <c:pt idx="6">
                  <c:v>2016</c:v>
                </c:pt>
                <c:pt idx="7">
                  <c:v>2017</c:v>
                </c:pt>
                <c:pt idx="8">
                  <c:v>2018</c:v>
                </c:pt>
                <c:pt idx="9">
                  <c:v>2019</c:v>
                </c:pt>
              </c:strCache>
            </c:strRef>
          </c:cat>
          <c:val>
            <c:numRef>
              <c:f>zgony!$B$6:$K$6</c:f>
              <c:numCache>
                <c:formatCode>#,##0.00</c:formatCode>
                <c:ptCount val="10"/>
                <c:pt idx="0">
                  <c:v>9.5299999999999994</c:v>
                </c:pt>
                <c:pt idx="1">
                  <c:v>8.65</c:v>
                </c:pt>
                <c:pt idx="2">
                  <c:v>10.3</c:v>
                </c:pt>
                <c:pt idx="3">
                  <c:v>10.54</c:v>
                </c:pt>
                <c:pt idx="4">
                  <c:v>8.67</c:v>
                </c:pt>
                <c:pt idx="5">
                  <c:v>9.86</c:v>
                </c:pt>
                <c:pt idx="6">
                  <c:v>10.31</c:v>
                </c:pt>
                <c:pt idx="7">
                  <c:v>10.49</c:v>
                </c:pt>
                <c:pt idx="8">
                  <c:v>10.99</c:v>
                </c:pt>
                <c:pt idx="9">
                  <c:v>9.11</c:v>
                </c:pt>
              </c:numCache>
            </c:numRef>
          </c:val>
          <c:smooth val="0"/>
          <c:extLst>
            <c:ext xmlns:c16="http://schemas.microsoft.com/office/drawing/2014/chart" uri="{C3380CC4-5D6E-409C-BE32-E72D297353CC}">
              <c16:uniqueId val="{00000003-BF6F-43C2-951A-1AD64B0DDCC0}"/>
            </c:ext>
          </c:extLst>
        </c:ser>
        <c:ser>
          <c:idx val="4"/>
          <c:order val="4"/>
          <c:tx>
            <c:strRef>
              <c:f>zgony!$A$7</c:f>
              <c:strCache>
                <c:ptCount val="1"/>
                <c:pt idx="0">
                  <c:v>Powiat piski</c:v>
                </c:pt>
              </c:strCache>
            </c:strRef>
          </c:tx>
          <c:spPr>
            <a:ln w="28575" cap="rnd">
              <a:solidFill>
                <a:schemeClr val="accent5"/>
              </a:solidFill>
              <a:round/>
            </a:ln>
            <a:effectLst/>
          </c:spPr>
          <c:marker>
            <c:symbol val="none"/>
          </c:marker>
          <c:cat>
            <c:strRef>
              <c:f>zgony!$B$2:$K$2</c:f>
              <c:strCache>
                <c:ptCount val="10"/>
                <c:pt idx="0">
                  <c:v>2010</c:v>
                </c:pt>
                <c:pt idx="1">
                  <c:v>2011</c:v>
                </c:pt>
                <c:pt idx="2">
                  <c:v>2012</c:v>
                </c:pt>
                <c:pt idx="3">
                  <c:v>2013</c:v>
                </c:pt>
                <c:pt idx="4">
                  <c:v>2014</c:v>
                </c:pt>
                <c:pt idx="5">
                  <c:v>2015</c:v>
                </c:pt>
                <c:pt idx="6">
                  <c:v>2016</c:v>
                </c:pt>
                <c:pt idx="7">
                  <c:v>2017</c:v>
                </c:pt>
                <c:pt idx="8">
                  <c:v>2018</c:v>
                </c:pt>
                <c:pt idx="9">
                  <c:v>2019</c:v>
                </c:pt>
              </c:strCache>
            </c:strRef>
          </c:cat>
          <c:val>
            <c:numRef>
              <c:f>zgony!$B$7:$K$7</c:f>
              <c:numCache>
                <c:formatCode>#,##0.00</c:formatCode>
                <c:ptCount val="10"/>
                <c:pt idx="0">
                  <c:v>8.64</c:v>
                </c:pt>
                <c:pt idx="1">
                  <c:v>9.19</c:v>
                </c:pt>
                <c:pt idx="2">
                  <c:v>9.39</c:v>
                </c:pt>
                <c:pt idx="3">
                  <c:v>9.4700000000000006</c:v>
                </c:pt>
                <c:pt idx="4">
                  <c:v>8.27</c:v>
                </c:pt>
                <c:pt idx="5">
                  <c:v>9.02</c:v>
                </c:pt>
                <c:pt idx="6">
                  <c:v>8.9700000000000006</c:v>
                </c:pt>
                <c:pt idx="7">
                  <c:v>9.31</c:v>
                </c:pt>
                <c:pt idx="8">
                  <c:v>10.19</c:v>
                </c:pt>
                <c:pt idx="9">
                  <c:v>10.31</c:v>
                </c:pt>
              </c:numCache>
            </c:numRef>
          </c:val>
          <c:smooth val="0"/>
          <c:extLst>
            <c:ext xmlns:c16="http://schemas.microsoft.com/office/drawing/2014/chart" uri="{C3380CC4-5D6E-409C-BE32-E72D297353CC}">
              <c16:uniqueId val="{00000004-BF6F-43C2-951A-1AD64B0DDCC0}"/>
            </c:ext>
          </c:extLst>
        </c:ser>
        <c:ser>
          <c:idx val="5"/>
          <c:order val="5"/>
          <c:tx>
            <c:strRef>
              <c:f>zgony!$A$8</c:f>
              <c:strCache>
                <c:ptCount val="1"/>
                <c:pt idx="0">
                  <c:v>Powiat szczycieński</c:v>
                </c:pt>
              </c:strCache>
            </c:strRef>
          </c:tx>
          <c:spPr>
            <a:ln w="28575" cap="rnd">
              <a:solidFill>
                <a:schemeClr val="accent6"/>
              </a:solidFill>
              <a:round/>
            </a:ln>
            <a:effectLst/>
          </c:spPr>
          <c:marker>
            <c:symbol val="none"/>
          </c:marker>
          <c:cat>
            <c:strRef>
              <c:f>zgony!$B$2:$K$2</c:f>
              <c:strCache>
                <c:ptCount val="10"/>
                <c:pt idx="0">
                  <c:v>2010</c:v>
                </c:pt>
                <c:pt idx="1">
                  <c:v>2011</c:v>
                </c:pt>
                <c:pt idx="2">
                  <c:v>2012</c:v>
                </c:pt>
                <c:pt idx="3">
                  <c:v>2013</c:v>
                </c:pt>
                <c:pt idx="4">
                  <c:v>2014</c:v>
                </c:pt>
                <c:pt idx="5">
                  <c:v>2015</c:v>
                </c:pt>
                <c:pt idx="6">
                  <c:v>2016</c:v>
                </c:pt>
                <c:pt idx="7">
                  <c:v>2017</c:v>
                </c:pt>
                <c:pt idx="8">
                  <c:v>2018</c:v>
                </c:pt>
                <c:pt idx="9">
                  <c:v>2019</c:v>
                </c:pt>
              </c:strCache>
            </c:strRef>
          </c:cat>
          <c:val>
            <c:numRef>
              <c:f>zgony!$B$8:$K$8</c:f>
              <c:numCache>
                <c:formatCode>#,##0.00</c:formatCode>
                <c:ptCount val="10"/>
                <c:pt idx="0">
                  <c:v>8.7899999999999991</c:v>
                </c:pt>
                <c:pt idx="1">
                  <c:v>8.33</c:v>
                </c:pt>
                <c:pt idx="2">
                  <c:v>9.35</c:v>
                </c:pt>
                <c:pt idx="3">
                  <c:v>9.64</c:v>
                </c:pt>
                <c:pt idx="4">
                  <c:v>9.1199999999999992</c:v>
                </c:pt>
                <c:pt idx="5">
                  <c:v>9.6300000000000008</c:v>
                </c:pt>
                <c:pt idx="6">
                  <c:v>9.1999999999999993</c:v>
                </c:pt>
                <c:pt idx="7">
                  <c:v>9.9499999999999993</c:v>
                </c:pt>
                <c:pt idx="8">
                  <c:v>10.98</c:v>
                </c:pt>
                <c:pt idx="9">
                  <c:v>11.22</c:v>
                </c:pt>
              </c:numCache>
            </c:numRef>
          </c:val>
          <c:smooth val="0"/>
          <c:extLst>
            <c:ext xmlns:c16="http://schemas.microsoft.com/office/drawing/2014/chart" uri="{C3380CC4-5D6E-409C-BE32-E72D297353CC}">
              <c16:uniqueId val="{00000005-BF6F-43C2-951A-1AD64B0DDCC0}"/>
            </c:ext>
          </c:extLst>
        </c:ser>
        <c:dLbls>
          <c:showLegendKey val="0"/>
          <c:showVal val="0"/>
          <c:showCatName val="0"/>
          <c:showSerName val="0"/>
          <c:showPercent val="0"/>
          <c:showBubbleSize val="0"/>
        </c:dLbls>
        <c:smooth val="0"/>
        <c:axId val="513430632"/>
        <c:axId val="513433376"/>
      </c:lineChart>
      <c:catAx>
        <c:axId val="5134306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13433376"/>
        <c:crosses val="autoZero"/>
        <c:auto val="1"/>
        <c:lblAlgn val="ctr"/>
        <c:lblOffset val="100"/>
        <c:noMultiLvlLbl val="0"/>
      </c:catAx>
      <c:valAx>
        <c:axId val="513433376"/>
        <c:scaling>
          <c:orientation val="minMax"/>
          <c:min val="8"/>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134306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'przyrost naturalny'!$A$3</c:f>
              <c:strCache>
                <c:ptCount val="1"/>
                <c:pt idx="0">
                  <c:v>Polska</c:v>
                </c:pt>
              </c:strCache>
            </c:strRef>
          </c:tx>
          <c:spPr>
            <a:ln w="28575" cap="rnd">
              <a:solidFill>
                <a:schemeClr val="tx2">
                  <a:lumMod val="75000"/>
                </a:schemeClr>
              </a:solidFill>
              <a:round/>
            </a:ln>
            <a:effectLst/>
          </c:spPr>
          <c:marker>
            <c:symbol val="none"/>
          </c:marker>
          <c:cat>
            <c:strRef>
              <c:f>'przyrost naturalny'!$B$2:$K$2</c:f>
              <c:strCache>
                <c:ptCount val="10"/>
                <c:pt idx="0">
                  <c:v>2010</c:v>
                </c:pt>
                <c:pt idx="1">
                  <c:v>2011</c:v>
                </c:pt>
                <c:pt idx="2">
                  <c:v>2012</c:v>
                </c:pt>
                <c:pt idx="3">
                  <c:v>2013</c:v>
                </c:pt>
                <c:pt idx="4">
                  <c:v>2014</c:v>
                </c:pt>
                <c:pt idx="5">
                  <c:v>2015</c:v>
                </c:pt>
                <c:pt idx="6">
                  <c:v>2016</c:v>
                </c:pt>
                <c:pt idx="7">
                  <c:v>2017</c:v>
                </c:pt>
                <c:pt idx="8">
                  <c:v>2018</c:v>
                </c:pt>
                <c:pt idx="9">
                  <c:v>2019</c:v>
                </c:pt>
              </c:strCache>
            </c:strRef>
          </c:cat>
          <c:val>
            <c:numRef>
              <c:f>'przyrost naturalny'!$B$3:$K$3</c:f>
              <c:numCache>
                <c:formatCode>#,##0.00</c:formatCode>
                <c:ptCount val="10"/>
                <c:pt idx="0">
                  <c:v>0.9</c:v>
                </c:pt>
                <c:pt idx="1">
                  <c:v>0.34</c:v>
                </c:pt>
                <c:pt idx="2">
                  <c:v>0.04</c:v>
                </c:pt>
                <c:pt idx="3">
                  <c:v>-0.46</c:v>
                </c:pt>
                <c:pt idx="4">
                  <c:v>-0.03</c:v>
                </c:pt>
                <c:pt idx="5">
                  <c:v>-0.67</c:v>
                </c:pt>
                <c:pt idx="6">
                  <c:v>-0.15</c:v>
                </c:pt>
                <c:pt idx="7">
                  <c:v>-0.02</c:v>
                </c:pt>
                <c:pt idx="8">
                  <c:v>-0.68</c:v>
                </c:pt>
                <c:pt idx="9">
                  <c:v>-0.91</c:v>
                </c:pt>
              </c:numCache>
            </c:numRef>
          </c:val>
          <c:smooth val="0"/>
          <c:extLst>
            <c:ext xmlns:c16="http://schemas.microsoft.com/office/drawing/2014/chart" uri="{C3380CC4-5D6E-409C-BE32-E72D297353CC}">
              <c16:uniqueId val="{00000000-FCEB-4364-837C-9D706A1B0098}"/>
            </c:ext>
          </c:extLst>
        </c:ser>
        <c:ser>
          <c:idx val="1"/>
          <c:order val="1"/>
          <c:tx>
            <c:strRef>
              <c:f>'przyrost naturalny'!$A$4</c:f>
              <c:strCache>
                <c:ptCount val="1"/>
                <c:pt idx="0">
                  <c:v>Województwo warmińsko-mazurskie</c:v>
                </c:pt>
              </c:strCache>
            </c:strRef>
          </c:tx>
          <c:spPr>
            <a:ln w="28575" cap="rnd">
              <a:solidFill>
                <a:schemeClr val="accent3"/>
              </a:solidFill>
              <a:round/>
            </a:ln>
            <a:effectLst/>
          </c:spPr>
          <c:marker>
            <c:symbol val="none"/>
          </c:marker>
          <c:cat>
            <c:strRef>
              <c:f>'przyrost naturalny'!$B$2:$K$2</c:f>
              <c:strCache>
                <c:ptCount val="10"/>
                <c:pt idx="0">
                  <c:v>2010</c:v>
                </c:pt>
                <c:pt idx="1">
                  <c:v>2011</c:v>
                </c:pt>
                <c:pt idx="2">
                  <c:v>2012</c:v>
                </c:pt>
                <c:pt idx="3">
                  <c:v>2013</c:v>
                </c:pt>
                <c:pt idx="4">
                  <c:v>2014</c:v>
                </c:pt>
                <c:pt idx="5">
                  <c:v>2015</c:v>
                </c:pt>
                <c:pt idx="6">
                  <c:v>2016</c:v>
                </c:pt>
                <c:pt idx="7">
                  <c:v>2017</c:v>
                </c:pt>
                <c:pt idx="8">
                  <c:v>2018</c:v>
                </c:pt>
                <c:pt idx="9">
                  <c:v>2019</c:v>
                </c:pt>
              </c:strCache>
            </c:strRef>
          </c:cat>
          <c:val>
            <c:numRef>
              <c:f>'przyrost naturalny'!$B$4:$K$4</c:f>
              <c:numCache>
                <c:formatCode>#,##0.00</c:formatCode>
                <c:ptCount val="10"/>
                <c:pt idx="0">
                  <c:v>1.95</c:v>
                </c:pt>
                <c:pt idx="1">
                  <c:v>1.25</c:v>
                </c:pt>
                <c:pt idx="2">
                  <c:v>0.63</c:v>
                </c:pt>
                <c:pt idx="3">
                  <c:v>-0.21</c:v>
                </c:pt>
                <c:pt idx="4">
                  <c:v>0.59</c:v>
                </c:pt>
                <c:pt idx="5">
                  <c:v>-0.51</c:v>
                </c:pt>
                <c:pt idx="6">
                  <c:v>-0.44</c:v>
                </c:pt>
                <c:pt idx="7">
                  <c:v>0.08</c:v>
                </c:pt>
                <c:pt idx="8">
                  <c:v>-0.9</c:v>
                </c:pt>
                <c:pt idx="9">
                  <c:v>-1.39</c:v>
                </c:pt>
              </c:numCache>
            </c:numRef>
          </c:val>
          <c:smooth val="0"/>
          <c:extLst>
            <c:ext xmlns:c16="http://schemas.microsoft.com/office/drawing/2014/chart" uri="{C3380CC4-5D6E-409C-BE32-E72D297353CC}">
              <c16:uniqueId val="{00000001-FCEB-4364-837C-9D706A1B0098}"/>
            </c:ext>
          </c:extLst>
        </c:ser>
        <c:ser>
          <c:idx val="2"/>
          <c:order val="2"/>
          <c:tx>
            <c:strRef>
              <c:f>'przyrost naturalny'!$A$5</c:f>
              <c:strCache>
                <c:ptCount val="1"/>
                <c:pt idx="0">
                  <c:v>Powiat działdowski</c:v>
                </c:pt>
              </c:strCache>
            </c:strRef>
          </c:tx>
          <c:spPr>
            <a:ln w="28575" cap="rnd">
              <a:solidFill>
                <a:schemeClr val="accent2"/>
              </a:solidFill>
              <a:round/>
            </a:ln>
            <a:effectLst/>
          </c:spPr>
          <c:marker>
            <c:symbol val="none"/>
          </c:marker>
          <c:cat>
            <c:strRef>
              <c:f>'przyrost naturalny'!$B$2:$K$2</c:f>
              <c:strCache>
                <c:ptCount val="10"/>
                <c:pt idx="0">
                  <c:v>2010</c:v>
                </c:pt>
                <c:pt idx="1">
                  <c:v>2011</c:v>
                </c:pt>
                <c:pt idx="2">
                  <c:v>2012</c:v>
                </c:pt>
                <c:pt idx="3">
                  <c:v>2013</c:v>
                </c:pt>
                <c:pt idx="4">
                  <c:v>2014</c:v>
                </c:pt>
                <c:pt idx="5">
                  <c:v>2015</c:v>
                </c:pt>
                <c:pt idx="6">
                  <c:v>2016</c:v>
                </c:pt>
                <c:pt idx="7">
                  <c:v>2017</c:v>
                </c:pt>
                <c:pt idx="8">
                  <c:v>2018</c:v>
                </c:pt>
                <c:pt idx="9">
                  <c:v>2019</c:v>
                </c:pt>
              </c:strCache>
            </c:strRef>
          </c:cat>
          <c:val>
            <c:numRef>
              <c:f>'przyrost naturalny'!$B$5:$K$5</c:f>
              <c:numCache>
                <c:formatCode>#,##0.00</c:formatCode>
                <c:ptCount val="10"/>
                <c:pt idx="0">
                  <c:v>2.78</c:v>
                </c:pt>
                <c:pt idx="1">
                  <c:v>1.53</c:v>
                </c:pt>
                <c:pt idx="2">
                  <c:v>1.77</c:v>
                </c:pt>
                <c:pt idx="3">
                  <c:v>1.1000000000000001</c:v>
                </c:pt>
                <c:pt idx="4">
                  <c:v>0.8</c:v>
                </c:pt>
                <c:pt idx="5">
                  <c:v>0.2</c:v>
                </c:pt>
                <c:pt idx="6">
                  <c:v>-0.27</c:v>
                </c:pt>
                <c:pt idx="7">
                  <c:v>0.33</c:v>
                </c:pt>
                <c:pt idx="8">
                  <c:v>-1.84</c:v>
                </c:pt>
                <c:pt idx="9">
                  <c:v>-1.27</c:v>
                </c:pt>
              </c:numCache>
            </c:numRef>
          </c:val>
          <c:smooth val="0"/>
          <c:extLst>
            <c:ext xmlns:c16="http://schemas.microsoft.com/office/drawing/2014/chart" uri="{C3380CC4-5D6E-409C-BE32-E72D297353CC}">
              <c16:uniqueId val="{00000002-FCEB-4364-837C-9D706A1B0098}"/>
            </c:ext>
          </c:extLst>
        </c:ser>
        <c:ser>
          <c:idx val="3"/>
          <c:order val="3"/>
          <c:tx>
            <c:strRef>
              <c:f>'przyrost naturalny'!$A$6</c:f>
              <c:strCache>
                <c:ptCount val="1"/>
                <c:pt idx="0">
                  <c:v>Powiat nidzicki</c:v>
                </c:pt>
              </c:strCache>
            </c:strRef>
          </c:tx>
          <c:spPr>
            <a:ln w="28575" cap="rnd">
              <a:solidFill>
                <a:schemeClr val="accent4"/>
              </a:solidFill>
              <a:round/>
            </a:ln>
            <a:effectLst/>
          </c:spPr>
          <c:marker>
            <c:symbol val="none"/>
          </c:marker>
          <c:cat>
            <c:strRef>
              <c:f>'przyrost naturalny'!$B$2:$K$2</c:f>
              <c:strCache>
                <c:ptCount val="10"/>
                <c:pt idx="0">
                  <c:v>2010</c:v>
                </c:pt>
                <c:pt idx="1">
                  <c:v>2011</c:v>
                </c:pt>
                <c:pt idx="2">
                  <c:v>2012</c:v>
                </c:pt>
                <c:pt idx="3">
                  <c:v>2013</c:v>
                </c:pt>
                <c:pt idx="4">
                  <c:v>2014</c:v>
                </c:pt>
                <c:pt idx="5">
                  <c:v>2015</c:v>
                </c:pt>
                <c:pt idx="6">
                  <c:v>2016</c:v>
                </c:pt>
                <c:pt idx="7">
                  <c:v>2017</c:v>
                </c:pt>
                <c:pt idx="8">
                  <c:v>2018</c:v>
                </c:pt>
                <c:pt idx="9">
                  <c:v>2019</c:v>
                </c:pt>
              </c:strCache>
            </c:strRef>
          </c:cat>
          <c:val>
            <c:numRef>
              <c:f>'przyrost naturalny'!$B$6:$K$6</c:f>
              <c:numCache>
                <c:formatCode>#,##0.00</c:formatCode>
                <c:ptCount val="10"/>
                <c:pt idx="0">
                  <c:v>0.57999999999999996</c:v>
                </c:pt>
                <c:pt idx="1">
                  <c:v>1.57</c:v>
                </c:pt>
                <c:pt idx="2">
                  <c:v>0.5</c:v>
                </c:pt>
                <c:pt idx="3">
                  <c:v>-1.1499999999999999</c:v>
                </c:pt>
                <c:pt idx="4">
                  <c:v>1.89</c:v>
                </c:pt>
                <c:pt idx="5">
                  <c:v>-1.04</c:v>
                </c:pt>
                <c:pt idx="6">
                  <c:v>-0.54</c:v>
                </c:pt>
                <c:pt idx="7">
                  <c:v>0.33</c:v>
                </c:pt>
                <c:pt idx="8">
                  <c:v>-1.03</c:v>
                </c:pt>
                <c:pt idx="9">
                  <c:v>-0.36</c:v>
                </c:pt>
              </c:numCache>
            </c:numRef>
          </c:val>
          <c:smooth val="0"/>
          <c:extLst>
            <c:ext xmlns:c16="http://schemas.microsoft.com/office/drawing/2014/chart" uri="{C3380CC4-5D6E-409C-BE32-E72D297353CC}">
              <c16:uniqueId val="{00000003-FCEB-4364-837C-9D706A1B0098}"/>
            </c:ext>
          </c:extLst>
        </c:ser>
        <c:ser>
          <c:idx val="4"/>
          <c:order val="4"/>
          <c:tx>
            <c:strRef>
              <c:f>'przyrost naturalny'!$A$7</c:f>
              <c:strCache>
                <c:ptCount val="1"/>
                <c:pt idx="0">
                  <c:v>Powiat piski</c:v>
                </c:pt>
              </c:strCache>
            </c:strRef>
          </c:tx>
          <c:spPr>
            <a:ln w="28575" cap="rnd">
              <a:solidFill>
                <a:schemeClr val="accent5"/>
              </a:solidFill>
              <a:round/>
            </a:ln>
            <a:effectLst/>
          </c:spPr>
          <c:marker>
            <c:symbol val="none"/>
          </c:marker>
          <c:cat>
            <c:strRef>
              <c:f>'przyrost naturalny'!$B$2:$K$2</c:f>
              <c:strCache>
                <c:ptCount val="10"/>
                <c:pt idx="0">
                  <c:v>2010</c:v>
                </c:pt>
                <c:pt idx="1">
                  <c:v>2011</c:v>
                </c:pt>
                <c:pt idx="2">
                  <c:v>2012</c:v>
                </c:pt>
                <c:pt idx="3">
                  <c:v>2013</c:v>
                </c:pt>
                <c:pt idx="4">
                  <c:v>2014</c:v>
                </c:pt>
                <c:pt idx="5">
                  <c:v>2015</c:v>
                </c:pt>
                <c:pt idx="6">
                  <c:v>2016</c:v>
                </c:pt>
                <c:pt idx="7">
                  <c:v>2017</c:v>
                </c:pt>
                <c:pt idx="8">
                  <c:v>2018</c:v>
                </c:pt>
                <c:pt idx="9">
                  <c:v>2019</c:v>
                </c:pt>
              </c:strCache>
            </c:strRef>
          </c:cat>
          <c:val>
            <c:numRef>
              <c:f>'przyrost naturalny'!$B$7:$K$7</c:f>
              <c:numCache>
                <c:formatCode>#,##0.00</c:formatCode>
                <c:ptCount val="10"/>
                <c:pt idx="0">
                  <c:v>1.76</c:v>
                </c:pt>
                <c:pt idx="1">
                  <c:v>0.74</c:v>
                </c:pt>
                <c:pt idx="2">
                  <c:v>-0.22</c:v>
                </c:pt>
                <c:pt idx="3">
                  <c:v>-0.6</c:v>
                </c:pt>
                <c:pt idx="4">
                  <c:v>1.23</c:v>
                </c:pt>
                <c:pt idx="5">
                  <c:v>0.28999999999999998</c:v>
                </c:pt>
                <c:pt idx="6">
                  <c:v>-0.23</c:v>
                </c:pt>
                <c:pt idx="7">
                  <c:v>0.04</c:v>
                </c:pt>
                <c:pt idx="8">
                  <c:v>-0.65</c:v>
                </c:pt>
                <c:pt idx="9">
                  <c:v>-1.22</c:v>
                </c:pt>
              </c:numCache>
            </c:numRef>
          </c:val>
          <c:smooth val="0"/>
          <c:extLst>
            <c:ext xmlns:c16="http://schemas.microsoft.com/office/drawing/2014/chart" uri="{C3380CC4-5D6E-409C-BE32-E72D297353CC}">
              <c16:uniqueId val="{00000004-FCEB-4364-837C-9D706A1B0098}"/>
            </c:ext>
          </c:extLst>
        </c:ser>
        <c:ser>
          <c:idx val="5"/>
          <c:order val="5"/>
          <c:tx>
            <c:strRef>
              <c:f>'przyrost naturalny'!$A$8</c:f>
              <c:strCache>
                <c:ptCount val="1"/>
                <c:pt idx="0">
                  <c:v>Powiat szczycieński</c:v>
                </c:pt>
              </c:strCache>
            </c:strRef>
          </c:tx>
          <c:spPr>
            <a:ln w="28575" cap="rnd">
              <a:solidFill>
                <a:schemeClr val="accent6"/>
              </a:solidFill>
              <a:round/>
            </a:ln>
            <a:effectLst/>
          </c:spPr>
          <c:marker>
            <c:symbol val="none"/>
          </c:marker>
          <c:cat>
            <c:strRef>
              <c:f>'przyrost naturalny'!$B$2:$K$2</c:f>
              <c:strCache>
                <c:ptCount val="10"/>
                <c:pt idx="0">
                  <c:v>2010</c:v>
                </c:pt>
                <c:pt idx="1">
                  <c:v>2011</c:v>
                </c:pt>
                <c:pt idx="2">
                  <c:v>2012</c:v>
                </c:pt>
                <c:pt idx="3">
                  <c:v>2013</c:v>
                </c:pt>
                <c:pt idx="4">
                  <c:v>2014</c:v>
                </c:pt>
                <c:pt idx="5">
                  <c:v>2015</c:v>
                </c:pt>
                <c:pt idx="6">
                  <c:v>2016</c:v>
                </c:pt>
                <c:pt idx="7">
                  <c:v>2017</c:v>
                </c:pt>
                <c:pt idx="8">
                  <c:v>2018</c:v>
                </c:pt>
                <c:pt idx="9">
                  <c:v>2019</c:v>
                </c:pt>
              </c:strCache>
            </c:strRef>
          </c:cat>
          <c:val>
            <c:numRef>
              <c:f>'przyrost naturalny'!$B$8:$K$8</c:f>
              <c:numCache>
                <c:formatCode>#,##0.00</c:formatCode>
                <c:ptCount val="10"/>
                <c:pt idx="0">
                  <c:v>2.69</c:v>
                </c:pt>
                <c:pt idx="1">
                  <c:v>2.4900000000000002</c:v>
                </c:pt>
                <c:pt idx="2">
                  <c:v>0.39</c:v>
                </c:pt>
                <c:pt idx="3">
                  <c:v>-0.32</c:v>
                </c:pt>
                <c:pt idx="4">
                  <c:v>0.54</c:v>
                </c:pt>
                <c:pt idx="5">
                  <c:v>-1.23</c:v>
                </c:pt>
                <c:pt idx="6">
                  <c:v>0.47</c:v>
                </c:pt>
                <c:pt idx="7">
                  <c:v>-0.09</c:v>
                </c:pt>
                <c:pt idx="8">
                  <c:v>-1.0900000000000001</c:v>
                </c:pt>
                <c:pt idx="9">
                  <c:v>-1.78</c:v>
                </c:pt>
              </c:numCache>
            </c:numRef>
          </c:val>
          <c:smooth val="0"/>
          <c:extLst>
            <c:ext xmlns:c16="http://schemas.microsoft.com/office/drawing/2014/chart" uri="{C3380CC4-5D6E-409C-BE32-E72D297353CC}">
              <c16:uniqueId val="{00000005-FCEB-4364-837C-9D706A1B0098}"/>
            </c:ext>
          </c:extLst>
        </c:ser>
        <c:dLbls>
          <c:showLegendKey val="0"/>
          <c:showVal val="0"/>
          <c:showCatName val="0"/>
          <c:showSerName val="0"/>
          <c:showPercent val="0"/>
          <c:showBubbleSize val="0"/>
        </c:dLbls>
        <c:smooth val="0"/>
        <c:axId val="513440040"/>
        <c:axId val="513429456"/>
      </c:lineChart>
      <c:catAx>
        <c:axId val="5134400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13429456"/>
        <c:crosses val="autoZero"/>
        <c:auto val="1"/>
        <c:lblAlgn val="ctr"/>
        <c:lblOffset val="100"/>
        <c:noMultiLvlLbl val="0"/>
      </c:catAx>
      <c:valAx>
        <c:axId val="513429456"/>
        <c:scaling>
          <c:orientation val="minMax"/>
          <c:max val="3"/>
          <c:min val="-2"/>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134400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'NGO wykres'!$A$3</c:f>
              <c:strCache>
                <c:ptCount val="1"/>
                <c:pt idx="0">
                  <c:v>Polska</c:v>
                </c:pt>
              </c:strCache>
            </c:strRef>
          </c:tx>
          <c:spPr>
            <a:ln w="28575" cap="rnd">
              <a:solidFill>
                <a:schemeClr val="tx1"/>
              </a:solidFill>
              <a:round/>
            </a:ln>
            <a:effectLst/>
          </c:spPr>
          <c:marker>
            <c:symbol val="none"/>
          </c:marker>
          <c:cat>
            <c:strRef>
              <c:f>'NGO wykres'!$B$2:$K$2</c:f>
              <c:strCache>
                <c:ptCount val="10"/>
                <c:pt idx="0">
                  <c:v>2010</c:v>
                </c:pt>
                <c:pt idx="1">
                  <c:v>2011</c:v>
                </c:pt>
                <c:pt idx="2">
                  <c:v>2012</c:v>
                </c:pt>
                <c:pt idx="3">
                  <c:v>2013</c:v>
                </c:pt>
                <c:pt idx="4">
                  <c:v>2014</c:v>
                </c:pt>
                <c:pt idx="5">
                  <c:v>2015</c:v>
                </c:pt>
                <c:pt idx="6">
                  <c:v>2016</c:v>
                </c:pt>
                <c:pt idx="7">
                  <c:v>2017</c:v>
                </c:pt>
                <c:pt idx="8">
                  <c:v>2018</c:v>
                </c:pt>
                <c:pt idx="9">
                  <c:v>2019</c:v>
                </c:pt>
              </c:strCache>
            </c:strRef>
          </c:cat>
          <c:val>
            <c:numRef>
              <c:f>'NGO wykres'!$B$3:$K$3</c:f>
              <c:numCache>
                <c:formatCode>General</c:formatCode>
                <c:ptCount val="10"/>
                <c:pt idx="0">
                  <c:v>27</c:v>
                </c:pt>
                <c:pt idx="1">
                  <c:v>28</c:v>
                </c:pt>
                <c:pt idx="2">
                  <c:v>30</c:v>
                </c:pt>
                <c:pt idx="3">
                  <c:v>32</c:v>
                </c:pt>
                <c:pt idx="4">
                  <c:v>33</c:v>
                </c:pt>
                <c:pt idx="5">
                  <c:v>35</c:v>
                </c:pt>
                <c:pt idx="6">
                  <c:v>37</c:v>
                </c:pt>
                <c:pt idx="7">
                  <c:v>38</c:v>
                </c:pt>
                <c:pt idx="8">
                  <c:v>37</c:v>
                </c:pt>
                <c:pt idx="9">
                  <c:v>38</c:v>
                </c:pt>
              </c:numCache>
            </c:numRef>
          </c:val>
          <c:smooth val="0"/>
          <c:extLst>
            <c:ext xmlns:c16="http://schemas.microsoft.com/office/drawing/2014/chart" uri="{C3380CC4-5D6E-409C-BE32-E72D297353CC}">
              <c16:uniqueId val="{00000000-55B2-4BB3-A9BB-3F6D7458B7ED}"/>
            </c:ext>
          </c:extLst>
        </c:ser>
        <c:ser>
          <c:idx val="1"/>
          <c:order val="1"/>
          <c:tx>
            <c:strRef>
              <c:f>'NGO wykres'!$A$4</c:f>
              <c:strCache>
                <c:ptCount val="1"/>
                <c:pt idx="0">
                  <c:v>Województwo warmińsko-mazurskie</c:v>
                </c:pt>
              </c:strCache>
            </c:strRef>
          </c:tx>
          <c:spPr>
            <a:ln w="28575" cap="rnd">
              <a:solidFill>
                <a:schemeClr val="accent3"/>
              </a:solidFill>
              <a:round/>
            </a:ln>
            <a:effectLst/>
          </c:spPr>
          <c:marker>
            <c:symbol val="none"/>
          </c:marker>
          <c:cat>
            <c:strRef>
              <c:f>'NGO wykres'!$B$2:$K$2</c:f>
              <c:strCache>
                <c:ptCount val="10"/>
                <c:pt idx="0">
                  <c:v>2010</c:v>
                </c:pt>
                <c:pt idx="1">
                  <c:v>2011</c:v>
                </c:pt>
                <c:pt idx="2">
                  <c:v>2012</c:v>
                </c:pt>
                <c:pt idx="3">
                  <c:v>2013</c:v>
                </c:pt>
                <c:pt idx="4">
                  <c:v>2014</c:v>
                </c:pt>
                <c:pt idx="5">
                  <c:v>2015</c:v>
                </c:pt>
                <c:pt idx="6">
                  <c:v>2016</c:v>
                </c:pt>
                <c:pt idx="7">
                  <c:v>2017</c:v>
                </c:pt>
                <c:pt idx="8">
                  <c:v>2018</c:v>
                </c:pt>
                <c:pt idx="9">
                  <c:v>2019</c:v>
                </c:pt>
              </c:strCache>
            </c:strRef>
          </c:cat>
          <c:val>
            <c:numRef>
              <c:f>'NGO wykres'!$B$4:$K$4</c:f>
              <c:numCache>
                <c:formatCode>General</c:formatCode>
                <c:ptCount val="10"/>
                <c:pt idx="0">
                  <c:v>30</c:v>
                </c:pt>
                <c:pt idx="1">
                  <c:v>31</c:v>
                </c:pt>
                <c:pt idx="2">
                  <c:v>33</c:v>
                </c:pt>
                <c:pt idx="3">
                  <c:v>34</c:v>
                </c:pt>
                <c:pt idx="4">
                  <c:v>36</c:v>
                </c:pt>
                <c:pt idx="5">
                  <c:v>38</c:v>
                </c:pt>
                <c:pt idx="6">
                  <c:v>39</c:v>
                </c:pt>
                <c:pt idx="7">
                  <c:v>41</c:v>
                </c:pt>
                <c:pt idx="8">
                  <c:v>40</c:v>
                </c:pt>
                <c:pt idx="9">
                  <c:v>41</c:v>
                </c:pt>
              </c:numCache>
            </c:numRef>
          </c:val>
          <c:smooth val="0"/>
          <c:extLst>
            <c:ext xmlns:c16="http://schemas.microsoft.com/office/drawing/2014/chart" uri="{C3380CC4-5D6E-409C-BE32-E72D297353CC}">
              <c16:uniqueId val="{00000001-55B2-4BB3-A9BB-3F6D7458B7ED}"/>
            </c:ext>
          </c:extLst>
        </c:ser>
        <c:ser>
          <c:idx val="2"/>
          <c:order val="2"/>
          <c:tx>
            <c:strRef>
              <c:f>'NGO wykres'!$A$5</c:f>
              <c:strCache>
                <c:ptCount val="1"/>
                <c:pt idx="0">
                  <c:v>Powiat działdowski</c:v>
                </c:pt>
              </c:strCache>
            </c:strRef>
          </c:tx>
          <c:spPr>
            <a:ln w="28575" cap="rnd">
              <a:solidFill>
                <a:schemeClr val="accent2"/>
              </a:solidFill>
              <a:round/>
            </a:ln>
            <a:effectLst/>
          </c:spPr>
          <c:marker>
            <c:symbol val="none"/>
          </c:marker>
          <c:cat>
            <c:strRef>
              <c:f>'NGO wykres'!$B$2:$K$2</c:f>
              <c:strCache>
                <c:ptCount val="10"/>
                <c:pt idx="0">
                  <c:v>2010</c:v>
                </c:pt>
                <c:pt idx="1">
                  <c:v>2011</c:v>
                </c:pt>
                <c:pt idx="2">
                  <c:v>2012</c:v>
                </c:pt>
                <c:pt idx="3">
                  <c:v>2013</c:v>
                </c:pt>
                <c:pt idx="4">
                  <c:v>2014</c:v>
                </c:pt>
                <c:pt idx="5">
                  <c:v>2015</c:v>
                </c:pt>
                <c:pt idx="6">
                  <c:v>2016</c:v>
                </c:pt>
                <c:pt idx="7">
                  <c:v>2017</c:v>
                </c:pt>
                <c:pt idx="8">
                  <c:v>2018</c:v>
                </c:pt>
                <c:pt idx="9">
                  <c:v>2019</c:v>
                </c:pt>
              </c:strCache>
            </c:strRef>
          </c:cat>
          <c:val>
            <c:numRef>
              <c:f>'NGO wykres'!$B$5:$K$5</c:f>
              <c:numCache>
                <c:formatCode>General</c:formatCode>
                <c:ptCount val="10"/>
                <c:pt idx="0">
                  <c:v>20</c:v>
                </c:pt>
                <c:pt idx="1">
                  <c:v>21</c:v>
                </c:pt>
                <c:pt idx="2">
                  <c:v>22</c:v>
                </c:pt>
                <c:pt idx="3">
                  <c:v>24</c:v>
                </c:pt>
                <c:pt idx="4">
                  <c:v>25</c:v>
                </c:pt>
                <c:pt idx="5">
                  <c:v>26</c:v>
                </c:pt>
                <c:pt idx="6">
                  <c:v>28</c:v>
                </c:pt>
                <c:pt idx="7">
                  <c:v>30</c:v>
                </c:pt>
                <c:pt idx="8">
                  <c:v>30</c:v>
                </c:pt>
                <c:pt idx="9">
                  <c:v>31</c:v>
                </c:pt>
              </c:numCache>
            </c:numRef>
          </c:val>
          <c:smooth val="0"/>
          <c:extLst>
            <c:ext xmlns:c16="http://schemas.microsoft.com/office/drawing/2014/chart" uri="{C3380CC4-5D6E-409C-BE32-E72D297353CC}">
              <c16:uniqueId val="{00000002-55B2-4BB3-A9BB-3F6D7458B7ED}"/>
            </c:ext>
          </c:extLst>
        </c:ser>
        <c:ser>
          <c:idx val="3"/>
          <c:order val="3"/>
          <c:tx>
            <c:strRef>
              <c:f>'NGO wykres'!$A$6</c:f>
              <c:strCache>
                <c:ptCount val="1"/>
                <c:pt idx="0">
                  <c:v>Powiat nidzicki</c:v>
                </c:pt>
              </c:strCache>
            </c:strRef>
          </c:tx>
          <c:spPr>
            <a:ln w="28575" cap="rnd">
              <a:solidFill>
                <a:schemeClr val="accent4"/>
              </a:solidFill>
              <a:round/>
            </a:ln>
            <a:effectLst/>
          </c:spPr>
          <c:marker>
            <c:symbol val="none"/>
          </c:marker>
          <c:cat>
            <c:strRef>
              <c:f>'NGO wykres'!$B$2:$K$2</c:f>
              <c:strCache>
                <c:ptCount val="10"/>
                <c:pt idx="0">
                  <c:v>2010</c:v>
                </c:pt>
                <c:pt idx="1">
                  <c:v>2011</c:v>
                </c:pt>
                <c:pt idx="2">
                  <c:v>2012</c:v>
                </c:pt>
                <c:pt idx="3">
                  <c:v>2013</c:v>
                </c:pt>
                <c:pt idx="4">
                  <c:v>2014</c:v>
                </c:pt>
                <c:pt idx="5">
                  <c:v>2015</c:v>
                </c:pt>
                <c:pt idx="6">
                  <c:v>2016</c:v>
                </c:pt>
                <c:pt idx="7">
                  <c:v>2017</c:v>
                </c:pt>
                <c:pt idx="8">
                  <c:v>2018</c:v>
                </c:pt>
                <c:pt idx="9">
                  <c:v>2019</c:v>
                </c:pt>
              </c:strCache>
            </c:strRef>
          </c:cat>
          <c:val>
            <c:numRef>
              <c:f>'NGO wykres'!$B$6:$K$6</c:f>
              <c:numCache>
                <c:formatCode>General</c:formatCode>
                <c:ptCount val="10"/>
                <c:pt idx="0">
                  <c:v>23</c:v>
                </c:pt>
                <c:pt idx="1">
                  <c:v>23</c:v>
                </c:pt>
                <c:pt idx="2">
                  <c:v>25</c:v>
                </c:pt>
                <c:pt idx="3">
                  <c:v>26</c:v>
                </c:pt>
                <c:pt idx="4">
                  <c:v>27</c:v>
                </c:pt>
                <c:pt idx="5">
                  <c:v>29</c:v>
                </c:pt>
                <c:pt idx="6">
                  <c:v>31</c:v>
                </c:pt>
                <c:pt idx="7">
                  <c:v>31</c:v>
                </c:pt>
                <c:pt idx="8">
                  <c:v>31</c:v>
                </c:pt>
                <c:pt idx="9">
                  <c:v>33</c:v>
                </c:pt>
              </c:numCache>
            </c:numRef>
          </c:val>
          <c:smooth val="0"/>
          <c:extLst>
            <c:ext xmlns:c16="http://schemas.microsoft.com/office/drawing/2014/chart" uri="{C3380CC4-5D6E-409C-BE32-E72D297353CC}">
              <c16:uniqueId val="{00000003-55B2-4BB3-A9BB-3F6D7458B7ED}"/>
            </c:ext>
          </c:extLst>
        </c:ser>
        <c:ser>
          <c:idx val="4"/>
          <c:order val="4"/>
          <c:tx>
            <c:strRef>
              <c:f>'NGO wykres'!$A$7</c:f>
              <c:strCache>
                <c:ptCount val="1"/>
                <c:pt idx="0">
                  <c:v>Powiat piski</c:v>
                </c:pt>
              </c:strCache>
            </c:strRef>
          </c:tx>
          <c:spPr>
            <a:ln w="28575" cap="rnd">
              <a:solidFill>
                <a:schemeClr val="accent5"/>
              </a:solidFill>
              <a:round/>
            </a:ln>
            <a:effectLst/>
          </c:spPr>
          <c:marker>
            <c:symbol val="none"/>
          </c:marker>
          <c:cat>
            <c:strRef>
              <c:f>'NGO wykres'!$B$2:$K$2</c:f>
              <c:strCache>
                <c:ptCount val="10"/>
                <c:pt idx="0">
                  <c:v>2010</c:v>
                </c:pt>
                <c:pt idx="1">
                  <c:v>2011</c:v>
                </c:pt>
                <c:pt idx="2">
                  <c:v>2012</c:v>
                </c:pt>
                <c:pt idx="3">
                  <c:v>2013</c:v>
                </c:pt>
                <c:pt idx="4">
                  <c:v>2014</c:v>
                </c:pt>
                <c:pt idx="5">
                  <c:v>2015</c:v>
                </c:pt>
                <c:pt idx="6">
                  <c:v>2016</c:v>
                </c:pt>
                <c:pt idx="7">
                  <c:v>2017</c:v>
                </c:pt>
                <c:pt idx="8">
                  <c:v>2018</c:v>
                </c:pt>
                <c:pt idx="9">
                  <c:v>2019</c:v>
                </c:pt>
              </c:strCache>
            </c:strRef>
          </c:cat>
          <c:val>
            <c:numRef>
              <c:f>'NGO wykres'!$B$7:$K$7</c:f>
              <c:numCache>
                <c:formatCode>General</c:formatCode>
                <c:ptCount val="10"/>
                <c:pt idx="0">
                  <c:v>27</c:v>
                </c:pt>
                <c:pt idx="1">
                  <c:v>29</c:v>
                </c:pt>
                <c:pt idx="2">
                  <c:v>31</c:v>
                </c:pt>
                <c:pt idx="3">
                  <c:v>32</c:v>
                </c:pt>
                <c:pt idx="4">
                  <c:v>33</c:v>
                </c:pt>
                <c:pt idx="5">
                  <c:v>34</c:v>
                </c:pt>
                <c:pt idx="6">
                  <c:v>36</c:v>
                </c:pt>
                <c:pt idx="7">
                  <c:v>37</c:v>
                </c:pt>
                <c:pt idx="8">
                  <c:v>35</c:v>
                </c:pt>
                <c:pt idx="9">
                  <c:v>36</c:v>
                </c:pt>
              </c:numCache>
            </c:numRef>
          </c:val>
          <c:smooth val="0"/>
          <c:extLst>
            <c:ext xmlns:c16="http://schemas.microsoft.com/office/drawing/2014/chart" uri="{C3380CC4-5D6E-409C-BE32-E72D297353CC}">
              <c16:uniqueId val="{00000004-55B2-4BB3-A9BB-3F6D7458B7ED}"/>
            </c:ext>
          </c:extLst>
        </c:ser>
        <c:ser>
          <c:idx val="5"/>
          <c:order val="5"/>
          <c:tx>
            <c:strRef>
              <c:f>'NGO wykres'!$A$8</c:f>
              <c:strCache>
                <c:ptCount val="1"/>
                <c:pt idx="0">
                  <c:v>Powiat szczycieński</c:v>
                </c:pt>
              </c:strCache>
            </c:strRef>
          </c:tx>
          <c:spPr>
            <a:ln w="28575" cap="rnd">
              <a:solidFill>
                <a:schemeClr val="accent6"/>
              </a:solidFill>
              <a:round/>
            </a:ln>
            <a:effectLst/>
          </c:spPr>
          <c:marker>
            <c:symbol val="none"/>
          </c:marker>
          <c:cat>
            <c:strRef>
              <c:f>'NGO wykres'!$B$2:$K$2</c:f>
              <c:strCache>
                <c:ptCount val="10"/>
                <c:pt idx="0">
                  <c:v>2010</c:v>
                </c:pt>
                <c:pt idx="1">
                  <c:v>2011</c:v>
                </c:pt>
                <c:pt idx="2">
                  <c:v>2012</c:v>
                </c:pt>
                <c:pt idx="3">
                  <c:v>2013</c:v>
                </c:pt>
                <c:pt idx="4">
                  <c:v>2014</c:v>
                </c:pt>
                <c:pt idx="5">
                  <c:v>2015</c:v>
                </c:pt>
                <c:pt idx="6">
                  <c:v>2016</c:v>
                </c:pt>
                <c:pt idx="7">
                  <c:v>2017</c:v>
                </c:pt>
                <c:pt idx="8">
                  <c:v>2018</c:v>
                </c:pt>
                <c:pt idx="9">
                  <c:v>2019</c:v>
                </c:pt>
              </c:strCache>
            </c:strRef>
          </c:cat>
          <c:val>
            <c:numRef>
              <c:f>'NGO wykres'!$B$8:$K$8</c:f>
              <c:numCache>
                <c:formatCode>General</c:formatCode>
                <c:ptCount val="10"/>
                <c:pt idx="0">
                  <c:v>26</c:v>
                </c:pt>
                <c:pt idx="1">
                  <c:v>27</c:v>
                </c:pt>
                <c:pt idx="2">
                  <c:v>29</c:v>
                </c:pt>
                <c:pt idx="3">
                  <c:v>31</c:v>
                </c:pt>
                <c:pt idx="4">
                  <c:v>32</c:v>
                </c:pt>
                <c:pt idx="5">
                  <c:v>33</c:v>
                </c:pt>
                <c:pt idx="6">
                  <c:v>35</c:v>
                </c:pt>
                <c:pt idx="7">
                  <c:v>36</c:v>
                </c:pt>
                <c:pt idx="8">
                  <c:v>36</c:v>
                </c:pt>
                <c:pt idx="9">
                  <c:v>38</c:v>
                </c:pt>
              </c:numCache>
            </c:numRef>
          </c:val>
          <c:smooth val="0"/>
          <c:extLst>
            <c:ext xmlns:c16="http://schemas.microsoft.com/office/drawing/2014/chart" uri="{C3380CC4-5D6E-409C-BE32-E72D297353CC}">
              <c16:uniqueId val="{00000005-55B2-4BB3-A9BB-3F6D7458B7ED}"/>
            </c:ext>
          </c:extLst>
        </c:ser>
        <c:dLbls>
          <c:showLegendKey val="0"/>
          <c:showVal val="0"/>
          <c:showCatName val="0"/>
          <c:showSerName val="0"/>
          <c:showPercent val="0"/>
          <c:showBubbleSize val="0"/>
        </c:dLbls>
        <c:smooth val="0"/>
        <c:axId val="513436120"/>
        <c:axId val="513439648"/>
      </c:lineChart>
      <c:catAx>
        <c:axId val="5134361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13439648"/>
        <c:crosses val="autoZero"/>
        <c:auto val="1"/>
        <c:lblAlgn val="ctr"/>
        <c:lblOffset val="100"/>
        <c:noMultiLvlLbl val="0"/>
      </c:catAx>
      <c:valAx>
        <c:axId val="513439648"/>
        <c:scaling>
          <c:orientation val="minMax"/>
          <c:min val="15"/>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134361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'podmioty gospodarcze wykresy'!$A$3</c:f>
              <c:strCache>
                <c:ptCount val="1"/>
                <c:pt idx="0">
                  <c:v>Polska</c:v>
                </c:pt>
              </c:strCache>
            </c:strRef>
          </c:tx>
          <c:spPr>
            <a:ln w="28575" cap="rnd">
              <a:solidFill>
                <a:schemeClr val="tx1"/>
              </a:solidFill>
              <a:round/>
            </a:ln>
            <a:effectLst/>
          </c:spPr>
          <c:marker>
            <c:symbol val="none"/>
          </c:marker>
          <c:cat>
            <c:numRef>
              <c:f>'podmioty gospodarcze wykresy'!$B$2:$K$2</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'podmioty gospodarcze wykresy'!$B$3:$K$3</c:f>
              <c:numCache>
                <c:formatCode>General</c:formatCode>
                <c:ptCount val="10"/>
                <c:pt idx="0">
                  <c:v>8.1999999999999993</c:v>
                </c:pt>
                <c:pt idx="1">
                  <c:v>8.1</c:v>
                </c:pt>
                <c:pt idx="2">
                  <c:v>7.7</c:v>
                </c:pt>
                <c:pt idx="3">
                  <c:v>7.7</c:v>
                </c:pt>
                <c:pt idx="4">
                  <c:v>7.7</c:v>
                </c:pt>
                <c:pt idx="5">
                  <c:v>7.7</c:v>
                </c:pt>
                <c:pt idx="6">
                  <c:v>7.7</c:v>
                </c:pt>
                <c:pt idx="7">
                  <c:v>7.7</c:v>
                </c:pt>
                <c:pt idx="8">
                  <c:v>7.4</c:v>
                </c:pt>
                <c:pt idx="9">
                  <c:v>7.2</c:v>
                </c:pt>
              </c:numCache>
            </c:numRef>
          </c:val>
          <c:smooth val="0"/>
          <c:extLst>
            <c:ext xmlns:c16="http://schemas.microsoft.com/office/drawing/2014/chart" uri="{C3380CC4-5D6E-409C-BE32-E72D297353CC}">
              <c16:uniqueId val="{00000000-26D0-4D44-BDA9-30E70DFF7E1B}"/>
            </c:ext>
          </c:extLst>
        </c:ser>
        <c:ser>
          <c:idx val="1"/>
          <c:order val="1"/>
          <c:tx>
            <c:strRef>
              <c:f>'podmioty gospodarcze wykresy'!$A$4</c:f>
              <c:strCache>
                <c:ptCount val="1"/>
                <c:pt idx="0">
                  <c:v>Województwo warmińsko-mazurskie</c:v>
                </c:pt>
              </c:strCache>
            </c:strRef>
          </c:tx>
          <c:spPr>
            <a:ln w="28575" cap="rnd">
              <a:solidFill>
                <a:schemeClr val="accent3"/>
              </a:solidFill>
              <a:round/>
            </a:ln>
            <a:effectLst/>
          </c:spPr>
          <c:marker>
            <c:symbol val="none"/>
          </c:marker>
          <c:cat>
            <c:numRef>
              <c:f>'podmioty gospodarcze wykresy'!$B$2:$K$2</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'podmioty gospodarcze wykresy'!$B$4:$K$4</c:f>
              <c:numCache>
                <c:formatCode>General</c:formatCode>
                <c:ptCount val="10"/>
                <c:pt idx="0">
                  <c:v>7.1</c:v>
                </c:pt>
                <c:pt idx="1">
                  <c:v>7</c:v>
                </c:pt>
                <c:pt idx="2">
                  <c:v>6.3</c:v>
                </c:pt>
                <c:pt idx="3">
                  <c:v>6.2</c:v>
                </c:pt>
                <c:pt idx="4">
                  <c:v>6.2</c:v>
                </c:pt>
                <c:pt idx="5">
                  <c:v>6.2</c:v>
                </c:pt>
                <c:pt idx="6">
                  <c:v>6.2</c:v>
                </c:pt>
                <c:pt idx="7">
                  <c:v>6.1</c:v>
                </c:pt>
                <c:pt idx="8">
                  <c:v>6</c:v>
                </c:pt>
                <c:pt idx="9">
                  <c:v>5.9</c:v>
                </c:pt>
              </c:numCache>
            </c:numRef>
          </c:val>
          <c:smooth val="0"/>
          <c:extLst>
            <c:ext xmlns:c16="http://schemas.microsoft.com/office/drawing/2014/chart" uri="{C3380CC4-5D6E-409C-BE32-E72D297353CC}">
              <c16:uniqueId val="{00000001-26D0-4D44-BDA9-30E70DFF7E1B}"/>
            </c:ext>
          </c:extLst>
        </c:ser>
        <c:ser>
          <c:idx val="2"/>
          <c:order val="2"/>
          <c:tx>
            <c:strRef>
              <c:f>'podmioty gospodarcze wykresy'!$A$5</c:f>
              <c:strCache>
                <c:ptCount val="1"/>
                <c:pt idx="0">
                  <c:v>Powiat działdowski</c:v>
                </c:pt>
              </c:strCache>
            </c:strRef>
          </c:tx>
          <c:spPr>
            <a:ln w="28575" cap="rnd">
              <a:solidFill>
                <a:schemeClr val="accent2"/>
              </a:solidFill>
              <a:round/>
            </a:ln>
            <a:effectLst/>
          </c:spPr>
          <c:marker>
            <c:symbol val="none"/>
          </c:marker>
          <c:cat>
            <c:numRef>
              <c:f>'podmioty gospodarcze wykresy'!$B$2:$K$2</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'podmioty gospodarcze wykresy'!$B$5:$K$5</c:f>
              <c:numCache>
                <c:formatCode>General</c:formatCode>
                <c:ptCount val="10"/>
                <c:pt idx="0">
                  <c:v>6.5</c:v>
                </c:pt>
                <c:pt idx="1">
                  <c:v>6.9</c:v>
                </c:pt>
                <c:pt idx="2">
                  <c:v>6.1</c:v>
                </c:pt>
                <c:pt idx="3">
                  <c:v>6.2</c:v>
                </c:pt>
                <c:pt idx="4">
                  <c:v>6.1</c:v>
                </c:pt>
                <c:pt idx="5">
                  <c:v>6</c:v>
                </c:pt>
                <c:pt idx="6">
                  <c:v>6</c:v>
                </c:pt>
                <c:pt idx="7" formatCode="0.0">
                  <c:v>5.9</c:v>
                </c:pt>
                <c:pt idx="8">
                  <c:v>6</c:v>
                </c:pt>
                <c:pt idx="9">
                  <c:v>5.8</c:v>
                </c:pt>
              </c:numCache>
            </c:numRef>
          </c:val>
          <c:smooth val="0"/>
          <c:extLst>
            <c:ext xmlns:c16="http://schemas.microsoft.com/office/drawing/2014/chart" uri="{C3380CC4-5D6E-409C-BE32-E72D297353CC}">
              <c16:uniqueId val="{00000002-26D0-4D44-BDA9-30E70DFF7E1B}"/>
            </c:ext>
          </c:extLst>
        </c:ser>
        <c:ser>
          <c:idx val="3"/>
          <c:order val="3"/>
          <c:tx>
            <c:strRef>
              <c:f>'podmioty gospodarcze wykresy'!$A$6</c:f>
              <c:strCache>
                <c:ptCount val="1"/>
                <c:pt idx="0">
                  <c:v>Powiat nidzicki</c:v>
                </c:pt>
              </c:strCache>
            </c:strRef>
          </c:tx>
          <c:spPr>
            <a:ln w="28575" cap="rnd">
              <a:solidFill>
                <a:schemeClr val="accent4"/>
              </a:solidFill>
              <a:round/>
            </a:ln>
            <a:effectLst/>
          </c:spPr>
          <c:marker>
            <c:symbol val="none"/>
          </c:marker>
          <c:cat>
            <c:numRef>
              <c:f>'podmioty gospodarcze wykresy'!$B$2:$K$2</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'podmioty gospodarcze wykresy'!$B$6:$K$6</c:f>
              <c:numCache>
                <c:formatCode>General</c:formatCode>
                <c:ptCount val="10"/>
                <c:pt idx="0">
                  <c:v>6.3</c:v>
                </c:pt>
                <c:pt idx="1">
                  <c:v>6.3</c:v>
                </c:pt>
                <c:pt idx="2">
                  <c:v>6.3</c:v>
                </c:pt>
                <c:pt idx="3">
                  <c:v>6.3</c:v>
                </c:pt>
                <c:pt idx="4">
                  <c:v>6.2</c:v>
                </c:pt>
                <c:pt idx="5">
                  <c:v>6.2</c:v>
                </c:pt>
                <c:pt idx="6">
                  <c:v>6.3</c:v>
                </c:pt>
                <c:pt idx="7" formatCode="0.0">
                  <c:v>5.9</c:v>
                </c:pt>
                <c:pt idx="8">
                  <c:v>5.9</c:v>
                </c:pt>
                <c:pt idx="9">
                  <c:v>5.9</c:v>
                </c:pt>
              </c:numCache>
            </c:numRef>
          </c:val>
          <c:smooth val="0"/>
          <c:extLst>
            <c:ext xmlns:c16="http://schemas.microsoft.com/office/drawing/2014/chart" uri="{C3380CC4-5D6E-409C-BE32-E72D297353CC}">
              <c16:uniqueId val="{00000003-26D0-4D44-BDA9-30E70DFF7E1B}"/>
            </c:ext>
          </c:extLst>
        </c:ser>
        <c:ser>
          <c:idx val="4"/>
          <c:order val="4"/>
          <c:tx>
            <c:strRef>
              <c:f>'podmioty gospodarcze wykresy'!$A$7</c:f>
              <c:strCache>
                <c:ptCount val="1"/>
                <c:pt idx="0">
                  <c:v>Powiat piski</c:v>
                </c:pt>
              </c:strCache>
            </c:strRef>
          </c:tx>
          <c:spPr>
            <a:ln w="28575" cap="rnd">
              <a:solidFill>
                <a:schemeClr val="accent5"/>
              </a:solidFill>
              <a:round/>
            </a:ln>
            <a:effectLst/>
          </c:spPr>
          <c:marker>
            <c:symbol val="none"/>
          </c:marker>
          <c:cat>
            <c:numRef>
              <c:f>'podmioty gospodarcze wykresy'!$B$2:$K$2</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'podmioty gospodarcze wykresy'!$B$7:$K$7</c:f>
              <c:numCache>
                <c:formatCode>General</c:formatCode>
                <c:ptCount val="10"/>
                <c:pt idx="0">
                  <c:v>5.3</c:v>
                </c:pt>
                <c:pt idx="1">
                  <c:v>5</c:v>
                </c:pt>
                <c:pt idx="2">
                  <c:v>4.5</c:v>
                </c:pt>
                <c:pt idx="3">
                  <c:v>4.2</c:v>
                </c:pt>
                <c:pt idx="4">
                  <c:v>4.2</c:v>
                </c:pt>
                <c:pt idx="5">
                  <c:v>4.3</c:v>
                </c:pt>
                <c:pt idx="6">
                  <c:v>4.3</c:v>
                </c:pt>
                <c:pt idx="7">
                  <c:v>4.3</c:v>
                </c:pt>
                <c:pt idx="8">
                  <c:v>4.2</c:v>
                </c:pt>
                <c:pt idx="9">
                  <c:v>3.9</c:v>
                </c:pt>
              </c:numCache>
            </c:numRef>
          </c:val>
          <c:smooth val="0"/>
          <c:extLst>
            <c:ext xmlns:c16="http://schemas.microsoft.com/office/drawing/2014/chart" uri="{C3380CC4-5D6E-409C-BE32-E72D297353CC}">
              <c16:uniqueId val="{00000004-26D0-4D44-BDA9-30E70DFF7E1B}"/>
            </c:ext>
          </c:extLst>
        </c:ser>
        <c:ser>
          <c:idx val="5"/>
          <c:order val="5"/>
          <c:tx>
            <c:strRef>
              <c:f>'podmioty gospodarcze wykresy'!$A$8</c:f>
              <c:strCache>
                <c:ptCount val="1"/>
                <c:pt idx="0">
                  <c:v>Powiat szczycieński</c:v>
                </c:pt>
              </c:strCache>
            </c:strRef>
          </c:tx>
          <c:spPr>
            <a:ln w="28575" cap="rnd">
              <a:solidFill>
                <a:schemeClr val="accent6"/>
              </a:solidFill>
              <a:round/>
            </a:ln>
            <a:effectLst/>
          </c:spPr>
          <c:marker>
            <c:symbol val="none"/>
          </c:marker>
          <c:cat>
            <c:numRef>
              <c:f>'podmioty gospodarcze wykresy'!$B$2:$K$2</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'podmioty gospodarcze wykresy'!$B$8:$K$8</c:f>
              <c:numCache>
                <c:formatCode>General</c:formatCode>
                <c:ptCount val="10"/>
                <c:pt idx="0">
                  <c:v>5.5</c:v>
                </c:pt>
                <c:pt idx="1">
                  <c:v>5.4</c:v>
                </c:pt>
                <c:pt idx="2">
                  <c:v>5.2</c:v>
                </c:pt>
                <c:pt idx="3">
                  <c:v>5.0999999999999996</c:v>
                </c:pt>
                <c:pt idx="4">
                  <c:v>5.0999999999999996</c:v>
                </c:pt>
                <c:pt idx="5">
                  <c:v>5.2</c:v>
                </c:pt>
                <c:pt idx="6">
                  <c:v>5.2</c:v>
                </c:pt>
                <c:pt idx="7">
                  <c:v>5</c:v>
                </c:pt>
                <c:pt idx="8">
                  <c:v>4.7</c:v>
                </c:pt>
                <c:pt idx="9">
                  <c:v>4.5</c:v>
                </c:pt>
              </c:numCache>
            </c:numRef>
          </c:val>
          <c:smooth val="0"/>
          <c:extLst>
            <c:ext xmlns:c16="http://schemas.microsoft.com/office/drawing/2014/chart" uri="{C3380CC4-5D6E-409C-BE32-E72D297353CC}">
              <c16:uniqueId val="{00000005-26D0-4D44-BDA9-30E70DFF7E1B}"/>
            </c:ext>
          </c:extLst>
        </c:ser>
        <c:dLbls>
          <c:showLegendKey val="0"/>
          <c:showVal val="0"/>
          <c:showCatName val="0"/>
          <c:showSerName val="0"/>
          <c:showPercent val="0"/>
          <c:showBubbleSize val="0"/>
        </c:dLbls>
        <c:smooth val="0"/>
        <c:axId val="513429848"/>
        <c:axId val="513431416"/>
      </c:lineChart>
      <c:catAx>
        <c:axId val="5134298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13431416"/>
        <c:crosses val="autoZero"/>
        <c:auto val="1"/>
        <c:lblAlgn val="ctr"/>
        <c:lblOffset val="100"/>
        <c:noMultiLvlLbl val="0"/>
      </c:catAx>
      <c:valAx>
        <c:axId val="5134314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134298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olors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FF7136-F7B9-42BF-8ECA-AB85659A82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34601</Words>
  <Characters>207606</Characters>
  <Application>Microsoft Office Word</Application>
  <DocSecurity>0</DocSecurity>
  <Lines>1730</Lines>
  <Paragraphs>483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241724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Konto Microsoft</dc:creator>
  <cp:keywords/>
  <dc:description/>
  <cp:lastModifiedBy>JT</cp:lastModifiedBy>
  <cp:revision>2</cp:revision>
  <cp:lastPrinted>2021-09-06T07:25:00Z</cp:lastPrinted>
  <dcterms:created xsi:type="dcterms:W3CDTF">2021-11-15T07:05:00Z</dcterms:created>
  <dcterms:modified xsi:type="dcterms:W3CDTF">2021-11-15T07:05:00Z</dcterms:modified>
</cp:coreProperties>
</file>